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F4F17">
      <w:pPr>
        <w:tabs>
          <w:tab w:val="left" w:pos="7371"/>
        </w:tabs>
        <w:rPr>
          <w:color w:val="000000" w:themeColor="text1"/>
          <w:sz w:val="30"/>
          <w14:textFill>
            <w14:solidFill>
              <w14:schemeClr w14:val="tx1"/>
            </w14:solidFill>
          </w14:textFill>
        </w:rPr>
      </w:pPr>
    </w:p>
    <w:p w14:paraId="7AFA0676">
      <w:pPr>
        <w:rPr>
          <w:color w:val="000000" w:themeColor="text1"/>
          <w:sz w:val="30"/>
          <w14:textFill>
            <w14:solidFill>
              <w14:schemeClr w14:val="tx1"/>
            </w14:solidFill>
          </w14:textFill>
        </w:rPr>
      </w:pPr>
    </w:p>
    <w:p w14:paraId="64D6C64A">
      <w:pPr>
        <w:rPr>
          <w:color w:val="000000" w:themeColor="text1"/>
          <w:sz w:val="30"/>
          <w14:textFill>
            <w14:solidFill>
              <w14:schemeClr w14:val="tx1"/>
            </w14:solidFill>
          </w14:textFill>
        </w:rPr>
      </w:pPr>
    </w:p>
    <w:p w14:paraId="1E81F49A">
      <w:pPr>
        <w:tabs>
          <w:tab w:val="left" w:pos="50"/>
          <w:tab w:val="center" w:pos="4246"/>
        </w:tabs>
        <w:jc w:val="center"/>
        <w:rPr>
          <w:rFonts w:eastAsia="方正小标宋_GBK"/>
          <w:snapToGrid w:val="0"/>
          <w:color w:val="000000" w:themeColor="text1"/>
          <w:sz w:val="72"/>
          <w:szCs w:val="72"/>
          <w14:textFill>
            <w14:solidFill>
              <w14:schemeClr w14:val="tx1"/>
            </w14:solidFill>
          </w14:textFill>
        </w:rPr>
      </w:pPr>
      <w:r>
        <w:rPr>
          <w:rFonts w:eastAsia="方正小标宋_GBK"/>
          <w:snapToGrid w:val="0"/>
          <w:color w:val="000000" w:themeColor="text1"/>
          <w:sz w:val="72"/>
          <w:szCs w:val="72"/>
          <w14:textFill>
            <w14:solidFill>
              <w14:schemeClr w14:val="tx1"/>
            </w14:solidFill>
          </w14:textFill>
        </w:rPr>
        <w:t>建设项目环境影响报告表</w:t>
      </w:r>
    </w:p>
    <w:p w14:paraId="7A918B1D">
      <w:pPr>
        <w:spacing w:before="312" w:beforeLines="100" w:after="156" w:afterLines="50" w:line="360" w:lineRule="auto"/>
        <w:jc w:val="center"/>
        <w:rPr>
          <w:rFonts w:hint="eastAsia" w:ascii="楷体" w:hAnsi="楷体" w:eastAsia="楷体"/>
          <w:color w:val="000000" w:themeColor="text1"/>
          <w:sz w:val="48"/>
          <w:szCs w:val="48"/>
          <w14:textFill>
            <w14:solidFill>
              <w14:schemeClr w14:val="tx1"/>
            </w14:solidFill>
          </w14:textFill>
        </w:rPr>
      </w:pPr>
      <w:r>
        <w:rPr>
          <w:rFonts w:hint="eastAsia" w:ascii="楷体" w:hAnsi="楷体" w:eastAsia="楷体"/>
          <w:color w:val="000000" w:themeColor="text1"/>
          <w:sz w:val="48"/>
          <w:szCs w:val="48"/>
          <w14:textFill>
            <w14:solidFill>
              <w14:schemeClr w14:val="tx1"/>
            </w14:solidFill>
          </w14:textFill>
        </w:rPr>
        <w:t>（污染</w:t>
      </w:r>
      <w:r>
        <w:rPr>
          <w:rFonts w:ascii="楷体" w:hAnsi="楷体" w:eastAsia="楷体"/>
          <w:color w:val="000000" w:themeColor="text1"/>
          <w:sz w:val="48"/>
          <w:szCs w:val="48"/>
          <w14:textFill>
            <w14:solidFill>
              <w14:schemeClr w14:val="tx1"/>
            </w14:solidFill>
          </w14:textFill>
        </w:rPr>
        <w:t>影响类</w:t>
      </w:r>
      <w:r>
        <w:rPr>
          <w:rFonts w:hint="eastAsia" w:ascii="楷体" w:hAnsi="楷体" w:eastAsia="楷体"/>
          <w:color w:val="000000" w:themeColor="text1"/>
          <w:sz w:val="48"/>
          <w:szCs w:val="48"/>
          <w14:textFill>
            <w14:solidFill>
              <w14:schemeClr w14:val="tx1"/>
            </w14:solidFill>
          </w14:textFill>
        </w:rPr>
        <w:t>）</w:t>
      </w:r>
    </w:p>
    <w:p w14:paraId="3C92C934">
      <w:pPr>
        <w:rPr>
          <w:color w:val="000000" w:themeColor="text1"/>
          <w:sz w:val="30"/>
          <w14:textFill>
            <w14:solidFill>
              <w14:schemeClr w14:val="tx1"/>
            </w14:solidFill>
          </w14:textFill>
        </w:rPr>
      </w:pPr>
    </w:p>
    <w:p w14:paraId="663D987E">
      <w:pPr>
        <w:spacing w:line="360" w:lineRule="exact"/>
        <w:rPr>
          <w:color w:val="000000" w:themeColor="text1"/>
          <w:sz w:val="30"/>
          <w14:textFill>
            <w14:solidFill>
              <w14:schemeClr w14:val="tx1"/>
            </w14:solidFill>
          </w14:textFill>
        </w:rPr>
      </w:pPr>
    </w:p>
    <w:p w14:paraId="64101A59">
      <w:pPr>
        <w:rPr>
          <w:color w:val="000000" w:themeColor="text1"/>
          <w:sz w:val="30"/>
          <w14:textFill>
            <w14:solidFill>
              <w14:schemeClr w14:val="tx1"/>
            </w14:solidFill>
          </w14:textFill>
        </w:rPr>
      </w:pPr>
    </w:p>
    <w:p w14:paraId="58CFBCD8">
      <w:pPr>
        <w:jc w:val="left"/>
        <w:rPr>
          <w:color w:val="000000" w:themeColor="text1"/>
          <w:sz w:val="30"/>
          <w14:textFill>
            <w14:solidFill>
              <w14:schemeClr w14:val="tx1"/>
            </w14:solidFill>
          </w14:textFill>
        </w:rPr>
      </w:pPr>
    </w:p>
    <w:p w14:paraId="348C959E">
      <w:pPr>
        <w:spacing w:line="360" w:lineRule="exact"/>
        <w:rPr>
          <w:color w:val="000000" w:themeColor="text1"/>
          <w:sz w:val="30"/>
          <w14:textFill>
            <w14:solidFill>
              <w14:schemeClr w14:val="tx1"/>
            </w14:solidFill>
          </w14:textFill>
        </w:rPr>
      </w:pPr>
    </w:p>
    <w:p w14:paraId="10549E80">
      <w:pPr>
        <w:spacing w:line="360" w:lineRule="exact"/>
        <w:rPr>
          <w:color w:val="000000" w:themeColor="text1"/>
          <w:sz w:val="30"/>
          <w14:textFill>
            <w14:solidFill>
              <w14:schemeClr w14:val="tx1"/>
            </w14:solidFill>
          </w14:textFill>
        </w:rPr>
      </w:pPr>
    </w:p>
    <w:p w14:paraId="19514EA6">
      <w:pPr>
        <w:spacing w:line="360" w:lineRule="exact"/>
        <w:rPr>
          <w:color w:val="000000" w:themeColor="text1"/>
          <w:sz w:val="30"/>
          <w14:textFill>
            <w14:solidFill>
              <w14:schemeClr w14:val="tx1"/>
            </w14:solidFill>
          </w14:textFill>
        </w:rPr>
      </w:pPr>
    </w:p>
    <w:p w14:paraId="5F42E7FB">
      <w:pPr>
        <w:jc w:val="center"/>
        <w:rPr>
          <w:rFonts w:hint="eastAsia" w:ascii="仿宋" w:hAnsi="仿宋" w:eastAsia="仿宋"/>
          <w:color w:val="000000" w:themeColor="text1"/>
          <w:kern w:val="0"/>
          <w:sz w:val="30"/>
          <w:szCs w:val="30"/>
          <w:u w:val="single"/>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项目名称：</w:t>
      </w:r>
      <w:r>
        <w:rPr>
          <w:rFonts w:hint="eastAsia" w:ascii="仿宋" w:hAnsi="仿宋" w:eastAsia="仿宋"/>
          <w:color w:val="000000" w:themeColor="text1"/>
          <w:kern w:val="0"/>
          <w:sz w:val="30"/>
          <w:szCs w:val="30"/>
          <w:u w:val="single"/>
          <w14:textFill>
            <w14:solidFill>
              <w14:schemeClr w14:val="tx1"/>
            </w14:solidFill>
          </w14:textFill>
        </w:rPr>
        <w:t xml:space="preserve"> 惠州市百艺展览有限公司建设项目</w:t>
      </w:r>
    </w:p>
    <w:p w14:paraId="24CA726F">
      <w:pPr>
        <w:ind w:firstLine="1050" w:firstLineChars="350"/>
        <w:rPr>
          <w:rFonts w:hint="eastAsia" w:ascii="仿宋" w:hAnsi="仿宋" w:eastAsia="仿宋"/>
          <w:color w:val="000000" w:themeColor="text1"/>
          <w:kern w:val="0"/>
          <w:sz w:val="30"/>
          <w:szCs w:val="30"/>
          <w:u w:val="single"/>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建设单位（盖章）：</w:t>
      </w:r>
      <w:r>
        <w:rPr>
          <w:rFonts w:hint="eastAsia" w:ascii="仿宋" w:hAnsi="仿宋" w:eastAsia="仿宋"/>
          <w:color w:val="000000" w:themeColor="text1"/>
          <w:kern w:val="0"/>
          <w:sz w:val="30"/>
          <w:szCs w:val="30"/>
          <w:u w:val="single"/>
          <w14:textFill>
            <w14:solidFill>
              <w14:schemeClr w14:val="tx1"/>
            </w14:solidFill>
          </w14:textFill>
        </w:rPr>
        <w:t>惠州市百艺展览有限公司公司</w:t>
      </w:r>
    </w:p>
    <w:p w14:paraId="0594D588">
      <w:pPr>
        <w:ind w:firstLine="1050" w:firstLineChars="350"/>
        <w:rPr>
          <w:rFonts w:hint="eastAsia" w:ascii="仿宋" w:hAnsi="仿宋" w:eastAsia="仿宋"/>
          <w:color w:val="000000" w:themeColor="text1"/>
          <w:kern w:val="0"/>
          <w:sz w:val="30"/>
          <w:szCs w:val="30"/>
          <w:u w:val="single"/>
          <w14:textFill>
            <w14:solidFill>
              <w14:schemeClr w14:val="tx1"/>
            </w14:solidFill>
          </w14:textFill>
        </w:rPr>
      </w:pPr>
      <w:r>
        <w:rPr>
          <w:rFonts w:hint="eastAsia" w:ascii="仿宋" w:hAnsi="仿宋" w:eastAsia="仿宋"/>
          <w:color w:val="000000" w:themeColor="text1"/>
          <w:kern w:val="0"/>
          <w:sz w:val="30"/>
          <w:szCs w:val="30"/>
          <w14:textFill>
            <w14:solidFill>
              <w14:schemeClr w14:val="tx1"/>
            </w14:solidFill>
          </w14:textFill>
        </w:rPr>
        <w:t>编制</w:t>
      </w:r>
      <w:r>
        <w:rPr>
          <w:rFonts w:ascii="仿宋" w:hAnsi="仿宋" w:eastAsia="仿宋"/>
          <w:color w:val="000000" w:themeColor="text1"/>
          <w:kern w:val="0"/>
          <w:sz w:val="30"/>
          <w:szCs w:val="30"/>
          <w14:textFill>
            <w14:solidFill>
              <w14:schemeClr w14:val="tx1"/>
            </w14:solidFill>
          </w14:textFill>
        </w:rPr>
        <w:t>日期：</w:t>
      </w:r>
      <w:r>
        <w:rPr>
          <w:rFonts w:hint="eastAsia" w:ascii="仿宋" w:hAnsi="仿宋" w:eastAsia="仿宋"/>
          <w:color w:val="000000" w:themeColor="text1"/>
          <w:kern w:val="0"/>
          <w:sz w:val="30"/>
          <w:szCs w:val="30"/>
          <w:u w:val="single"/>
          <w14:textFill>
            <w14:solidFill>
              <w14:schemeClr w14:val="tx1"/>
            </w14:solidFill>
          </w14:textFill>
        </w:rPr>
        <w:t xml:space="preserve"> </w:t>
      </w:r>
      <w:r>
        <w:rPr>
          <w:rFonts w:ascii="仿宋" w:hAnsi="仿宋" w:eastAsia="仿宋"/>
          <w:color w:val="000000" w:themeColor="text1"/>
          <w:kern w:val="0"/>
          <w:sz w:val="30"/>
          <w:szCs w:val="30"/>
          <w:u w:val="single"/>
          <w14:textFill>
            <w14:solidFill>
              <w14:schemeClr w14:val="tx1"/>
            </w14:solidFill>
          </w14:textFill>
        </w:rPr>
        <w:t xml:space="preserve"> </w:t>
      </w:r>
      <w:r>
        <w:rPr>
          <w:rFonts w:hint="eastAsia" w:ascii="仿宋" w:hAnsi="仿宋" w:eastAsia="仿宋"/>
          <w:color w:val="000000" w:themeColor="text1"/>
          <w:kern w:val="0"/>
          <w:sz w:val="30"/>
          <w:szCs w:val="30"/>
          <w:u w:val="single"/>
          <w14:textFill>
            <w14:solidFill>
              <w14:schemeClr w14:val="tx1"/>
            </w14:solidFill>
          </w14:textFill>
        </w:rPr>
        <w:t>2025年</w:t>
      </w:r>
      <w:r>
        <w:rPr>
          <w:rFonts w:ascii="仿宋" w:hAnsi="仿宋" w:eastAsia="仿宋"/>
          <w:color w:val="000000" w:themeColor="text1"/>
          <w:kern w:val="0"/>
          <w:sz w:val="30"/>
          <w:szCs w:val="30"/>
          <w:u w:val="single"/>
          <w14:textFill>
            <w14:solidFill>
              <w14:schemeClr w14:val="tx1"/>
            </w14:solidFill>
          </w14:textFill>
        </w:rPr>
        <w:t>0</w:t>
      </w:r>
      <w:r>
        <w:rPr>
          <w:rFonts w:hint="eastAsia" w:ascii="仿宋" w:hAnsi="仿宋" w:eastAsia="仿宋"/>
          <w:color w:val="000000" w:themeColor="text1"/>
          <w:kern w:val="0"/>
          <w:sz w:val="30"/>
          <w:szCs w:val="30"/>
          <w:u w:val="single"/>
          <w14:textFill>
            <w14:solidFill>
              <w14:schemeClr w14:val="tx1"/>
            </w14:solidFill>
          </w14:textFill>
        </w:rPr>
        <w:t xml:space="preserve">9月  </w:t>
      </w:r>
    </w:p>
    <w:p w14:paraId="39D087A4">
      <w:pPr>
        <w:rPr>
          <w:color w:val="000000" w:themeColor="text1"/>
          <w:sz w:val="30"/>
          <w14:textFill>
            <w14:solidFill>
              <w14:schemeClr w14:val="tx1"/>
            </w14:solidFill>
          </w14:textFill>
        </w:rPr>
      </w:pPr>
    </w:p>
    <w:p w14:paraId="0FF07220">
      <w:pPr>
        <w:rPr>
          <w:color w:val="000000" w:themeColor="text1"/>
          <w:sz w:val="30"/>
          <w14:textFill>
            <w14:solidFill>
              <w14:schemeClr w14:val="tx1"/>
            </w14:solidFill>
          </w14:textFill>
        </w:rPr>
      </w:pPr>
    </w:p>
    <w:p w14:paraId="1656FD69">
      <w:pPr>
        <w:rPr>
          <w:color w:val="000000" w:themeColor="text1"/>
          <w:sz w:val="30"/>
          <w14:textFill>
            <w14:solidFill>
              <w14:schemeClr w14:val="tx1"/>
            </w14:solidFill>
          </w14:textFill>
        </w:rPr>
      </w:pPr>
    </w:p>
    <w:p w14:paraId="22445912">
      <w:pPr>
        <w:rPr>
          <w:color w:val="000000" w:themeColor="text1"/>
          <w:sz w:val="30"/>
          <w14:textFill>
            <w14:solidFill>
              <w14:schemeClr w14:val="tx1"/>
            </w14:solidFill>
          </w14:textFill>
        </w:rPr>
      </w:pPr>
    </w:p>
    <w:p w14:paraId="3319DCA9">
      <w:pPr>
        <w:jc w:val="center"/>
        <w:rPr>
          <w:rFonts w:ascii="楷体" w:hAnsi="楷体" w:eastAsia="楷体"/>
          <w:color w:val="000000" w:themeColor="text1"/>
          <w:sz w:val="36"/>
          <w:szCs w:val="36"/>
          <w14:textFill>
            <w14:solidFill>
              <w14:schemeClr w14:val="tx1"/>
            </w14:solidFill>
          </w14:textFill>
        </w:rPr>
      </w:pPr>
      <w:r>
        <w:rPr>
          <w:rFonts w:hint="eastAsia" w:ascii="楷体" w:hAnsi="楷体" w:eastAsia="楷体"/>
          <w:color w:val="000000" w:themeColor="text1"/>
          <w:sz w:val="36"/>
          <w:szCs w:val="36"/>
          <w14:textFill>
            <w14:solidFill>
              <w14:schemeClr w14:val="tx1"/>
            </w14:solidFill>
          </w14:textFill>
        </w:rPr>
        <w:t>中华人民共和国</w:t>
      </w:r>
      <w:r>
        <w:rPr>
          <w:rFonts w:ascii="楷体" w:hAnsi="楷体" w:eastAsia="楷体"/>
          <w:color w:val="000000" w:themeColor="text1"/>
          <w:sz w:val="36"/>
          <w:szCs w:val="36"/>
          <w14:textFill>
            <w14:solidFill>
              <w14:schemeClr w14:val="tx1"/>
            </w14:solidFill>
          </w14:textFill>
        </w:rPr>
        <w:t>生态环境部制</w:t>
      </w:r>
      <w:r>
        <w:rPr>
          <w:rFonts w:hint="eastAsia" w:ascii="楷体" w:hAnsi="楷体" w:eastAsia="楷体"/>
          <w:color w:val="000000" w:themeColor="text1"/>
          <w:sz w:val="36"/>
          <w:szCs w:val="36"/>
          <w14:textFill>
            <w14:solidFill>
              <w14:schemeClr w14:val="tx1"/>
            </w14:solidFill>
          </w14:textFill>
        </w:rPr>
        <w:t xml:space="preserve"> </w:t>
      </w:r>
      <w:r>
        <w:rPr>
          <w:rFonts w:ascii="楷体" w:hAnsi="楷体" w:eastAsia="楷体"/>
          <w:color w:val="000000" w:themeColor="text1"/>
          <w:sz w:val="36"/>
          <w:szCs w:val="36"/>
          <w14:textFill>
            <w14:solidFill>
              <w14:schemeClr w14:val="tx1"/>
            </w14:solidFill>
          </w14:textFill>
        </w:rPr>
        <w:t xml:space="preserve"> </w:t>
      </w:r>
    </w:p>
    <w:p w14:paraId="5E9964F7">
      <w:pPr>
        <w:pStyle w:val="2"/>
        <w:rPr>
          <w:rFonts w:ascii="楷体" w:hAnsi="楷体" w:eastAsia="楷体"/>
          <w:color w:val="000000" w:themeColor="text1"/>
          <w:sz w:val="36"/>
          <w:szCs w:val="36"/>
          <w14:textFill>
            <w14:solidFill>
              <w14:schemeClr w14:val="tx1"/>
            </w14:solidFill>
          </w14:textFill>
        </w:rPr>
      </w:pPr>
    </w:p>
    <w:p w14:paraId="14EB4862">
      <w:pPr>
        <w:pStyle w:val="2"/>
        <w:rPr>
          <w:color w:val="000000" w:themeColor="text1"/>
          <w14:textFill>
            <w14:solidFill>
              <w14:schemeClr w14:val="tx1"/>
            </w14:solidFill>
          </w14:textFill>
        </w:rPr>
      </w:pPr>
    </w:p>
    <w:p w14:paraId="04CC3BB7">
      <w:pPr>
        <w:rPr>
          <w:rFonts w:hint="eastAsia" w:eastAsia="宋体"/>
          <w:color w:val="000000" w:themeColor="text1"/>
          <w:lang w:eastAsia="zh-CN"/>
          <w14:textFill>
            <w14:solidFill>
              <w14:schemeClr w14:val="tx1"/>
            </w14:solidFill>
          </w14:textFill>
        </w:rPr>
        <w:sectPr>
          <w:headerReference r:id="rId4" w:type="first"/>
          <w:headerReference r:id="rId3" w:type="default"/>
          <w:footerReference r:id="rId5" w:type="default"/>
          <w:footerReference r:id="rId6" w:type="even"/>
          <w:pgSz w:w="11906" w:h="16838"/>
          <w:pgMar w:top="1701" w:right="1418" w:bottom="1474" w:left="1418" w:header="851" w:footer="709" w:gutter="0"/>
          <w:cols w:space="425" w:num="1"/>
          <w:titlePg/>
          <w:docGrid w:type="lines" w:linePitch="312" w:charSpace="0"/>
        </w:sectPr>
      </w:pPr>
    </w:p>
    <w:p w14:paraId="2A1B8165">
      <w:pPr>
        <w:jc w:val="center"/>
        <w:outlineLvl w:val="0"/>
        <w:rPr>
          <w:rFonts w:hint="eastAsia"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一、</w:t>
      </w:r>
      <w:r>
        <w:rPr>
          <w:rFonts w:ascii="黑体" w:hAnsi="黑体" w:eastAsia="黑体"/>
          <w:color w:val="000000" w:themeColor="text1"/>
          <w:sz w:val="30"/>
          <w14:textFill>
            <w14:solidFill>
              <w14:schemeClr w14:val="tx1"/>
            </w14:solidFill>
          </w14:textFill>
        </w:rPr>
        <w:t>建设项目基本情况</w:t>
      </w:r>
    </w:p>
    <w:tbl>
      <w:tblPr>
        <w:tblStyle w:val="40"/>
        <w:tblW w:w="905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20"/>
        <w:gridCol w:w="2965"/>
        <w:gridCol w:w="2174"/>
        <w:gridCol w:w="2691"/>
      </w:tblGrid>
      <w:tr w14:paraId="2B60B9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220" w:type="dxa"/>
            <w:tcMar>
              <w:top w:w="16" w:type="dxa"/>
              <w:left w:w="16" w:type="dxa"/>
              <w:right w:w="16" w:type="dxa"/>
            </w:tcMar>
            <w:vAlign w:val="center"/>
          </w:tcPr>
          <w:p w14:paraId="7C3FD615">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建设项目名称</w:t>
            </w:r>
          </w:p>
        </w:tc>
        <w:tc>
          <w:tcPr>
            <w:tcW w:w="7830" w:type="dxa"/>
            <w:gridSpan w:val="3"/>
            <w:vAlign w:val="center"/>
          </w:tcPr>
          <w:p w14:paraId="3804CE07">
            <w:pPr>
              <w:adjustRightInd w:val="0"/>
              <w:snapToGrid w:val="0"/>
              <w:jc w:val="center"/>
              <w:rPr>
                <w:color w:val="000000" w:themeColor="text1"/>
                <w:sz w:val="24"/>
                <w14:textFill>
                  <w14:solidFill>
                    <w14:schemeClr w14:val="tx1"/>
                  </w14:solidFill>
                </w14:textFill>
              </w:rPr>
            </w:pPr>
            <w:bookmarkStart w:id="0" w:name="_Hlk206766640"/>
            <w:r>
              <w:rPr>
                <w:rFonts w:hint="eastAsia"/>
                <w:color w:val="000000" w:themeColor="text1"/>
                <w:sz w:val="24"/>
                <w14:textFill>
                  <w14:solidFill>
                    <w14:schemeClr w14:val="tx1"/>
                  </w14:solidFill>
                </w14:textFill>
              </w:rPr>
              <w:t>惠州市百艺展览有限公司</w:t>
            </w:r>
            <w:r>
              <w:rPr>
                <w:color w:val="000000" w:themeColor="text1"/>
                <w:sz w:val="24"/>
                <w14:textFill>
                  <w14:solidFill>
                    <w14:schemeClr w14:val="tx1"/>
                  </w14:solidFill>
                </w14:textFill>
              </w:rPr>
              <w:t>建设项目</w:t>
            </w:r>
            <w:bookmarkEnd w:id="0"/>
          </w:p>
        </w:tc>
      </w:tr>
      <w:tr w14:paraId="284832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0" w:type="dxa"/>
            <w:tcMar>
              <w:top w:w="16" w:type="dxa"/>
              <w:left w:w="16" w:type="dxa"/>
              <w:right w:w="16" w:type="dxa"/>
            </w:tcMar>
            <w:vAlign w:val="center"/>
          </w:tcPr>
          <w:p w14:paraId="38C051EE">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项目代码</w:t>
            </w:r>
          </w:p>
        </w:tc>
        <w:tc>
          <w:tcPr>
            <w:tcW w:w="7830" w:type="dxa"/>
            <w:gridSpan w:val="3"/>
            <w:vAlign w:val="center"/>
          </w:tcPr>
          <w:p w14:paraId="4513EBC1">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2509-441322-04-01-373330</w:t>
            </w:r>
          </w:p>
        </w:tc>
      </w:tr>
      <w:tr w14:paraId="206271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0" w:type="dxa"/>
            <w:tcMar>
              <w:top w:w="16" w:type="dxa"/>
              <w:left w:w="16" w:type="dxa"/>
              <w:right w:w="16" w:type="dxa"/>
            </w:tcMar>
            <w:vAlign w:val="center"/>
          </w:tcPr>
          <w:p w14:paraId="74BB3F6B">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建设单位联系人</w:t>
            </w:r>
          </w:p>
        </w:tc>
        <w:tc>
          <w:tcPr>
            <w:tcW w:w="2965" w:type="dxa"/>
            <w:vAlign w:val="center"/>
          </w:tcPr>
          <w:p w14:paraId="4E7CEB19">
            <w:pPr>
              <w:adjustRightInd w:val="0"/>
              <w:snapToGrid w:val="0"/>
              <w:jc w:val="center"/>
              <w:rPr>
                <w:color w:val="000000" w:themeColor="text1"/>
                <w:sz w:val="24"/>
                <w14:textFill>
                  <w14:solidFill>
                    <w14:schemeClr w14:val="tx1"/>
                  </w14:solidFill>
                </w14:textFill>
              </w:rPr>
            </w:pPr>
          </w:p>
        </w:tc>
        <w:tc>
          <w:tcPr>
            <w:tcW w:w="2174" w:type="dxa"/>
            <w:vAlign w:val="center"/>
          </w:tcPr>
          <w:p w14:paraId="29540868">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联系方式</w:t>
            </w:r>
          </w:p>
        </w:tc>
        <w:tc>
          <w:tcPr>
            <w:tcW w:w="2691" w:type="dxa"/>
            <w:vAlign w:val="center"/>
          </w:tcPr>
          <w:p w14:paraId="17D34DF5">
            <w:pPr>
              <w:adjustRightInd w:val="0"/>
              <w:snapToGrid w:val="0"/>
              <w:jc w:val="center"/>
              <w:rPr>
                <w:color w:val="000000" w:themeColor="text1"/>
                <w:sz w:val="24"/>
                <w14:textFill>
                  <w14:solidFill>
                    <w14:schemeClr w14:val="tx1"/>
                  </w14:solidFill>
                </w14:textFill>
              </w:rPr>
            </w:pPr>
          </w:p>
        </w:tc>
      </w:tr>
      <w:tr w14:paraId="707349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0" w:type="dxa"/>
            <w:tcMar>
              <w:top w:w="16" w:type="dxa"/>
              <w:left w:w="16" w:type="dxa"/>
              <w:right w:w="16" w:type="dxa"/>
            </w:tcMar>
            <w:vAlign w:val="center"/>
          </w:tcPr>
          <w:p w14:paraId="7B9A5FD1">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建设地点</w:t>
            </w:r>
          </w:p>
        </w:tc>
        <w:tc>
          <w:tcPr>
            <w:tcW w:w="7830" w:type="dxa"/>
            <w:gridSpan w:val="3"/>
            <w:vAlign w:val="center"/>
          </w:tcPr>
          <w:p w14:paraId="6C5ABF8C">
            <w:pPr>
              <w:adjustRightInd w:val="0"/>
              <w:snapToGrid w:val="0"/>
              <w:jc w:val="center"/>
              <w:rPr>
                <w:color w:val="000000" w:themeColor="text1"/>
                <w:sz w:val="24"/>
                <w14:textFill>
                  <w14:solidFill>
                    <w14:schemeClr w14:val="tx1"/>
                  </w14:solidFill>
                </w14:textFill>
              </w:rPr>
            </w:pPr>
            <w:r>
              <w:rPr>
                <w:rFonts w:hint="eastAsia"/>
                <w:color w:val="000000" w:themeColor="text1"/>
                <w:sz w:val="24"/>
                <w:u w:val="single"/>
                <w14:textFill>
                  <w14:solidFill>
                    <w14:schemeClr w14:val="tx1"/>
                  </w14:solidFill>
                </w14:textFill>
              </w:rPr>
              <w:t xml:space="preserve"> 广东 </w:t>
            </w:r>
            <w:r>
              <w:rPr>
                <w:rFonts w:hint="eastAsia"/>
                <w:color w:val="000000" w:themeColor="text1"/>
                <w:sz w:val="24"/>
                <w14:textFill>
                  <w14:solidFill>
                    <w14:schemeClr w14:val="tx1"/>
                  </w14:solidFill>
                </w14:textFill>
              </w:rPr>
              <w:t>省（自治区）</w:t>
            </w:r>
            <w:r>
              <w:rPr>
                <w:rFonts w:hint="eastAsia"/>
                <w:color w:val="000000" w:themeColor="text1"/>
                <w:sz w:val="24"/>
                <w:u w:val="single"/>
                <w14:textFill>
                  <w14:solidFill>
                    <w14:schemeClr w14:val="tx1"/>
                  </w14:solidFill>
                </w14:textFill>
              </w:rPr>
              <w:t xml:space="preserve"> 惠州 </w:t>
            </w:r>
            <w:r>
              <w:rPr>
                <w:rFonts w:hint="eastAsia"/>
                <w:color w:val="000000" w:themeColor="text1"/>
                <w:sz w:val="24"/>
                <w14:textFill>
                  <w14:solidFill>
                    <w14:schemeClr w14:val="tx1"/>
                  </w14:solidFill>
                </w14:textFill>
              </w:rPr>
              <w:t>市</w:t>
            </w:r>
            <w:r>
              <w:rPr>
                <w:rFonts w:hint="eastAsia"/>
                <w:color w:val="000000" w:themeColor="text1"/>
                <w:sz w:val="24"/>
                <w:u w:val="single"/>
                <w14:textFill>
                  <w14:solidFill>
                    <w14:schemeClr w14:val="tx1"/>
                  </w14:solidFill>
                </w14:textFill>
              </w:rPr>
              <w:t xml:space="preserve"> 博罗 </w:t>
            </w:r>
            <w:r>
              <w:rPr>
                <w:rFonts w:hint="eastAsia"/>
                <w:color w:val="000000" w:themeColor="text1"/>
                <w:sz w:val="24"/>
                <w14:textFill>
                  <w14:solidFill>
                    <w14:schemeClr w14:val="tx1"/>
                  </w14:solidFill>
                </w14:textFill>
              </w:rPr>
              <w:t>县（区）</w:t>
            </w:r>
            <w:r>
              <w:rPr>
                <w:rFonts w:hint="eastAsia"/>
                <w:color w:val="000000" w:themeColor="text1"/>
                <w:sz w:val="24"/>
                <w:u w:val="single"/>
                <w14:textFill>
                  <w14:solidFill>
                    <w14:schemeClr w14:val="tx1"/>
                  </w14:solidFill>
                </w14:textFill>
              </w:rPr>
              <w:t xml:space="preserve"> 长宁镇 </w:t>
            </w:r>
            <w:r>
              <w:rPr>
                <w:rFonts w:hint="eastAsia"/>
                <w:color w:val="000000" w:themeColor="text1"/>
                <w:sz w:val="24"/>
                <w14:textFill>
                  <w14:solidFill>
                    <w14:schemeClr w14:val="tx1"/>
                  </w14:solidFill>
                </w14:textFill>
              </w:rPr>
              <w:t>乡（街道）</w:t>
            </w:r>
            <w:r>
              <w:rPr>
                <w:rFonts w:hint="eastAsia"/>
                <w:color w:val="000000" w:themeColor="text1"/>
                <w:sz w:val="24"/>
                <w:u w:val="single"/>
                <w14:textFill>
                  <w14:solidFill>
                    <w14:schemeClr w14:val="tx1"/>
                  </w14:solidFill>
                </w14:textFill>
              </w:rPr>
              <w:t>福田荔枝墩村（福达工业区福达大道277-1号）</w:t>
            </w:r>
          </w:p>
        </w:tc>
      </w:tr>
      <w:tr w14:paraId="248DCC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0" w:type="dxa"/>
            <w:tcMar>
              <w:top w:w="16" w:type="dxa"/>
              <w:left w:w="16" w:type="dxa"/>
              <w:right w:w="16" w:type="dxa"/>
            </w:tcMar>
            <w:vAlign w:val="center"/>
          </w:tcPr>
          <w:p w14:paraId="11EA0039">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地理坐标</w:t>
            </w:r>
          </w:p>
        </w:tc>
        <w:tc>
          <w:tcPr>
            <w:tcW w:w="7830" w:type="dxa"/>
            <w:gridSpan w:val="3"/>
            <w:vAlign w:val="center"/>
          </w:tcPr>
          <w:p w14:paraId="59173CAF">
            <w:pPr>
              <w:widowControl/>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w:t>
            </w:r>
            <w:r>
              <w:rPr>
                <w:color w:val="000000" w:themeColor="text1"/>
                <w:sz w:val="24"/>
                <w:u w:val="single"/>
                <w14:textFill>
                  <w14:solidFill>
                    <w14:schemeClr w14:val="tx1"/>
                  </w14:solidFill>
                </w14:textFill>
              </w:rPr>
              <w:t xml:space="preserve"> 11</w:t>
            </w:r>
            <w:r>
              <w:rPr>
                <w:rFonts w:hint="eastAsia"/>
                <w:color w:val="000000" w:themeColor="text1"/>
                <w:sz w:val="24"/>
                <w:u w:val="single"/>
                <w14:textFill>
                  <w14:solidFill>
                    <w14:schemeClr w14:val="tx1"/>
                  </w14:solidFill>
                </w14:textFill>
              </w:rPr>
              <w:t>3</w:t>
            </w:r>
            <w:r>
              <w:rPr>
                <w:color w:val="000000" w:themeColor="text1"/>
                <w:sz w:val="24"/>
                <w:u w:val="single"/>
                <w14:textFill>
                  <w14:solidFill>
                    <w14:schemeClr w14:val="tx1"/>
                  </w14:solidFill>
                </w14:textFill>
              </w:rPr>
              <w:t xml:space="preserve"> </w:t>
            </w:r>
            <w:r>
              <w:rPr>
                <w:color w:val="000000" w:themeColor="text1"/>
                <w:sz w:val="24"/>
                <w14:textFill>
                  <w14:solidFill>
                    <w14:schemeClr w14:val="tx1"/>
                  </w14:solidFill>
                </w14:textFill>
              </w:rPr>
              <w:t>度</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58</w:t>
            </w:r>
            <w:r>
              <w:rPr>
                <w:color w:val="000000" w:themeColor="text1"/>
                <w:sz w:val="24"/>
                <w14:textFill>
                  <w14:solidFill>
                    <w14:schemeClr w14:val="tx1"/>
                  </w14:solidFill>
                </w14:textFill>
              </w:rPr>
              <w:t>分</w:t>
            </w:r>
            <w:r>
              <w:rPr>
                <w:color w:val="000000" w:themeColor="text1"/>
                <w:sz w:val="24"/>
                <w:u w:val="single"/>
                <w14:textFill>
                  <w14:solidFill>
                    <w14:schemeClr w14:val="tx1"/>
                  </w14:solidFill>
                </w14:textFill>
              </w:rPr>
              <w:t>41.62</w:t>
            </w:r>
            <w:r>
              <w:rPr>
                <w:rFonts w:hint="eastAsia"/>
                <w:color w:val="000000" w:themeColor="text1"/>
                <w:sz w:val="24"/>
                <w:u w:val="single"/>
                <w14:textFill>
                  <w14:solidFill>
                    <w14:schemeClr w14:val="tx1"/>
                  </w14:solidFill>
                </w14:textFill>
              </w:rPr>
              <w:t>7</w:t>
            </w:r>
            <w:r>
              <w:rPr>
                <w:color w:val="000000" w:themeColor="text1"/>
                <w:sz w:val="24"/>
                <w14:textFill>
                  <w14:solidFill>
                    <w14:schemeClr w14:val="tx1"/>
                  </w14:solidFill>
                </w14:textFill>
              </w:rPr>
              <w:t>秒，</w:t>
            </w:r>
            <w:r>
              <w:rPr>
                <w:color w:val="000000" w:themeColor="text1"/>
                <w:sz w:val="24"/>
                <w:u w:val="single"/>
                <w14:textFill>
                  <w14:solidFill>
                    <w14:schemeClr w14:val="tx1"/>
                  </w14:solidFill>
                </w14:textFill>
              </w:rPr>
              <w:t xml:space="preserve">23 </w:t>
            </w:r>
            <w:r>
              <w:rPr>
                <w:color w:val="000000" w:themeColor="text1"/>
                <w:sz w:val="24"/>
                <w14:textFill>
                  <w14:solidFill>
                    <w14:schemeClr w14:val="tx1"/>
                  </w14:solidFill>
                </w14:textFill>
              </w:rPr>
              <w:t>度</w:t>
            </w:r>
            <w:r>
              <w:rPr>
                <w:color w:val="000000" w:themeColor="text1"/>
                <w:sz w:val="24"/>
                <w:u w:val="single"/>
                <w14:textFill>
                  <w14:solidFill>
                    <w14:schemeClr w14:val="tx1"/>
                  </w14:solidFill>
                </w14:textFill>
              </w:rPr>
              <w:t xml:space="preserve"> 12 </w:t>
            </w:r>
            <w:r>
              <w:rPr>
                <w:color w:val="000000" w:themeColor="text1"/>
                <w:sz w:val="24"/>
                <w14:textFill>
                  <w14:solidFill>
                    <w14:schemeClr w14:val="tx1"/>
                  </w14:solidFill>
                </w14:textFill>
              </w:rPr>
              <w:t>分</w:t>
            </w:r>
            <w:r>
              <w:rPr>
                <w:color w:val="000000" w:themeColor="text1"/>
                <w:sz w:val="24"/>
                <w:u w:val="single"/>
                <w14:textFill>
                  <w14:solidFill>
                    <w14:schemeClr w14:val="tx1"/>
                  </w14:solidFill>
                </w14:textFill>
              </w:rPr>
              <w:t>2.8</w:t>
            </w:r>
            <w:r>
              <w:rPr>
                <w:rFonts w:hint="eastAsia"/>
                <w:color w:val="000000" w:themeColor="text1"/>
                <w:sz w:val="24"/>
                <w:u w:val="single"/>
                <w14:textFill>
                  <w14:solidFill>
                    <w14:schemeClr w14:val="tx1"/>
                  </w14:solidFill>
                </w14:textFill>
              </w:rPr>
              <w:t>90</w:t>
            </w:r>
            <w:r>
              <w:rPr>
                <w:color w:val="000000" w:themeColor="text1"/>
                <w:sz w:val="24"/>
                <w14:textFill>
                  <w14:solidFill>
                    <w14:schemeClr w14:val="tx1"/>
                  </w14:solidFill>
                </w14:textFill>
              </w:rPr>
              <w:t>秒</w:t>
            </w:r>
            <w:r>
              <w:rPr>
                <w:rFonts w:hint="eastAsia"/>
                <w:color w:val="000000" w:themeColor="text1"/>
                <w:sz w:val="24"/>
                <w14:textFill>
                  <w14:solidFill>
                    <w14:schemeClr w14:val="tx1"/>
                  </w14:solidFill>
                </w14:textFill>
              </w:rPr>
              <w:t>）</w:t>
            </w:r>
          </w:p>
          <w:p w14:paraId="6B7FE555">
            <w:pPr>
              <w:widowControl/>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（经度：11</w:t>
            </w:r>
            <w:r>
              <w:rPr>
                <w:color w:val="000000" w:themeColor="text1"/>
                <w:sz w:val="24"/>
                <w14:textFill>
                  <w14:solidFill>
                    <w14:schemeClr w14:val="tx1"/>
                  </w14:solidFill>
                </w14:textFill>
              </w:rPr>
              <w:t>3.9782</w:t>
            </w:r>
            <w:r>
              <w:rPr>
                <w:rFonts w:hint="eastAsia"/>
                <w:color w:val="000000" w:themeColor="text1"/>
                <w:sz w:val="24"/>
                <w14:textFill>
                  <w14:solidFill>
                    <w14:schemeClr w14:val="tx1"/>
                  </w14:solidFill>
                </w14:textFill>
              </w:rPr>
              <w:t>30，纬度：23.</w:t>
            </w:r>
            <w:r>
              <w:rPr>
                <w:color w:val="000000" w:themeColor="text1"/>
                <w:sz w:val="24"/>
                <w14:textFill>
                  <w14:solidFill>
                    <w14:schemeClr w14:val="tx1"/>
                  </w14:solidFill>
                </w14:textFill>
              </w:rPr>
              <w:t>20080</w:t>
            </w:r>
            <w:r>
              <w:rPr>
                <w:rFonts w:hint="eastAsia"/>
                <w:color w:val="000000" w:themeColor="text1"/>
                <w:sz w:val="24"/>
                <w14:textFill>
                  <w14:solidFill>
                    <w14:schemeClr w14:val="tx1"/>
                  </w14:solidFill>
                </w14:textFill>
              </w:rPr>
              <w:t>3）</w:t>
            </w:r>
          </w:p>
        </w:tc>
      </w:tr>
      <w:tr w14:paraId="72DDB0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14:paraId="6EFCE689">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国民经济</w:t>
            </w:r>
          </w:p>
          <w:p w14:paraId="7725088E">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行业类别</w:t>
            </w:r>
          </w:p>
        </w:tc>
        <w:tc>
          <w:tcPr>
            <w:tcW w:w="2965" w:type="dxa"/>
            <w:vAlign w:val="center"/>
          </w:tcPr>
          <w:p w14:paraId="62C63A47">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C2039 </w:t>
            </w:r>
            <w:r>
              <w:rPr>
                <w:rFonts w:hint="eastAsia"/>
                <w:color w:val="000000" w:themeColor="text1"/>
                <w:sz w:val="24"/>
                <w14:textFill>
                  <w14:solidFill>
                    <w14:schemeClr w14:val="tx1"/>
                  </w14:solidFill>
                </w14:textFill>
              </w:rPr>
              <w:t>软木制品及其他木制品制造</w:t>
            </w:r>
          </w:p>
        </w:tc>
        <w:tc>
          <w:tcPr>
            <w:tcW w:w="2174" w:type="dxa"/>
            <w:vAlign w:val="center"/>
          </w:tcPr>
          <w:p w14:paraId="69B69806">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w:t>
            </w:r>
          </w:p>
          <w:p w14:paraId="1CF2FD0B">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行业类别</w:t>
            </w:r>
          </w:p>
        </w:tc>
        <w:tc>
          <w:tcPr>
            <w:tcW w:w="2691" w:type="dxa"/>
            <w:vAlign w:val="center"/>
          </w:tcPr>
          <w:p w14:paraId="30E240D3">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木质制品制造2</w:t>
            </w:r>
            <w:r>
              <w:rPr>
                <w:color w:val="000000" w:themeColor="text1"/>
                <w:sz w:val="24"/>
                <w14:textFill>
                  <w14:solidFill>
                    <w14:schemeClr w14:val="tx1"/>
                  </w14:solidFill>
                </w14:textFill>
              </w:rPr>
              <w:t>03</w:t>
            </w:r>
          </w:p>
        </w:tc>
      </w:tr>
      <w:tr w14:paraId="73F8D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14:paraId="3DC7F949">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建设性质</w:t>
            </w:r>
          </w:p>
        </w:tc>
        <w:tc>
          <w:tcPr>
            <w:tcW w:w="2965" w:type="dxa"/>
            <w:vAlign w:val="center"/>
          </w:tcPr>
          <w:p w14:paraId="3BB32B94">
            <w:pPr>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sym w:font="Wingdings" w:char="00FE"/>
            </w:r>
            <w:r>
              <w:rPr>
                <w:color w:val="000000" w:themeColor="text1"/>
                <w:sz w:val="24"/>
                <w14:textFill>
                  <w14:solidFill>
                    <w14:schemeClr w14:val="tx1"/>
                  </w14:solidFill>
                </w14:textFill>
              </w:rPr>
              <w:t>新建（迁建）</w:t>
            </w:r>
          </w:p>
          <w:p w14:paraId="639BA03C">
            <w:pPr>
              <w:jc w:val="left"/>
              <w:rPr>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改建</w:t>
            </w:r>
          </w:p>
          <w:p w14:paraId="645F04F9">
            <w:pPr>
              <w:jc w:val="left"/>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扩建</w:t>
            </w:r>
          </w:p>
          <w:p w14:paraId="2C4EA2DE">
            <w:pPr>
              <w:jc w:val="left"/>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技术改造</w:t>
            </w:r>
          </w:p>
        </w:tc>
        <w:tc>
          <w:tcPr>
            <w:tcW w:w="2174" w:type="dxa"/>
            <w:vAlign w:val="center"/>
          </w:tcPr>
          <w:p w14:paraId="5FCAF364">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w:t>
            </w:r>
          </w:p>
          <w:p w14:paraId="07E82DE1">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申报情形</w:t>
            </w:r>
          </w:p>
        </w:tc>
        <w:tc>
          <w:tcPr>
            <w:tcW w:w="2691" w:type="dxa"/>
            <w:vAlign w:val="center"/>
          </w:tcPr>
          <w:p w14:paraId="7134CF73">
            <w:pPr>
              <w:rPr>
                <w:color w:val="000000" w:themeColor="text1"/>
                <w:sz w:val="24"/>
                <w14:textFill>
                  <w14:solidFill>
                    <w14:schemeClr w14:val="tx1"/>
                  </w14:solidFill>
                </w14:textFill>
              </w:rPr>
            </w:pPr>
            <w:r>
              <w:rPr>
                <w:color w:val="000000" w:themeColor="text1"/>
                <w:sz w:val="24"/>
                <w14:textFill>
                  <w14:solidFill>
                    <w14:schemeClr w14:val="tx1"/>
                  </w14:solidFill>
                </w14:textFill>
              </w:rPr>
              <w:sym w:font="Wingdings" w:char="00FE"/>
            </w:r>
            <w:r>
              <w:rPr>
                <w:color w:val="000000" w:themeColor="text1"/>
                <w:sz w:val="24"/>
                <w14:textFill>
                  <w14:solidFill>
                    <w14:schemeClr w14:val="tx1"/>
                  </w14:solidFill>
                </w14:textFill>
              </w:rPr>
              <w:t>首次申报项目</w:t>
            </w:r>
          </w:p>
          <w:p w14:paraId="12077042">
            <w:pPr>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不予批准后再次申报项目</w:t>
            </w:r>
          </w:p>
          <w:p w14:paraId="426A42A8">
            <w:pPr>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超五年重新审核项目     </w:t>
            </w:r>
          </w:p>
          <w:p w14:paraId="018C0718">
            <w:pPr>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重大变动重新报批项目</w:t>
            </w:r>
          </w:p>
        </w:tc>
      </w:tr>
      <w:tr w14:paraId="1EB1D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14:paraId="2B9B33E4">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项目审批（核准/备案）部门（选填）</w:t>
            </w:r>
          </w:p>
        </w:tc>
        <w:tc>
          <w:tcPr>
            <w:tcW w:w="2965" w:type="dxa"/>
            <w:vAlign w:val="center"/>
          </w:tcPr>
          <w:p w14:paraId="7C228452">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2174" w:type="dxa"/>
            <w:vAlign w:val="center"/>
          </w:tcPr>
          <w:p w14:paraId="533B3D77">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项目审批（核准/备案）文号（选填）</w:t>
            </w:r>
          </w:p>
        </w:tc>
        <w:tc>
          <w:tcPr>
            <w:tcW w:w="2691" w:type="dxa"/>
            <w:vAlign w:val="center"/>
          </w:tcPr>
          <w:p w14:paraId="22B1EBDA">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r>
      <w:tr w14:paraId="157FEA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1" w:hRule="atLeast"/>
          <w:jc w:val="center"/>
        </w:trPr>
        <w:tc>
          <w:tcPr>
            <w:tcW w:w="1220" w:type="dxa"/>
            <w:tcMar>
              <w:top w:w="16" w:type="dxa"/>
              <w:left w:w="16" w:type="dxa"/>
              <w:right w:w="16" w:type="dxa"/>
            </w:tcMar>
            <w:vAlign w:val="center"/>
          </w:tcPr>
          <w:p w14:paraId="2807B025">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总投资（万元）</w:t>
            </w:r>
          </w:p>
        </w:tc>
        <w:tc>
          <w:tcPr>
            <w:tcW w:w="2965" w:type="dxa"/>
            <w:vAlign w:val="center"/>
          </w:tcPr>
          <w:p w14:paraId="49FD397B">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500</w:t>
            </w:r>
          </w:p>
        </w:tc>
        <w:tc>
          <w:tcPr>
            <w:tcW w:w="2174" w:type="dxa"/>
            <w:tcMar>
              <w:top w:w="16" w:type="dxa"/>
              <w:left w:w="16" w:type="dxa"/>
              <w:right w:w="16" w:type="dxa"/>
            </w:tcMar>
            <w:vAlign w:val="center"/>
          </w:tcPr>
          <w:p w14:paraId="12930CD0">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环保投资（万元）</w:t>
            </w:r>
          </w:p>
        </w:tc>
        <w:tc>
          <w:tcPr>
            <w:tcW w:w="2691" w:type="dxa"/>
            <w:vAlign w:val="center"/>
          </w:tcPr>
          <w:p w14:paraId="2E5F34F8">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w:t>
            </w:r>
          </w:p>
        </w:tc>
      </w:tr>
      <w:tr w14:paraId="45B91F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1220" w:type="dxa"/>
            <w:tcMar>
              <w:top w:w="16" w:type="dxa"/>
              <w:left w:w="16" w:type="dxa"/>
              <w:right w:w="16" w:type="dxa"/>
            </w:tcMar>
            <w:vAlign w:val="center"/>
          </w:tcPr>
          <w:p w14:paraId="675EC894">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环保投资占比（%）</w:t>
            </w:r>
          </w:p>
        </w:tc>
        <w:tc>
          <w:tcPr>
            <w:tcW w:w="2965" w:type="dxa"/>
            <w:vAlign w:val="center"/>
          </w:tcPr>
          <w:p w14:paraId="3A41D25F">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p>
        </w:tc>
        <w:tc>
          <w:tcPr>
            <w:tcW w:w="2174" w:type="dxa"/>
            <w:tcMar>
              <w:top w:w="16" w:type="dxa"/>
              <w:left w:w="16" w:type="dxa"/>
              <w:right w:w="16" w:type="dxa"/>
            </w:tcMar>
            <w:vAlign w:val="center"/>
          </w:tcPr>
          <w:p w14:paraId="0A3062FA">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施工工期</w:t>
            </w:r>
          </w:p>
        </w:tc>
        <w:tc>
          <w:tcPr>
            <w:tcW w:w="2691" w:type="dxa"/>
            <w:vAlign w:val="center"/>
          </w:tcPr>
          <w:p w14:paraId="7D51C9D6">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租用已建厂房，设备安装需要1个月</w:t>
            </w:r>
          </w:p>
        </w:tc>
      </w:tr>
      <w:tr w14:paraId="3CAA15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14:paraId="6A026474">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是否开工建设</w:t>
            </w:r>
          </w:p>
        </w:tc>
        <w:tc>
          <w:tcPr>
            <w:tcW w:w="2965" w:type="dxa"/>
            <w:vAlign w:val="center"/>
          </w:tcPr>
          <w:p w14:paraId="78D4A016">
            <w:pPr>
              <w:adjustRightInd w:val="0"/>
              <w:snapToGrid w:val="0"/>
              <w:spacing w:line="276"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sym w:font="Wingdings" w:char="00FE"/>
            </w:r>
            <w:r>
              <w:rPr>
                <w:color w:val="000000" w:themeColor="text1"/>
                <w:sz w:val="24"/>
                <w14:textFill>
                  <w14:solidFill>
                    <w14:schemeClr w14:val="tx1"/>
                  </w14:solidFill>
                </w14:textFill>
              </w:rPr>
              <w:t>否</w:t>
            </w:r>
          </w:p>
          <w:p w14:paraId="100E660E">
            <w:pPr>
              <w:adjustRightInd w:val="0"/>
              <w:snapToGrid w:val="0"/>
              <w:spacing w:line="276" w:lineRule="auto"/>
              <w:rPr>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是</w:t>
            </w:r>
          </w:p>
        </w:tc>
        <w:tc>
          <w:tcPr>
            <w:tcW w:w="2174" w:type="dxa"/>
            <w:tcMar>
              <w:top w:w="16" w:type="dxa"/>
              <w:left w:w="16" w:type="dxa"/>
              <w:right w:w="16" w:type="dxa"/>
            </w:tcMar>
            <w:vAlign w:val="center"/>
          </w:tcPr>
          <w:p w14:paraId="136DD685">
            <w:pPr>
              <w:adjustRightInd w:val="0"/>
              <w:snapToGrid w:val="0"/>
              <w:jc w:val="center"/>
              <w:rPr>
                <w:color w:val="000000" w:themeColor="text1"/>
                <w:spacing w:val="-6"/>
                <w:sz w:val="24"/>
                <w14:textFill>
                  <w14:solidFill>
                    <w14:schemeClr w14:val="tx1"/>
                  </w14:solidFill>
                </w14:textFill>
              </w:rPr>
            </w:pPr>
            <w:r>
              <w:rPr>
                <w:color w:val="000000" w:themeColor="text1"/>
                <w:spacing w:val="-6"/>
                <w:sz w:val="24"/>
                <w14:textFill>
                  <w14:solidFill>
                    <w14:schemeClr w14:val="tx1"/>
                  </w14:solidFill>
                </w14:textFill>
              </w:rPr>
              <w:t>用地（用海）</w:t>
            </w:r>
          </w:p>
          <w:p w14:paraId="77CB5EF7">
            <w:pPr>
              <w:adjustRightInd w:val="0"/>
              <w:snapToGrid w:val="0"/>
              <w:jc w:val="center"/>
              <w:rPr>
                <w:color w:val="000000" w:themeColor="text1"/>
                <w:sz w:val="24"/>
                <w14:textFill>
                  <w14:solidFill>
                    <w14:schemeClr w14:val="tx1"/>
                  </w14:solidFill>
                </w14:textFill>
              </w:rPr>
            </w:pPr>
            <w:r>
              <w:rPr>
                <w:color w:val="000000" w:themeColor="text1"/>
                <w:spacing w:val="-6"/>
                <w:sz w:val="24"/>
                <w14:textFill>
                  <w14:solidFill>
                    <w14:schemeClr w14:val="tx1"/>
                  </w14:solidFill>
                </w14:textFill>
              </w:rPr>
              <w:t>面积（m</w:t>
            </w:r>
            <w:r>
              <w:rPr>
                <w:color w:val="000000" w:themeColor="text1"/>
                <w:spacing w:val="-6"/>
                <w:sz w:val="24"/>
                <w:vertAlign w:val="superscript"/>
                <w14:textFill>
                  <w14:solidFill>
                    <w14:schemeClr w14:val="tx1"/>
                  </w14:solidFill>
                </w14:textFill>
              </w:rPr>
              <w:t>2</w:t>
            </w:r>
            <w:r>
              <w:rPr>
                <w:color w:val="000000" w:themeColor="text1"/>
                <w:spacing w:val="-6"/>
                <w:sz w:val="24"/>
                <w14:textFill>
                  <w14:solidFill>
                    <w14:schemeClr w14:val="tx1"/>
                  </w14:solidFill>
                </w14:textFill>
              </w:rPr>
              <w:t>）</w:t>
            </w:r>
          </w:p>
        </w:tc>
        <w:tc>
          <w:tcPr>
            <w:tcW w:w="2691" w:type="dxa"/>
            <w:vAlign w:val="center"/>
          </w:tcPr>
          <w:p w14:paraId="500721D7">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4000</w:t>
            </w:r>
          </w:p>
        </w:tc>
      </w:tr>
      <w:tr w14:paraId="2CDE28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220" w:type="dxa"/>
            <w:vAlign w:val="center"/>
          </w:tcPr>
          <w:p w14:paraId="64092034">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专项评价设置情况</w:t>
            </w:r>
          </w:p>
        </w:tc>
        <w:tc>
          <w:tcPr>
            <w:tcW w:w="7830" w:type="dxa"/>
            <w:gridSpan w:val="3"/>
            <w:vAlign w:val="center"/>
          </w:tcPr>
          <w:p w14:paraId="4D255942">
            <w:pPr>
              <w:autoSpaceDE w:val="0"/>
              <w:autoSpaceDN w:val="0"/>
              <w:adjustRightInd w:val="0"/>
              <w:spacing w:line="360" w:lineRule="auto"/>
              <w:jc w:val="center"/>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无</w:t>
            </w:r>
          </w:p>
        </w:tc>
      </w:tr>
      <w:tr w14:paraId="2F6F2B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20" w:type="dxa"/>
            <w:vAlign w:val="center"/>
          </w:tcPr>
          <w:p w14:paraId="61B7E8BD">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规划情况</w:t>
            </w:r>
          </w:p>
        </w:tc>
        <w:tc>
          <w:tcPr>
            <w:tcW w:w="7830" w:type="dxa"/>
            <w:gridSpan w:val="3"/>
            <w:vAlign w:val="center"/>
          </w:tcPr>
          <w:p w14:paraId="676882CF">
            <w:pPr>
              <w:autoSpaceDE w:val="0"/>
              <w:autoSpaceDN w:val="0"/>
              <w:adjustRightInd w:val="0"/>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无</w:t>
            </w:r>
          </w:p>
        </w:tc>
      </w:tr>
      <w:tr w14:paraId="01E9BA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220" w:type="dxa"/>
            <w:vAlign w:val="center"/>
          </w:tcPr>
          <w:p w14:paraId="56E3867D">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规划环境影响</w:t>
            </w:r>
          </w:p>
          <w:p w14:paraId="71AB58D3">
            <w:pPr>
              <w:adjustRightInd w:val="0"/>
              <w:snapToGrid w:val="0"/>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评价情况</w:t>
            </w:r>
          </w:p>
        </w:tc>
        <w:tc>
          <w:tcPr>
            <w:tcW w:w="7830" w:type="dxa"/>
            <w:gridSpan w:val="3"/>
            <w:vAlign w:val="center"/>
          </w:tcPr>
          <w:p w14:paraId="557B9AAD">
            <w:pPr>
              <w:autoSpaceDE w:val="0"/>
              <w:autoSpaceDN w:val="0"/>
              <w:adjustRightInd w:val="0"/>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无</w:t>
            </w:r>
          </w:p>
        </w:tc>
      </w:tr>
      <w:tr w14:paraId="4D7033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20" w:type="dxa"/>
            <w:vAlign w:val="center"/>
          </w:tcPr>
          <w:p w14:paraId="7EAF85FC">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规划及规划环境影响评价符合性分析</w:t>
            </w:r>
          </w:p>
        </w:tc>
        <w:tc>
          <w:tcPr>
            <w:tcW w:w="7830" w:type="dxa"/>
            <w:gridSpan w:val="3"/>
            <w:vAlign w:val="center"/>
          </w:tcPr>
          <w:p w14:paraId="2EB41401">
            <w:pPr>
              <w:autoSpaceDE w:val="0"/>
              <w:autoSpaceDN w:val="0"/>
              <w:adjustRightInd w:val="0"/>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无</w:t>
            </w:r>
          </w:p>
        </w:tc>
      </w:tr>
      <w:tr w14:paraId="288DE4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41" w:hRule="atLeast"/>
          <w:jc w:val="center"/>
        </w:trPr>
        <w:tc>
          <w:tcPr>
            <w:tcW w:w="1220" w:type="dxa"/>
            <w:vAlign w:val="center"/>
          </w:tcPr>
          <w:p w14:paraId="647CED03">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其他符合性分析</w:t>
            </w:r>
          </w:p>
        </w:tc>
        <w:tc>
          <w:tcPr>
            <w:tcW w:w="7830" w:type="dxa"/>
            <w:gridSpan w:val="3"/>
            <w:vAlign w:val="center"/>
          </w:tcPr>
          <w:p w14:paraId="279D7DC2">
            <w:pPr>
              <w:tabs>
                <w:tab w:val="center" w:pos="4718"/>
              </w:tabs>
              <w:spacing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1、产业政策相符性</w:t>
            </w:r>
          </w:p>
          <w:p w14:paraId="5FEE4401">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本项目为</w:t>
            </w:r>
            <w:r>
              <w:rPr>
                <w:rFonts w:hint="eastAsia"/>
                <w:color w:val="000000" w:themeColor="text1"/>
                <w:sz w:val="24"/>
                <w14:textFill>
                  <w14:solidFill>
                    <w14:schemeClr w14:val="tx1"/>
                  </w14:solidFill>
                </w14:textFill>
              </w:rPr>
              <w:t>C2039 软木制品及其他木制品制造</w:t>
            </w:r>
            <w:r>
              <w:rPr>
                <w:color w:val="000000" w:themeColor="text1"/>
                <w:sz w:val="24"/>
                <w14:textFill>
                  <w14:solidFill>
                    <w14:schemeClr w14:val="tx1"/>
                  </w14:solidFill>
                </w14:textFill>
              </w:rPr>
              <w:t>类项目</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根据</w:t>
            </w:r>
            <w:r>
              <w:rPr>
                <w:rFonts w:hint="eastAsia"/>
                <w:bCs/>
                <w:color w:val="000000" w:themeColor="text1"/>
                <w:sz w:val="24"/>
                <w14:textFill>
                  <w14:solidFill>
                    <w14:schemeClr w14:val="tx1"/>
                  </w14:solidFill>
                </w14:textFill>
              </w:rPr>
              <w:t>国家发改委</w:t>
            </w:r>
            <w:r>
              <w:rPr>
                <w:bCs/>
                <w:color w:val="000000" w:themeColor="text1"/>
                <w:sz w:val="24"/>
                <w14:textFill>
                  <w14:solidFill>
                    <w14:schemeClr w14:val="tx1"/>
                  </w14:solidFill>
                </w14:textFill>
              </w:rPr>
              <w:t>发布的</w:t>
            </w:r>
            <w:r>
              <w:rPr>
                <w:rFonts w:hint="eastAsia"/>
                <w:bCs/>
                <w:color w:val="000000" w:themeColor="text1"/>
                <w:sz w:val="24"/>
                <w14:textFill>
                  <w14:solidFill>
                    <w14:schemeClr w14:val="tx1"/>
                  </w14:solidFill>
                </w14:textFill>
              </w:rPr>
              <w:t>《产业结构调整指导目录（2024年本）》（中华人民共和国国家发展和改革委员会令 第7号）中，本项目</w:t>
            </w:r>
            <w:r>
              <w:rPr>
                <w:bCs/>
                <w:color w:val="000000" w:themeColor="text1"/>
                <w:sz w:val="24"/>
                <w14:textFill>
                  <w14:solidFill>
                    <w14:schemeClr w14:val="tx1"/>
                  </w14:solidFill>
                </w14:textFill>
              </w:rPr>
              <w:t>产品及</w:t>
            </w:r>
            <w:r>
              <w:rPr>
                <w:rFonts w:hint="eastAsia"/>
                <w:bCs/>
                <w:color w:val="000000" w:themeColor="text1"/>
                <w:sz w:val="24"/>
                <w14:textFill>
                  <w14:solidFill>
                    <w14:schemeClr w14:val="tx1"/>
                  </w14:solidFill>
                </w14:textFill>
              </w:rPr>
              <w:t>生产</w:t>
            </w:r>
            <w:r>
              <w:rPr>
                <w:bCs/>
                <w:color w:val="000000" w:themeColor="text1"/>
                <w:sz w:val="24"/>
                <w14:textFill>
                  <w14:solidFill>
                    <w14:schemeClr w14:val="tx1"/>
                  </w14:solidFill>
                </w14:textFill>
              </w:rPr>
              <w:t>工艺不属于</w:t>
            </w:r>
            <w:r>
              <w:rPr>
                <w:rFonts w:hint="eastAsia"/>
                <w:bCs/>
                <w:color w:val="000000" w:themeColor="text1"/>
                <w:sz w:val="24"/>
                <w14:textFill>
                  <w14:solidFill>
                    <w14:schemeClr w14:val="tx1"/>
                  </w14:solidFill>
                </w14:textFill>
              </w:rPr>
              <w:t>其规定</w:t>
            </w:r>
            <w:r>
              <w:rPr>
                <w:bCs/>
                <w:color w:val="000000" w:themeColor="text1"/>
                <w:sz w:val="24"/>
                <w14:textFill>
                  <w14:solidFill>
                    <w14:schemeClr w14:val="tx1"/>
                  </w14:solidFill>
                </w14:textFill>
              </w:rPr>
              <w:t>的淘汰和限制</w:t>
            </w:r>
            <w:r>
              <w:rPr>
                <w:rFonts w:hint="eastAsia"/>
                <w:bCs/>
                <w:color w:val="000000" w:themeColor="text1"/>
                <w:sz w:val="24"/>
                <w14:textFill>
                  <w14:solidFill>
                    <w14:schemeClr w14:val="tx1"/>
                  </w14:solidFill>
                </w14:textFill>
              </w:rPr>
              <w:t>类项目；</w:t>
            </w:r>
            <w:r>
              <w:rPr>
                <w:bCs/>
                <w:color w:val="000000" w:themeColor="text1"/>
                <w:sz w:val="24"/>
                <w14:textFill>
                  <w14:solidFill>
                    <w14:schemeClr w14:val="tx1"/>
                  </w14:solidFill>
                </w14:textFill>
              </w:rPr>
              <w:t>根据国家发展改革委、商务部</w:t>
            </w:r>
            <w:r>
              <w:rPr>
                <w:rFonts w:hint="eastAsia"/>
                <w:bCs/>
                <w:color w:val="000000" w:themeColor="text1"/>
                <w:sz w:val="24"/>
                <w14:textFill>
                  <w14:solidFill>
                    <w14:schemeClr w14:val="tx1"/>
                  </w14:solidFill>
                </w14:textFill>
              </w:rPr>
              <w:t>发布的《市场准入负面清单（2025年版）》（发改体改规〔2025〕466号），</w:t>
            </w:r>
            <w:r>
              <w:rPr>
                <w:bCs/>
                <w:color w:val="000000" w:themeColor="text1"/>
                <w:sz w:val="24"/>
                <w14:textFill>
                  <w14:solidFill>
                    <w14:schemeClr w14:val="tx1"/>
                  </w14:solidFill>
                </w14:textFill>
              </w:rPr>
              <w:t>本项目不属于</w:t>
            </w:r>
            <w:r>
              <w:rPr>
                <w:rFonts w:ascii="宋体" w:hAnsi="宋体"/>
                <w:bCs/>
                <w:color w:val="000000" w:themeColor="text1"/>
                <w:sz w:val="24"/>
                <w14:textFill>
                  <w14:solidFill>
                    <w14:schemeClr w14:val="tx1"/>
                  </w14:solidFill>
                </w14:textFill>
              </w:rPr>
              <w:t>“</w:t>
            </w:r>
            <w:r>
              <w:rPr>
                <w:rFonts w:hint="eastAsia" w:ascii="宋体" w:hAnsi="宋体"/>
                <w:bCs/>
                <w:color w:val="000000" w:themeColor="text1"/>
                <w:sz w:val="24"/>
                <w14:textFill>
                  <w14:solidFill>
                    <w14:schemeClr w14:val="tx1"/>
                  </w14:solidFill>
                </w14:textFill>
              </w:rPr>
              <w:t>与市场</w:t>
            </w:r>
            <w:r>
              <w:rPr>
                <w:rFonts w:ascii="宋体" w:hAnsi="宋体"/>
                <w:bCs/>
                <w:color w:val="000000" w:themeColor="text1"/>
                <w:sz w:val="24"/>
                <w14:textFill>
                  <w14:solidFill>
                    <w14:schemeClr w14:val="tx1"/>
                  </w14:solidFill>
                </w14:textFill>
              </w:rPr>
              <w:t>准入相关的禁止性规定”</w:t>
            </w:r>
            <w:r>
              <w:rPr>
                <w:rFonts w:hint="eastAsia" w:ascii="宋体" w:hAnsi="宋体"/>
                <w:bCs/>
                <w:color w:val="000000" w:themeColor="text1"/>
                <w:sz w:val="24"/>
                <w14:textFill>
                  <w14:solidFill>
                    <w14:schemeClr w14:val="tx1"/>
                  </w14:solidFill>
                </w14:textFill>
              </w:rPr>
              <w:t>中</w:t>
            </w:r>
            <w:r>
              <w:rPr>
                <w:rFonts w:ascii="宋体" w:hAnsi="宋体"/>
                <w:bCs/>
                <w:color w:val="000000" w:themeColor="text1"/>
                <w:sz w:val="24"/>
                <w14:textFill>
                  <w14:solidFill>
                    <w14:schemeClr w14:val="tx1"/>
                  </w14:solidFill>
                </w14:textFill>
              </w:rPr>
              <w:t>的</w:t>
            </w:r>
            <w:r>
              <w:rPr>
                <w:rFonts w:hint="eastAsia" w:ascii="宋体" w:hAnsi="宋体"/>
                <w:bCs/>
                <w:color w:val="000000" w:themeColor="text1"/>
                <w:sz w:val="24"/>
                <w14:textFill>
                  <w14:solidFill>
                    <w14:schemeClr w14:val="tx1"/>
                  </w14:solidFill>
                </w14:textFill>
              </w:rPr>
              <w:t>“制造业”禁止</w:t>
            </w:r>
            <w:r>
              <w:rPr>
                <w:rFonts w:ascii="宋体" w:hAnsi="宋体"/>
                <w:bCs/>
                <w:color w:val="000000" w:themeColor="text1"/>
                <w:sz w:val="24"/>
                <w14:textFill>
                  <w14:solidFill>
                    <w14:schemeClr w14:val="tx1"/>
                  </w14:solidFill>
                </w14:textFill>
              </w:rPr>
              <w:t>措施，亦不属于“</w:t>
            </w:r>
            <w:r>
              <w:rPr>
                <w:rFonts w:hint="eastAsia" w:ascii="宋体" w:hAnsi="宋体"/>
                <w:bCs/>
                <w:color w:val="000000" w:themeColor="text1"/>
                <w:sz w:val="24"/>
                <w14:textFill>
                  <w14:solidFill>
                    <w14:schemeClr w14:val="tx1"/>
                  </w14:solidFill>
                </w14:textFill>
              </w:rPr>
              <w:t>市场</w:t>
            </w:r>
            <w:r>
              <w:rPr>
                <w:rFonts w:ascii="宋体" w:hAnsi="宋体"/>
                <w:bCs/>
                <w:color w:val="000000" w:themeColor="text1"/>
                <w:sz w:val="24"/>
                <w14:textFill>
                  <w14:solidFill>
                    <w14:schemeClr w14:val="tx1"/>
                  </w14:solidFill>
                </w14:textFill>
              </w:rPr>
              <w:t>准入负面清单”</w:t>
            </w:r>
            <w:r>
              <w:rPr>
                <w:rFonts w:hint="eastAsia" w:ascii="宋体" w:hAnsi="宋体"/>
                <w:bCs/>
                <w:color w:val="000000" w:themeColor="text1"/>
                <w:sz w:val="24"/>
                <w14:textFill>
                  <w14:solidFill>
                    <w14:schemeClr w14:val="tx1"/>
                  </w14:solidFill>
                </w14:textFill>
              </w:rPr>
              <w:t>中</w:t>
            </w:r>
            <w:r>
              <w:rPr>
                <w:rFonts w:ascii="宋体" w:hAnsi="宋体"/>
                <w:bCs/>
                <w:color w:val="000000" w:themeColor="text1"/>
                <w:sz w:val="24"/>
                <w14:textFill>
                  <w14:solidFill>
                    <w14:schemeClr w14:val="tx1"/>
                  </w14:solidFill>
                </w14:textFill>
              </w:rPr>
              <w:t>的“</w:t>
            </w:r>
            <w:r>
              <w:rPr>
                <w:rFonts w:hint="eastAsia" w:ascii="宋体" w:hAnsi="宋体"/>
                <w:bCs/>
                <w:color w:val="000000" w:themeColor="text1"/>
                <w:sz w:val="24"/>
                <w14:textFill>
                  <w14:solidFill>
                    <w14:schemeClr w14:val="tx1"/>
                  </w14:solidFill>
                </w14:textFill>
              </w:rPr>
              <w:t>禁止</w:t>
            </w:r>
            <w:r>
              <w:rPr>
                <w:rFonts w:ascii="宋体" w:hAnsi="宋体"/>
                <w:bCs/>
                <w:color w:val="000000" w:themeColor="text1"/>
                <w:sz w:val="24"/>
                <w14:textFill>
                  <w14:solidFill>
                    <w14:schemeClr w14:val="tx1"/>
                  </w14:solidFill>
                </w14:textFill>
              </w:rPr>
              <w:t>准入类”</w:t>
            </w:r>
            <w:r>
              <w:rPr>
                <w:bCs/>
                <w:color w:val="000000" w:themeColor="text1"/>
                <w:sz w:val="24"/>
                <w14:textFill>
                  <w14:solidFill>
                    <w14:schemeClr w14:val="tx1"/>
                  </w14:solidFill>
                </w14:textFill>
              </w:rPr>
              <w:t>，故本项目的建设</w:t>
            </w:r>
            <w:r>
              <w:rPr>
                <w:rFonts w:hint="eastAsia"/>
                <w:bCs/>
                <w:color w:val="000000" w:themeColor="text1"/>
                <w:sz w:val="24"/>
                <w14:textFill>
                  <w14:solidFill>
                    <w14:schemeClr w14:val="tx1"/>
                  </w14:solidFill>
                </w14:textFill>
              </w:rPr>
              <w:t>符合国家当前产业政策。</w:t>
            </w:r>
          </w:p>
          <w:p w14:paraId="52B3D3F9">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项目</w:t>
            </w:r>
            <w:r>
              <w:rPr>
                <w:rFonts w:hint="eastAsia"/>
                <w:b/>
                <w:bCs/>
                <w:color w:val="000000" w:themeColor="text1"/>
                <w:sz w:val="24"/>
                <w14:textFill>
                  <w14:solidFill>
                    <w14:schemeClr w14:val="tx1"/>
                  </w14:solidFill>
                </w14:textFill>
              </w:rPr>
              <w:t>用地</w:t>
            </w:r>
            <w:r>
              <w:rPr>
                <w:b/>
                <w:bCs/>
                <w:color w:val="000000" w:themeColor="text1"/>
                <w:sz w:val="24"/>
                <w14:textFill>
                  <w14:solidFill>
                    <w14:schemeClr w14:val="tx1"/>
                  </w14:solidFill>
                </w14:textFill>
              </w:rPr>
              <w:t>合法性</w:t>
            </w:r>
            <w:r>
              <w:rPr>
                <w:rFonts w:hint="eastAsia"/>
                <w:b/>
                <w:bCs/>
                <w:color w:val="000000" w:themeColor="text1"/>
                <w:sz w:val="24"/>
                <w14:textFill>
                  <w14:solidFill>
                    <w14:schemeClr w14:val="tx1"/>
                  </w14:solidFill>
                </w14:textFill>
              </w:rPr>
              <w:t>及选址合理性</w:t>
            </w:r>
            <w:r>
              <w:rPr>
                <w:b/>
                <w:bCs/>
                <w:color w:val="000000" w:themeColor="text1"/>
                <w:sz w:val="24"/>
                <w14:textFill>
                  <w14:solidFill>
                    <w14:schemeClr w14:val="tx1"/>
                  </w14:solidFill>
                </w14:textFill>
              </w:rPr>
              <w:t>分析</w:t>
            </w:r>
          </w:p>
          <w:p w14:paraId="57D7C9BA">
            <w:pPr>
              <w:spacing w:line="360" w:lineRule="auto"/>
              <w:ind w:firstLine="480" w:firstLineChars="200"/>
              <w:rPr>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w:t>
            </w:r>
            <w:r>
              <w:rPr>
                <w:bCs/>
                <w:color w:val="000000" w:themeColor="text1"/>
                <w:sz w:val="24"/>
                <w14:textFill>
                  <w14:solidFill>
                    <w14:schemeClr w14:val="tx1"/>
                  </w14:solidFill>
                </w14:textFill>
              </w:rPr>
              <w:t>位于</w:t>
            </w:r>
            <w:bookmarkStart w:id="1" w:name="_Hlk206766663"/>
            <w:r>
              <w:rPr>
                <w:bCs/>
                <w:color w:val="000000" w:themeColor="text1"/>
                <w:sz w:val="24"/>
                <w14:textFill>
                  <w14:solidFill>
                    <w14:schemeClr w14:val="tx1"/>
                  </w14:solidFill>
                </w14:textFill>
              </w:rPr>
              <w:t>博罗县</w:t>
            </w:r>
            <w:r>
              <w:rPr>
                <w:rFonts w:hint="eastAsia"/>
                <w:bCs/>
                <w:color w:val="000000" w:themeColor="text1"/>
                <w:sz w:val="24"/>
                <w14:textFill>
                  <w14:solidFill>
                    <w14:schemeClr w14:val="tx1"/>
                  </w14:solidFill>
                </w14:textFill>
              </w:rPr>
              <w:t>长宁镇</w:t>
            </w:r>
            <w:r>
              <w:rPr>
                <w:bCs/>
                <w:color w:val="000000" w:themeColor="text1"/>
                <w:sz w:val="24"/>
                <w14:textFill>
                  <w14:solidFill>
                    <w14:schemeClr w14:val="tx1"/>
                  </w14:solidFill>
                </w14:textFill>
              </w:rPr>
              <w:t>福田镇荔枝墩村</w:t>
            </w:r>
            <w:r>
              <w:rPr>
                <w:rFonts w:hint="eastAsia"/>
                <w:color w:val="000000" w:themeColor="text1"/>
                <w:sz w:val="24"/>
                <w14:textFill>
                  <w14:solidFill>
                    <w14:schemeClr w14:val="tx1"/>
                  </w14:solidFill>
                </w14:textFill>
              </w:rPr>
              <w:t>（福达工业区福达大道277-1号）</w:t>
            </w:r>
            <w:bookmarkEnd w:id="1"/>
            <w:r>
              <w:rPr>
                <w:bCs/>
                <w:color w:val="000000" w:themeColor="text1"/>
                <w:sz w:val="24"/>
                <w14:textFill>
                  <w14:solidFill>
                    <w14:schemeClr w14:val="tx1"/>
                  </w14:solidFill>
                </w14:textFill>
              </w:rPr>
              <w:t>，总用地面积为</w:t>
            </w:r>
            <w:r>
              <w:rPr>
                <w:rFonts w:hint="eastAsia"/>
                <w:bCs/>
                <w:color w:val="000000" w:themeColor="text1"/>
                <w:sz w:val="24"/>
                <w14:textFill>
                  <w14:solidFill>
                    <w14:schemeClr w14:val="tx1"/>
                  </w14:solidFill>
                </w14:textFill>
              </w:rPr>
              <w:t>4000平方米</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根据项目所在地的土地规划（见附图12-1），项目所在地为二类工业工地，符合福田镇土地利用总体规划</w:t>
            </w:r>
            <w:r>
              <w:rPr>
                <w:rFonts w:hint="eastAsia"/>
                <w:color w:val="000000" w:themeColor="text1"/>
                <w:sz w:val="24"/>
                <w14:textFill>
                  <w14:solidFill>
                    <w14:schemeClr w14:val="tx1"/>
                  </w14:solidFill>
                </w14:textFill>
              </w:rPr>
              <w:t>，根据《博罗县国土空间总体规划（2021-2035年）》（</w:t>
            </w:r>
            <w:r>
              <w:rPr>
                <w:rFonts w:hint="eastAsia"/>
                <w:bCs/>
                <w:color w:val="000000" w:themeColor="text1"/>
                <w:sz w:val="24"/>
                <w14:textFill>
                  <w14:solidFill>
                    <w14:schemeClr w14:val="tx1"/>
                  </w14:solidFill>
                </w14:textFill>
              </w:rPr>
              <w:t>见附图12-2</w:t>
            </w:r>
            <w:r>
              <w:rPr>
                <w:rFonts w:hint="eastAsia"/>
                <w:color w:val="000000" w:themeColor="text1"/>
                <w:sz w:val="24"/>
                <w14:textFill>
                  <w14:solidFill>
                    <w14:schemeClr w14:val="tx1"/>
                  </w14:solidFill>
                </w14:textFill>
              </w:rPr>
              <w:t>），项目所在地属于工业发展区，选址符合《博罗县国土空间总体规划（2021-2035年）》，综上所述，</w:t>
            </w:r>
            <w:r>
              <w:rPr>
                <w:color w:val="000000" w:themeColor="text1"/>
                <w:sz w:val="24"/>
                <w14:textFill>
                  <w14:solidFill>
                    <w14:schemeClr w14:val="tx1"/>
                  </w14:solidFill>
                </w14:textFill>
              </w:rPr>
              <w:t>选址是合理的。</w:t>
            </w:r>
          </w:p>
          <w:p w14:paraId="4EE75E89">
            <w:pPr>
              <w:spacing w:line="360" w:lineRule="auto"/>
              <w:ind w:firstLine="482" w:firstLineChars="200"/>
              <w:rPr>
                <w:b/>
                <w:bCs/>
                <w:color w:val="000000"/>
                <w:sz w:val="24"/>
              </w:rPr>
            </w:pPr>
            <w:r>
              <w:rPr>
                <w:rFonts w:hint="eastAsia"/>
                <w:b/>
                <w:bCs/>
                <w:color w:val="000000" w:themeColor="text1"/>
                <w:sz w:val="24"/>
                <w14:textFill>
                  <w14:solidFill>
                    <w14:schemeClr w14:val="tx1"/>
                  </w14:solidFill>
                </w14:textFill>
              </w:rPr>
              <w:t>3、</w:t>
            </w:r>
            <w:r>
              <w:rPr>
                <w:b/>
                <w:bCs/>
                <w:color w:val="000000"/>
                <w:sz w:val="24"/>
              </w:rPr>
              <w:t>三线一单”符合性分析</w:t>
            </w:r>
          </w:p>
          <w:p w14:paraId="1D2296DC">
            <w:pPr>
              <w:widowControl/>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根据《博罗县生态保护红线、环境质量底线、资源利用上线和环境准入清单研究报告》的要求，本项目与所在区域的生态保护红线、环境质量底线、资源利用上线和生态环境准入清单（“三线一单”）进行对照分析，详见下表：</w:t>
            </w:r>
          </w:p>
          <w:p w14:paraId="53023310">
            <w:pPr>
              <w:pStyle w:val="6"/>
              <w:spacing w:before="0" w:after="0" w:line="360" w:lineRule="auto"/>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 xml:space="preserve">表1-1 </w:t>
            </w:r>
            <w:r>
              <w:rPr>
                <w:rFonts w:ascii="Times New Roman" w:hAnsi="Times New Roman" w:eastAsia="宋体"/>
                <w:color w:val="000000"/>
                <w:sz w:val="21"/>
                <w:szCs w:val="21"/>
              </w:rPr>
              <w:t xml:space="preserve"> “三线一单”对照分析情况</w:t>
            </w:r>
          </w:p>
          <w:tbl>
            <w:tblPr>
              <w:tblStyle w:val="4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1149"/>
              <w:gridCol w:w="3552"/>
              <w:gridCol w:w="2409"/>
            </w:tblGrid>
            <w:tr w14:paraId="0A8CA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078" w:type="pct"/>
                  <w:gridSpan w:val="2"/>
                  <w:vAlign w:val="center"/>
                </w:tcPr>
                <w:p w14:paraId="166DCF0C">
                  <w:pPr>
                    <w:adjustRightInd w:val="0"/>
                    <w:snapToGrid w:val="0"/>
                    <w:ind w:left="-105" w:leftChars="-50" w:right="-105" w:rightChars="-5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博罗县分类环境管控单元及环境准入负面清单</w:t>
                  </w:r>
                </w:p>
              </w:tc>
              <w:tc>
                <w:tcPr>
                  <w:tcW w:w="2337" w:type="pct"/>
                  <w:vAlign w:val="center"/>
                </w:tcPr>
                <w:p w14:paraId="0DACB7DC">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项目情况</w:t>
                  </w:r>
                </w:p>
              </w:tc>
              <w:tc>
                <w:tcPr>
                  <w:tcW w:w="1584" w:type="pct"/>
                  <w:vAlign w:val="center"/>
                </w:tcPr>
                <w:p w14:paraId="361624C0">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本项目相符性分析</w:t>
                  </w:r>
                </w:p>
              </w:tc>
            </w:tr>
            <w:tr w14:paraId="7A9AA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8" w:type="pct"/>
                  <w:gridSpan w:val="2"/>
                  <w:vAlign w:val="center"/>
                </w:tcPr>
                <w:p w14:paraId="519EE75D">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生态保护红线</w:t>
                  </w:r>
                </w:p>
              </w:tc>
              <w:tc>
                <w:tcPr>
                  <w:tcW w:w="2337" w:type="pct"/>
                  <w:vAlign w:val="center"/>
                </w:tcPr>
                <w:p w14:paraId="581EC721">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根据《博罗县生态保护红线、环境质量底线、资源利用上线和环境准入清单研究报告》中表3.3-2，福田镇生态保护红线面积为5.035km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，一般生态空间26.639km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，生态空间一般管控区面积61.894km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c>
                <w:tcPr>
                  <w:tcW w:w="1584" w:type="pct"/>
                  <w:vAlign w:val="center"/>
                </w:tcPr>
                <w:p w14:paraId="2FCA2FDB">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根据博罗县生态空间最终划定情况图（附图</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），本项目属于生态空间一般管控区。</w:t>
                  </w:r>
                </w:p>
              </w:tc>
            </w:tr>
            <w:tr w14:paraId="6D9E8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2" w:type="pct"/>
                  <w:vMerge w:val="restart"/>
                  <w:vAlign w:val="center"/>
                </w:tcPr>
                <w:p w14:paraId="1A6524D0">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环境质量底线</w:t>
                  </w:r>
                </w:p>
              </w:tc>
              <w:tc>
                <w:tcPr>
                  <w:tcW w:w="755" w:type="pct"/>
                  <w:vAlign w:val="center"/>
                </w:tcPr>
                <w:p w14:paraId="3541F18A">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地表水环境质量底线及管控分区</w:t>
                  </w:r>
                </w:p>
              </w:tc>
              <w:tc>
                <w:tcPr>
                  <w:tcW w:w="2337" w:type="pct"/>
                  <w:vAlign w:val="center"/>
                </w:tcPr>
                <w:p w14:paraId="3DDC1AE4">
                  <w:pPr>
                    <w:widowControl/>
                    <w:wordWrap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根据《博罗县生态保护红线、环境质量底线、资源利用上线和环境准入清单研究报告》中表4.8-2，福田镇水环境一般管控区面积93.569km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，其他管控区均为0km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c>
                <w:tcPr>
                  <w:tcW w:w="1584" w:type="pct"/>
                  <w:vAlign w:val="center"/>
                </w:tcPr>
                <w:p w14:paraId="40007BEA">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根据博罗县水环境质量底线管控分区划定情况图（附图</w:t>
                  </w:r>
                  <w:r>
                    <w:rPr>
                      <w:rFonts w:hint="eastAsia"/>
                      <w:color w:val="000000" w:themeColor="text1"/>
                      <w14:textFill>
                        <w14:solidFill>
                          <w14:schemeClr w14:val="tx1"/>
                        </w14:solidFill>
                      </w14:textFill>
                    </w:rPr>
                    <w:t>14</w:t>
                  </w:r>
                  <w:r>
                    <w:rPr>
                      <w:color w:val="000000" w:themeColor="text1"/>
                      <w14:textFill>
                        <w14:solidFill>
                          <w14:schemeClr w14:val="tx1"/>
                        </w14:solidFill>
                      </w14:textFill>
                    </w:rPr>
                    <w:t>），本项目位于博罗县水环境一般管控区。项目实行雨污分流，无工业废水</w:t>
                  </w:r>
                  <w:r>
                    <w:rPr>
                      <w:rFonts w:hint="eastAsia"/>
                      <w:color w:val="000000" w:themeColor="text1"/>
                      <w14:textFill>
                        <w14:solidFill>
                          <w14:schemeClr w14:val="tx1"/>
                        </w14:solidFill>
                      </w14:textFill>
                    </w:rPr>
                    <w:t>产生及</w:t>
                  </w:r>
                  <w:r>
                    <w:rPr>
                      <w:color w:val="000000" w:themeColor="text1"/>
                      <w14:textFill>
                        <w14:solidFill>
                          <w14:schemeClr w14:val="tx1"/>
                        </w14:solidFill>
                      </w14:textFill>
                    </w:rPr>
                    <w:t>外排，生活污水经</w:t>
                  </w:r>
                  <w:r>
                    <w:rPr>
                      <w:rFonts w:hint="eastAsia"/>
                      <w:color w:val="000000" w:themeColor="text1"/>
                      <w14:textFill>
                        <w14:solidFill>
                          <w14:schemeClr w14:val="tx1"/>
                        </w14:solidFill>
                      </w14:textFill>
                    </w:rPr>
                    <w:t>隔油隔渣+</w:t>
                  </w:r>
                  <w:r>
                    <w:rPr>
                      <w:color w:val="000000" w:themeColor="text1"/>
                      <w14:textFill>
                        <w14:solidFill>
                          <w14:schemeClr w14:val="tx1"/>
                        </w14:solidFill>
                      </w14:textFill>
                    </w:rPr>
                    <w:t>三级化粪池预处理达标后排入</w:t>
                  </w:r>
                  <w:r>
                    <w:rPr>
                      <w:rFonts w:hint="eastAsia"/>
                      <w:color w:val="000000" w:themeColor="text1"/>
                      <w14:textFill>
                        <w14:solidFill>
                          <w14:schemeClr w14:val="tx1"/>
                        </w14:solidFill>
                      </w14:textFill>
                    </w:rPr>
                    <w:t>博罗县福田镇生活污水处理厂</w:t>
                  </w:r>
                  <w:r>
                    <w:rPr>
                      <w:color w:val="000000" w:themeColor="text1"/>
                      <w14:textFill>
                        <w14:solidFill>
                          <w14:schemeClr w14:val="tx1"/>
                        </w14:solidFill>
                      </w14:textFill>
                    </w:rPr>
                    <w:t>处理厂进行深度处理，符合管控要求</w:t>
                  </w:r>
                </w:p>
              </w:tc>
            </w:tr>
            <w:tr w14:paraId="505FD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2" w:type="pct"/>
                  <w:vMerge w:val="continue"/>
                  <w:vAlign w:val="center"/>
                </w:tcPr>
                <w:p w14:paraId="75A3EC7B">
                  <w:pPr>
                    <w:adjustRightInd w:val="0"/>
                    <w:snapToGrid w:val="0"/>
                    <w:jc w:val="center"/>
                    <w:rPr>
                      <w:color w:val="000000" w:themeColor="text1"/>
                      <w14:textFill>
                        <w14:solidFill>
                          <w14:schemeClr w14:val="tx1"/>
                        </w14:solidFill>
                      </w14:textFill>
                    </w:rPr>
                  </w:pPr>
                </w:p>
              </w:tc>
              <w:tc>
                <w:tcPr>
                  <w:tcW w:w="755" w:type="pct"/>
                  <w:vAlign w:val="center"/>
                </w:tcPr>
                <w:p w14:paraId="2CB4133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大气环境质量底线及管控分区</w:t>
                  </w:r>
                </w:p>
              </w:tc>
              <w:tc>
                <w:tcPr>
                  <w:tcW w:w="2337" w:type="pct"/>
                  <w:vAlign w:val="center"/>
                </w:tcPr>
                <w:p w14:paraId="1351C115">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根据《博罗县生态保护红线、环境质量底线、资源利用上线和环境准入清单研究报告》中表5.4-2，福田大气环境优先保护区面积42.340km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，大气环境布局敏感重点管控区面积51.229km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，大气环境高排放重点管控区、大气环境弱扩散重点管控区以及大气环境一般管控区面积均为0km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c>
                <w:tcPr>
                  <w:tcW w:w="1584" w:type="pct"/>
                  <w:vAlign w:val="center"/>
                </w:tcPr>
                <w:p w14:paraId="4268FA87">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根据博罗县大气环境质量底线管控分区划定情况图（附图1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），本项目位于博罗县大气环境布局敏感重点管控区。项目未生产和使用高挥发性有机物原辅材料，生产废气均收集达标后高空排放，符合管控要求。</w:t>
                  </w:r>
                </w:p>
              </w:tc>
            </w:tr>
            <w:tr w14:paraId="2DD85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322" w:type="pct"/>
                  <w:vMerge w:val="continue"/>
                  <w:vAlign w:val="center"/>
                </w:tcPr>
                <w:p w14:paraId="074F1EA0">
                  <w:pPr>
                    <w:jc w:val="center"/>
                    <w:rPr>
                      <w:color w:val="000000" w:themeColor="text1"/>
                      <w14:textFill>
                        <w14:solidFill>
                          <w14:schemeClr w14:val="tx1"/>
                        </w14:solidFill>
                      </w14:textFill>
                    </w:rPr>
                  </w:pPr>
                </w:p>
              </w:tc>
              <w:tc>
                <w:tcPr>
                  <w:tcW w:w="755" w:type="pct"/>
                  <w:vAlign w:val="center"/>
                </w:tcPr>
                <w:p w14:paraId="01569E18">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土壤环境安全利用底线</w:t>
                  </w:r>
                </w:p>
              </w:tc>
              <w:tc>
                <w:tcPr>
                  <w:tcW w:w="2337" w:type="pct"/>
                  <w:vAlign w:val="center"/>
                </w:tcPr>
                <w:p w14:paraId="72FBBA82">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根据《博罗县生态保护红线、环境质量底线、资源利用上线和环境准入清单研究报告》，博罗县建设用地重点管控分区共151个斑块，总面积339250 4.113m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，占博罗县辖区面积的0.078119%，占博罗县辖区建设用地面积比例的1.391%。根据表6.1-6，福田镇建设用地一般管控区面积为9.036km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，未利用地一般管控区4.217km</w:t>
                  </w:r>
                  <w:r>
                    <w:rPr>
                      <w:color w:val="000000" w:themeColor="text1"/>
                      <w:vertAlign w:val="superscript"/>
                      <w14:textFill>
                        <w14:solidFill>
                          <w14:schemeClr w14:val="tx1"/>
                        </w14:solidFill>
                      </w14:textFill>
                    </w:rPr>
                    <w:t>2</w:t>
                  </w:r>
                </w:p>
              </w:tc>
              <w:tc>
                <w:tcPr>
                  <w:tcW w:w="1584" w:type="pct"/>
                  <w:vAlign w:val="center"/>
                </w:tcPr>
                <w:p w14:paraId="3E2F0B7B">
                  <w:pPr>
                    <w:pStyle w:val="14"/>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根据博罗县建设用地土壤管控分区划定情况（附图1</w:t>
                  </w: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），本项目位于博罗县土壤环境一般管控区_不含农用地。项目无重金属排放，生产过程中一般固废和危险废物妥善处置，符合管控要求。</w:t>
                  </w:r>
                </w:p>
              </w:tc>
            </w:tr>
            <w:tr w14:paraId="348BC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restart"/>
                  <w:vAlign w:val="center"/>
                </w:tcPr>
                <w:p w14:paraId="5F591909">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资源利用上线</w:t>
                  </w:r>
                </w:p>
              </w:tc>
              <w:tc>
                <w:tcPr>
                  <w:tcW w:w="2337" w:type="pct"/>
                  <w:vAlign w:val="center"/>
                </w:tcPr>
                <w:p w14:paraId="78226687">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土地资源管控分区：对于土地资源分区，将土地资源划分为优先保护区、重点管控区和一般管控区 3类。其中，将生态保护红线和永久基本农田的图层叠加取并集形成优先保护区；将受污染建设用地作为重点管控区；其他区域为一般管控区。博罗县共划定土地资源优先保护区834.505km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c>
                <w:tcPr>
                  <w:tcW w:w="1584" w:type="pct"/>
                  <w:vAlign w:val="center"/>
                </w:tcPr>
                <w:p w14:paraId="5AC4375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根据博罗县资源利用上线—土地资源优先保护区划定情况（附图1</w:t>
                  </w:r>
                  <w:r>
                    <w:rPr>
                      <w:rFonts w:hint="eastAsia"/>
                      <w:color w:val="000000" w:themeColor="text1"/>
                      <w14:textFill>
                        <w14:solidFill>
                          <w14:schemeClr w14:val="tx1"/>
                        </w14:solidFill>
                      </w14:textFill>
                    </w:rPr>
                    <w:t>7</w:t>
                  </w:r>
                  <w:r>
                    <w:rPr>
                      <w:color w:val="000000" w:themeColor="text1"/>
                      <w14:textFill>
                        <w14:solidFill>
                          <w14:schemeClr w14:val="tx1"/>
                        </w14:solidFill>
                      </w14:textFill>
                    </w:rPr>
                    <w:t>），本项目不位于土地资源优先保护区，属于一般管控区。项目主要为生产用水和员工生活用水，不涉及水、土等重点资源高消耗，不会突破资源利用上限。</w:t>
                  </w:r>
                </w:p>
              </w:tc>
            </w:tr>
            <w:tr w14:paraId="3B3A7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8" w:type="pct"/>
                  <w:gridSpan w:val="2"/>
                  <w:vMerge w:val="continue"/>
                  <w:vAlign w:val="center"/>
                </w:tcPr>
                <w:p w14:paraId="7149B678">
                  <w:pPr>
                    <w:adjustRightInd w:val="0"/>
                    <w:snapToGrid w:val="0"/>
                    <w:jc w:val="center"/>
                    <w:rPr>
                      <w:color w:val="000000" w:themeColor="text1"/>
                      <w14:textFill>
                        <w14:solidFill>
                          <w14:schemeClr w14:val="tx1"/>
                        </w14:solidFill>
                      </w14:textFill>
                    </w:rPr>
                  </w:pPr>
                </w:p>
              </w:tc>
              <w:tc>
                <w:tcPr>
                  <w:tcW w:w="2337" w:type="pct"/>
                  <w:vAlign w:val="center"/>
                </w:tcPr>
                <w:p w14:paraId="33EA015F">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能源（煤炭）管控分区：将《惠州市人民政府关于重新划定惠州市高污染燃料禁燃区的通告》（惠府〔2018〕2 号）文件中Ⅲ类管控燃料控制区划入高污染燃料禁燃区，作为能源（煤炭）利用的重点管控区，总面积394.927km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c>
                <w:tcPr>
                  <w:tcW w:w="1584" w:type="pct"/>
                  <w:vAlign w:val="center"/>
                </w:tcPr>
                <w:p w14:paraId="33436304">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根据博罗县资源利用上线—高污染燃料禁燃区划定情况（附图</w:t>
                  </w:r>
                  <w:r>
                    <w:rPr>
                      <w:rFonts w:hint="eastAsia"/>
                      <w:color w:val="000000" w:themeColor="text1"/>
                      <w14:textFill>
                        <w14:solidFill>
                          <w14:schemeClr w14:val="tx1"/>
                        </w14:solidFill>
                      </w14:textFill>
                    </w:rPr>
                    <w:t>18</w:t>
                  </w:r>
                  <w:r>
                    <w:rPr>
                      <w:color w:val="000000" w:themeColor="text1"/>
                      <w14:textFill>
                        <w14:solidFill>
                          <w14:schemeClr w14:val="tx1"/>
                        </w14:solidFill>
                      </w14:textFill>
                    </w:rPr>
                    <w:t>），本项目不位于高污染燃料禁燃区，本项目以电作为能源，不使用煤炭。</w:t>
                  </w:r>
                </w:p>
              </w:tc>
            </w:tr>
            <w:tr w14:paraId="759AD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4C23645F">
                  <w:pPr>
                    <w:adjustRightInd w:val="0"/>
                    <w:snapToGrid w:val="0"/>
                    <w:jc w:val="center"/>
                    <w:rPr>
                      <w:color w:val="000000" w:themeColor="text1"/>
                      <w14:textFill>
                        <w14:solidFill>
                          <w14:schemeClr w14:val="tx1"/>
                        </w14:solidFill>
                      </w14:textFill>
                    </w:rPr>
                  </w:pPr>
                </w:p>
              </w:tc>
              <w:tc>
                <w:tcPr>
                  <w:tcW w:w="2337" w:type="pct"/>
                  <w:vAlign w:val="center"/>
                </w:tcPr>
                <w:p w14:paraId="04CE8029">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矿产资源管控分区：对于矿产资源管控分区，衔接省市矿产资源总体规划中勘查及开采规划分区，划分优先保护区、重点管控区和一般管控区 3 类分区。其中，将生态保护红线和县级以上禁止开发区域叠加形成矿产资源开采敏感区，作为优先保护区；将重点勘查区中的连片山区（结合地类斑块进行边界落地）和重点矿区作为重点管控区；其他区域为一般管控区。博罗县划定为优先保护区和一般管控区 2 类，其中优先保护区面积为633.776km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c>
                <w:tcPr>
                  <w:tcW w:w="1584" w:type="pct"/>
                  <w:vAlign w:val="center"/>
                </w:tcPr>
                <w:p w14:paraId="01174ABD">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根据博罗县资源利用上线—矿产资源开发敏感区划定情况（附图1</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），本项目不位于矿产资源开发敏感区，属于一般管控区。</w:t>
                  </w:r>
                </w:p>
              </w:tc>
            </w:tr>
            <w:tr w14:paraId="0AB83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5000" w:type="pct"/>
                  <w:gridSpan w:val="4"/>
                  <w:vAlign w:val="center"/>
                </w:tcPr>
                <w:p w14:paraId="5138CA5D">
                  <w:pPr>
                    <w:pStyle w:val="35"/>
                    <w:shd w:val="clear" w:color="auto" w:fill="FFFFFF"/>
                    <w:spacing w:before="0" w:beforeAutospacing="0" w:after="0" w:afterAutospacing="0"/>
                    <w:jc w:val="center"/>
                    <w:rPr>
                      <w:rFonts w:ascii="Times New Roman" w:hAnsi="Times New Roman"/>
                      <w:b/>
                      <w:bCs/>
                      <w:color w:val="000000" w:themeColor="text1"/>
                      <w:sz w:val="21"/>
                      <w14:textFill>
                        <w14:solidFill>
                          <w14:schemeClr w14:val="tx1"/>
                        </w14:solidFill>
                      </w14:textFill>
                    </w:rPr>
                  </w:pPr>
                  <w:r>
                    <w:rPr>
                      <w:rFonts w:ascii="Times New Roman" w:hAnsi="Times New Roman"/>
                      <w:b/>
                      <w:bCs/>
                      <w:color w:val="000000" w:themeColor="text1"/>
                      <w:sz w:val="21"/>
                      <w14:textFill>
                        <w14:solidFill>
                          <w14:schemeClr w14:val="tx1"/>
                        </w14:solidFill>
                      </w14:textFill>
                    </w:rPr>
                    <w:t>与博罗沙河流域重点管控单元（ZH44132220001）生态环境准入清单</w:t>
                  </w:r>
                  <w:r>
                    <w:rPr>
                      <w:rFonts w:hint="eastAsia" w:ascii="Times New Roman" w:hAnsi="Times New Roman"/>
                      <w:b/>
                      <w:bCs/>
                      <w:color w:val="000000" w:themeColor="text1"/>
                      <w:sz w:val="21"/>
                      <w14:textFill>
                        <w14:solidFill>
                          <w14:schemeClr w14:val="tx1"/>
                        </w14:solidFill>
                      </w14:textFill>
                    </w:rPr>
                    <w:t>、</w:t>
                  </w:r>
                  <w:r>
                    <w:rPr>
                      <w:rFonts w:ascii="Times New Roman" w:hAnsi="Times New Roman"/>
                      <w:b/>
                      <w:bCs/>
                      <w:color w:val="000000" w:themeColor="text1"/>
                      <w:sz w:val="21"/>
                      <w14:textFill>
                        <w14:solidFill>
                          <w14:schemeClr w14:val="tx1"/>
                        </w14:solidFill>
                      </w14:textFill>
                    </w:rPr>
                    <w:t>《惠州市“三线一单”生态环境分区管控方案2023年度动态更新成果》</w:t>
                  </w:r>
                  <w:r>
                    <w:rPr>
                      <w:rFonts w:hint="eastAsia" w:ascii="Times New Roman" w:hAnsi="Times New Roman"/>
                      <w:b/>
                      <w:bCs/>
                      <w:color w:val="000000" w:themeColor="text1"/>
                      <w:sz w:val="21"/>
                      <w14:textFill>
                        <w14:solidFill>
                          <w14:schemeClr w14:val="tx1"/>
                        </w14:solidFill>
                      </w14:textFill>
                    </w:rPr>
                    <w:t>（惠州市生态环境局 2024年5月22日）</w:t>
                  </w:r>
                  <w:r>
                    <w:rPr>
                      <w:rFonts w:ascii="Times New Roman" w:hAnsi="Times New Roman"/>
                      <w:b/>
                      <w:bCs/>
                      <w:color w:val="000000" w:themeColor="text1"/>
                      <w:sz w:val="21"/>
                      <w14:textFill>
                        <w14:solidFill>
                          <w14:schemeClr w14:val="tx1"/>
                        </w14:solidFill>
                      </w14:textFill>
                    </w:rPr>
                    <w:t>相符性分析</w:t>
                  </w:r>
                </w:p>
              </w:tc>
            </w:tr>
            <w:tr w14:paraId="31DD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Align w:val="center"/>
                </w:tcPr>
                <w:p w14:paraId="57B61C0D">
                  <w:pPr>
                    <w:autoSpaceDE w:val="0"/>
                    <w:autoSpaceDN w:val="0"/>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类别</w:t>
                  </w:r>
                </w:p>
              </w:tc>
              <w:tc>
                <w:tcPr>
                  <w:tcW w:w="2337" w:type="pct"/>
                  <w:vAlign w:val="center"/>
                </w:tcPr>
                <w:p w14:paraId="005F150A">
                  <w:pPr>
                    <w:autoSpaceDE w:val="0"/>
                    <w:autoSpaceDN w:val="0"/>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博罗沙河流域重点管控单元（ZH44132220001）</w:t>
                  </w:r>
                </w:p>
              </w:tc>
              <w:tc>
                <w:tcPr>
                  <w:tcW w:w="1584" w:type="pct"/>
                  <w:vAlign w:val="center"/>
                </w:tcPr>
                <w:p w14:paraId="5AB6CCD7">
                  <w:pPr>
                    <w:autoSpaceDE w:val="0"/>
                    <w:autoSpaceDN w:val="0"/>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对照分析</w:t>
                  </w:r>
                </w:p>
              </w:tc>
            </w:tr>
            <w:tr w14:paraId="6DE7A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restart"/>
                  <w:vAlign w:val="center"/>
                </w:tcPr>
                <w:p w14:paraId="0E2FB1DA">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区域布局管控</w:t>
                  </w:r>
                </w:p>
              </w:tc>
              <w:tc>
                <w:tcPr>
                  <w:tcW w:w="2337" w:type="pct"/>
                  <w:vAlign w:val="center"/>
                </w:tcPr>
                <w:p w14:paraId="56C6C3A6">
                  <w:pPr>
                    <w:autoSpaceDE w:val="0"/>
                    <w:autoSpaceDN w:val="0"/>
                    <w:adjustRightInd w:val="0"/>
                    <w:snapToGrid w:val="0"/>
                    <w:jc w:val="center"/>
                    <w:rPr>
                      <w:color w:val="000000" w:themeColor="text1"/>
                      <w14:textFill>
                        <w14:solidFill>
                          <w14:schemeClr w14:val="tx1"/>
                        </w14:solidFill>
                      </w14:textFill>
                    </w:rPr>
                  </w:pPr>
                  <w:r>
                    <w:rPr>
                      <w:color w:val="000000" w:themeColor="text1"/>
                      <w:lang w:bidi="ar"/>
                      <w14:textFill>
                        <w14:solidFill>
                          <w14:schemeClr w14:val="tx1"/>
                        </w14:solidFill>
                      </w14:textFill>
                    </w:rPr>
                    <w:t>1</w:t>
                  </w:r>
                  <w:r>
                    <w:rPr>
                      <w:color w:val="000000" w:themeColor="text1"/>
                      <w14:textFill>
                        <w14:solidFill>
                          <w14:schemeClr w14:val="tx1"/>
                        </w14:solidFill>
                      </w14:textFill>
                    </w:rPr>
                    <w:t>-1. 【产业/鼓励引导类】饮用水水源保护区外的区域，重点发展电子信息、智能家电、先进材料等产业。</w:t>
                  </w:r>
                </w:p>
              </w:tc>
              <w:tc>
                <w:tcPr>
                  <w:tcW w:w="1584" w:type="pct"/>
                  <w:vAlign w:val="center"/>
                </w:tcPr>
                <w:p w14:paraId="224C8DC6">
                  <w:pPr>
                    <w:pStyle w:val="14"/>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项目不位于饮用水水源保护区内，属于</w:t>
                  </w:r>
                  <w:r>
                    <w:rPr>
                      <w:rFonts w:hint="eastAsia"/>
                      <w:color w:val="000000" w:themeColor="text1"/>
                      <w:szCs w:val="21"/>
                      <w14:textFill>
                        <w14:solidFill>
                          <w14:schemeClr w14:val="tx1"/>
                        </w14:solidFill>
                      </w14:textFill>
                    </w:rPr>
                    <w:t>C2039 软木制品及其他木制品制造</w:t>
                  </w:r>
                  <w:r>
                    <w:rPr>
                      <w:color w:val="000000" w:themeColor="text1"/>
                      <w:szCs w:val="21"/>
                      <w14:textFill>
                        <w14:solidFill>
                          <w14:schemeClr w14:val="tx1"/>
                        </w14:solidFill>
                      </w14:textFill>
                    </w:rPr>
                    <w:t>。</w:t>
                  </w:r>
                </w:p>
              </w:tc>
            </w:tr>
            <w:tr w14:paraId="2B049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6C5536D8">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1C25E033">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1-2. 【产业/禁止类】除国家产业政策规定的禁止项目外，还禁止新建农药、铬盐、钛 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584" w:type="pct"/>
                  <w:vAlign w:val="center"/>
                </w:tcPr>
                <w:p w14:paraId="7416D55F">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项目属于</w:t>
                  </w:r>
                  <w:r>
                    <w:rPr>
                      <w:rFonts w:hint="eastAsia"/>
                      <w:color w:val="000000" w:themeColor="text1"/>
                      <w14:textFill>
                        <w14:solidFill>
                          <w14:schemeClr w14:val="tx1"/>
                        </w14:solidFill>
                      </w14:textFill>
                    </w:rPr>
                    <w:t>C2039 软木制品及其他木制品制造</w:t>
                  </w:r>
                  <w:r>
                    <w:rPr>
                      <w:color w:val="000000" w:themeColor="text1"/>
                      <w14:textFill>
                        <w14:solidFill>
                          <w14:schemeClr w14:val="tx1"/>
                        </w14:solidFill>
                      </w14:textFill>
                    </w:rPr>
                    <w:t>，不属于禁止类项目及工艺。</w:t>
                  </w:r>
                </w:p>
              </w:tc>
            </w:tr>
            <w:tr w14:paraId="3A67D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restart"/>
                  <w:vAlign w:val="center"/>
                </w:tcPr>
                <w:p w14:paraId="6B14E7F2">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区域布局管控要求</w:t>
                  </w:r>
                </w:p>
              </w:tc>
              <w:tc>
                <w:tcPr>
                  <w:tcW w:w="2337" w:type="pct"/>
                  <w:vAlign w:val="center"/>
                </w:tcPr>
                <w:p w14:paraId="1C132AD9">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1-3. 【产业/限制类】严格限制化工、包装印刷、工业涂装等高 VOCs 排放建设项目。</w:t>
                  </w:r>
                </w:p>
              </w:tc>
              <w:tc>
                <w:tcPr>
                  <w:tcW w:w="1584" w:type="pct"/>
                  <w:vAlign w:val="center"/>
                </w:tcPr>
                <w:p w14:paraId="265F8B18">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项目属于</w:t>
                  </w:r>
                  <w:r>
                    <w:rPr>
                      <w:rFonts w:hint="eastAsia"/>
                      <w:color w:val="000000" w:themeColor="text1"/>
                      <w14:textFill>
                        <w14:solidFill>
                          <w14:schemeClr w14:val="tx1"/>
                        </w14:solidFill>
                      </w14:textFill>
                    </w:rPr>
                    <w:t>C2039 软木制品及其他木制品制造</w:t>
                  </w:r>
                  <w:r>
                    <w:rPr>
                      <w:color w:val="000000" w:themeColor="text1"/>
                      <w14:textFill>
                        <w14:solidFill>
                          <w14:schemeClr w14:val="tx1"/>
                        </w14:solidFill>
                      </w14:textFill>
                    </w:rPr>
                    <w:t>，不属于上述产业/限制类。</w:t>
                  </w:r>
                </w:p>
              </w:tc>
            </w:tr>
            <w:tr w14:paraId="0BBEB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3DA58F69">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137B8491">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1-4. 【生态/限制类】一般生态空间内可开展生态保护红线内允许的活动，在不影响主导生态功能的前提下，还可开展国家和省规定不纳入环评管理的项目建设，以及生态旅游、基础设施建设、村庄建设等人为活动。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584" w:type="pct"/>
                  <w:vAlign w:val="center"/>
                </w:tcPr>
                <w:p w14:paraId="049964DA">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项目不位于惠州市生态保护红线范围内</w:t>
                  </w:r>
                  <w:r>
                    <w:rPr>
                      <w:rFonts w:hint="eastAsia"/>
                      <w:color w:val="000000" w:themeColor="text1"/>
                      <w14:textFill>
                        <w14:solidFill>
                          <w14:schemeClr w14:val="tx1"/>
                        </w14:solidFill>
                      </w14:textFill>
                    </w:rPr>
                    <w:t>，也不位于一般生态空间内</w:t>
                  </w:r>
                  <w:r>
                    <w:rPr>
                      <w:color w:val="000000" w:themeColor="text1"/>
                      <w14:textFill>
                        <w14:solidFill>
                          <w14:schemeClr w14:val="tx1"/>
                        </w14:solidFill>
                      </w14:textFill>
                    </w:rPr>
                    <w:t>。</w:t>
                  </w:r>
                </w:p>
              </w:tc>
            </w:tr>
            <w:tr w14:paraId="0F53D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2FB94C8F">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72BAE5A9">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1-5. 【水/禁止类】饮用水水源保护区涉及园洲镇东江饮用水水源保护区，饮用水水源保护区按照《广东省水污染防治条例》“第五章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584" w:type="pct"/>
                  <w:vAlign w:val="center"/>
                </w:tcPr>
                <w:p w14:paraId="07096AD3">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项目不位于惠州市饮用水水源保护区内。</w:t>
                  </w:r>
                </w:p>
              </w:tc>
            </w:tr>
            <w:tr w14:paraId="14C10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1FBE337D">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5EC9FEBA">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584" w:type="pct"/>
                  <w:vAlign w:val="center"/>
                </w:tcPr>
                <w:p w14:paraId="063E07E1">
                  <w:pPr>
                    <w:autoSpaceDE w:val="0"/>
                    <w:autoSpaceDN w:val="0"/>
                    <w:adjustRightInd w:val="0"/>
                    <w:snapToGrid w:val="0"/>
                    <w:jc w:val="center"/>
                    <w:rPr>
                      <w:color w:val="000000" w:themeColor="text1"/>
                      <w14:textFill>
                        <w14:solidFill>
                          <w14:schemeClr w14:val="tx1"/>
                        </w14:solidFill>
                      </w14:textFill>
                    </w:rPr>
                  </w:pPr>
                  <w:r>
                    <w:rPr>
                      <w:color w:val="000000" w:themeColor="text1"/>
                      <w:lang w:bidi="zh-CN"/>
                      <w14:textFill>
                        <w14:solidFill>
                          <w14:schemeClr w14:val="tx1"/>
                        </w14:solidFill>
                      </w14:textFill>
                    </w:rPr>
                    <w:t>本项目不属于新建</w:t>
                  </w:r>
                  <w:r>
                    <w:rPr>
                      <w:rFonts w:hint="eastAsia"/>
                      <w:color w:val="000000" w:themeColor="text1"/>
                      <w14:textFill>
                        <w14:solidFill>
                          <w14:schemeClr w14:val="tx1"/>
                        </w14:solidFill>
                      </w14:textFill>
                    </w:rPr>
                    <w:t>专业</w:t>
                  </w:r>
                  <w:r>
                    <w:rPr>
                      <w:color w:val="000000" w:themeColor="text1"/>
                      <w:lang w:bidi="zh-CN"/>
                      <w14:textFill>
                        <w14:solidFill>
                          <w14:schemeClr w14:val="tx1"/>
                        </w14:solidFill>
                      </w14:textFill>
                    </w:rPr>
                    <w:t>废弃物堆放场和处理场项目。</w:t>
                  </w:r>
                </w:p>
              </w:tc>
            </w:tr>
            <w:tr w14:paraId="63D40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4B7E58F6">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4927A790">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1-7. 【水/禁止类】畜禽禁养区内不得从事畜禽养殖业。</w:t>
                  </w:r>
                </w:p>
              </w:tc>
              <w:tc>
                <w:tcPr>
                  <w:tcW w:w="1584" w:type="pct"/>
                  <w:vAlign w:val="center"/>
                </w:tcPr>
                <w:p w14:paraId="1154231F">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本项目不属于畜禽养殖业。</w:t>
                  </w:r>
                </w:p>
              </w:tc>
            </w:tr>
            <w:tr w14:paraId="4752A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591C1AF4">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2642DC55">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584" w:type="pct"/>
                  <w:vAlign w:val="center"/>
                </w:tcPr>
                <w:p w14:paraId="6E0B6C9D">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本项目不属于畜禽养殖业。</w:t>
                  </w:r>
                </w:p>
              </w:tc>
            </w:tr>
            <w:tr w14:paraId="58885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restart"/>
                  <w:vAlign w:val="center"/>
                </w:tcPr>
                <w:p w14:paraId="488401AC">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区域布局管控</w:t>
                  </w:r>
                </w:p>
              </w:tc>
              <w:tc>
                <w:tcPr>
                  <w:tcW w:w="2337" w:type="pct"/>
                  <w:vAlign w:val="center"/>
                </w:tcPr>
                <w:p w14:paraId="0B40FD41">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1-9.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584" w:type="pct"/>
                  <w:vAlign w:val="center"/>
                </w:tcPr>
                <w:p w14:paraId="57404AF4">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项目位于福田镇</w:t>
                  </w:r>
                  <w:r>
                    <w:rPr>
                      <w:rFonts w:hint="eastAsia"/>
                      <w:color w:val="000000" w:themeColor="text1"/>
                      <w14:textFill>
                        <w14:solidFill>
                          <w14:schemeClr w14:val="tx1"/>
                        </w14:solidFill>
                      </w14:textFill>
                    </w:rPr>
                    <w:t>大气环境布局敏感重点管控区</w:t>
                  </w:r>
                  <w:r>
                    <w:rPr>
                      <w:color w:val="000000" w:themeColor="text1"/>
                      <w14:textFill>
                        <w14:solidFill>
                          <w14:schemeClr w14:val="tx1"/>
                        </w14:solidFill>
                      </w14:textFill>
                    </w:rPr>
                    <w:t>内，</w:t>
                  </w:r>
                  <w:r>
                    <w:rPr>
                      <w:color w:val="000000" w:themeColor="text1"/>
                      <w:lang w:bidi="zh-CN"/>
                      <w14:textFill>
                        <w14:solidFill>
                          <w14:schemeClr w14:val="tx1"/>
                        </w14:solidFill>
                      </w14:textFill>
                    </w:rPr>
                    <w:t>不属于新建储油库项目，不使用高挥发性原辅材料。</w:t>
                  </w:r>
                </w:p>
              </w:tc>
            </w:tr>
            <w:tr w14:paraId="58098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0077B606">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0B8EAD18">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1-10. 【大气/鼓励引导类】大气环境高排放重点管控区内，强化达标监管，引导工业项目落地集聚发展，有序推进区域内行业企业提标改造。</w:t>
                  </w:r>
                </w:p>
              </w:tc>
              <w:tc>
                <w:tcPr>
                  <w:tcW w:w="1584" w:type="pct"/>
                  <w:vAlign w:val="center"/>
                </w:tcPr>
                <w:p w14:paraId="7B932BF0">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项目不位于大气环境高排放重点管控区内。</w:t>
                  </w:r>
                </w:p>
              </w:tc>
            </w:tr>
            <w:tr w14:paraId="7CF2A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7F9B2179">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7D6025F9">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1-11. 【土壤/禁止类】严格重金属重点行业企业准入管理，新、改、扩建重点行业建设项目应遵循“等量替代”原则。</w:t>
                  </w:r>
                </w:p>
              </w:tc>
              <w:tc>
                <w:tcPr>
                  <w:tcW w:w="1584" w:type="pct"/>
                  <w:vAlign w:val="center"/>
                </w:tcPr>
                <w:p w14:paraId="6C9DCDF2">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项目不位于重金属重点防控区域内，不属于增加重金属污染物排放总量的建设项目。</w:t>
                  </w:r>
                </w:p>
              </w:tc>
            </w:tr>
            <w:tr w14:paraId="2934C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04E11595">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4A05B6FE">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1-12.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584" w:type="pct"/>
                  <w:vAlign w:val="center"/>
                </w:tcPr>
                <w:p w14:paraId="5849FB26">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项目不涉及重金属排放。</w:t>
                  </w:r>
                </w:p>
              </w:tc>
            </w:tr>
            <w:tr w14:paraId="6B75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restart"/>
                  <w:vAlign w:val="center"/>
                </w:tcPr>
                <w:p w14:paraId="68FFC58E">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能源资源利用</w:t>
                  </w:r>
                </w:p>
              </w:tc>
              <w:tc>
                <w:tcPr>
                  <w:tcW w:w="2337" w:type="pct"/>
                  <w:vAlign w:val="center"/>
                </w:tcPr>
                <w:p w14:paraId="374AD917">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2-1. 【能源/鼓励引导类】鼓励降低煤炭消耗、能源消耗，引导光伏等多种形式的新能源利用。</w:t>
                  </w:r>
                </w:p>
              </w:tc>
              <w:tc>
                <w:tcPr>
                  <w:tcW w:w="1584" w:type="pct"/>
                  <w:vMerge w:val="restart"/>
                  <w:vAlign w:val="center"/>
                </w:tcPr>
                <w:p w14:paraId="4D770E89">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项目运营期使用电能，不使用高污染燃料。</w:t>
                  </w:r>
                </w:p>
              </w:tc>
            </w:tr>
            <w:tr w14:paraId="678B5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17B0885C">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6A6BEF16">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2-2. 【能源/综合类】根据本地区大气环境质量改善要求逐步扩大高污染燃料禁燃区范围。</w:t>
                  </w:r>
                </w:p>
              </w:tc>
              <w:tc>
                <w:tcPr>
                  <w:tcW w:w="1584" w:type="pct"/>
                  <w:vMerge w:val="continue"/>
                  <w:vAlign w:val="center"/>
                </w:tcPr>
                <w:p w14:paraId="49C00BA3">
                  <w:pPr>
                    <w:autoSpaceDE w:val="0"/>
                    <w:autoSpaceDN w:val="0"/>
                    <w:adjustRightInd w:val="0"/>
                    <w:snapToGrid w:val="0"/>
                    <w:jc w:val="center"/>
                    <w:rPr>
                      <w:color w:val="000000" w:themeColor="text1"/>
                      <w14:textFill>
                        <w14:solidFill>
                          <w14:schemeClr w14:val="tx1"/>
                        </w14:solidFill>
                      </w14:textFill>
                    </w:rPr>
                  </w:pPr>
                </w:p>
              </w:tc>
            </w:tr>
            <w:tr w14:paraId="50DB5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restart"/>
                  <w:vAlign w:val="center"/>
                </w:tcPr>
                <w:p w14:paraId="6738FFAB">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污染物排放管控</w:t>
                  </w:r>
                </w:p>
              </w:tc>
              <w:tc>
                <w:tcPr>
                  <w:tcW w:w="2337" w:type="pct"/>
                  <w:vAlign w:val="center"/>
                </w:tcPr>
                <w:p w14:paraId="10B522A8">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3-1. 【水/限制类】单元内城镇生活污水处理厂出水水质 COD、氨氮、总磷排放执行国家《地表水环境质量》（GB3838-2002）Ⅴ类标准，其余指标执行国家《城镇污水处理厂污染物排放标》（GB18918-2002）一级 A 标准与广东省《水污染物排放限值》较严值的标准。</w:t>
                  </w:r>
                </w:p>
              </w:tc>
              <w:tc>
                <w:tcPr>
                  <w:tcW w:w="1584" w:type="pct"/>
                  <w:vAlign w:val="center"/>
                </w:tcPr>
                <w:p w14:paraId="0FFF5137">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项目属于</w:t>
                  </w:r>
                  <w:r>
                    <w:rPr>
                      <w:rFonts w:hint="eastAsia"/>
                      <w:color w:val="000000" w:themeColor="text1"/>
                      <w14:textFill>
                        <w14:solidFill>
                          <w14:schemeClr w14:val="tx1"/>
                        </w14:solidFill>
                      </w14:textFill>
                    </w:rPr>
                    <w:t>C2039 软木制品及其他木制品制造</w:t>
                  </w:r>
                  <w:r>
                    <w:rPr>
                      <w:color w:val="000000" w:themeColor="text1"/>
                      <w14:textFill>
                        <w14:solidFill>
                          <w14:schemeClr w14:val="tx1"/>
                        </w14:solidFill>
                      </w14:textFill>
                    </w:rPr>
                    <w:t>，不属于城镇生活污水处理厂。</w:t>
                  </w:r>
                </w:p>
              </w:tc>
            </w:tr>
            <w:tr w14:paraId="1301C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09C0CBD2">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4457DD94">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3-2. 【水/限制类】严格控制流域内增加水污染物排放或对东江水质、水环境安全构成影响的项目。</w:t>
                  </w:r>
                </w:p>
              </w:tc>
              <w:tc>
                <w:tcPr>
                  <w:tcW w:w="1584" w:type="pct"/>
                  <w:vAlign w:val="center"/>
                </w:tcPr>
                <w:p w14:paraId="79DC49A2">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项目运营期无生产废水外排，生活污水经过</w:t>
                  </w:r>
                  <w:r>
                    <w:rPr>
                      <w:rFonts w:hint="eastAsia"/>
                      <w:color w:val="000000" w:themeColor="text1"/>
                      <w14:textFill>
                        <w14:solidFill>
                          <w14:schemeClr w14:val="tx1"/>
                        </w14:solidFill>
                      </w14:textFill>
                    </w:rPr>
                    <w:t>隔油隔渣+</w:t>
                  </w:r>
                  <w:r>
                    <w:rPr>
                      <w:color w:val="000000" w:themeColor="text1"/>
                      <w14:textFill>
                        <w14:solidFill>
                          <w14:schemeClr w14:val="tx1"/>
                        </w14:solidFill>
                      </w14:textFill>
                    </w:rPr>
                    <w:t>三级化粪池处理后纳入</w:t>
                  </w:r>
                  <w:r>
                    <w:rPr>
                      <w:rFonts w:hint="eastAsia"/>
                      <w:color w:val="000000" w:themeColor="text1"/>
                      <w14:textFill>
                        <w14:solidFill>
                          <w14:schemeClr w14:val="tx1"/>
                        </w14:solidFill>
                      </w14:textFill>
                    </w:rPr>
                    <w:t>博罗县福田镇</w:t>
                  </w:r>
                  <w:r>
                    <w:rPr>
                      <w:color w:val="000000" w:themeColor="text1"/>
                      <w14:textFill>
                        <w14:solidFill>
                          <w14:schemeClr w14:val="tx1"/>
                        </w14:solidFill>
                      </w14:textFill>
                    </w:rPr>
                    <w:t>生活污水处理厂处理。</w:t>
                  </w:r>
                </w:p>
              </w:tc>
            </w:tr>
            <w:tr w14:paraId="54046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4662CDD1">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577EA3A4">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584" w:type="pct"/>
                  <w:vAlign w:val="center"/>
                </w:tcPr>
                <w:p w14:paraId="3058A6D1">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项目运营期无生产废水外排，生活污水经过</w:t>
                  </w:r>
                  <w:r>
                    <w:rPr>
                      <w:rFonts w:hint="eastAsia"/>
                      <w:color w:val="000000" w:themeColor="text1"/>
                      <w14:textFill>
                        <w14:solidFill>
                          <w14:schemeClr w14:val="tx1"/>
                        </w14:solidFill>
                      </w14:textFill>
                    </w:rPr>
                    <w:t>隔油隔渣+</w:t>
                  </w:r>
                  <w:r>
                    <w:rPr>
                      <w:color w:val="000000" w:themeColor="text1"/>
                      <w14:textFill>
                        <w14:solidFill>
                          <w14:schemeClr w14:val="tx1"/>
                        </w14:solidFill>
                      </w14:textFill>
                    </w:rPr>
                    <w:t>三级化粪池处理后纳入</w:t>
                  </w:r>
                  <w:r>
                    <w:rPr>
                      <w:rFonts w:hint="eastAsia"/>
                      <w:color w:val="000000" w:themeColor="text1"/>
                      <w14:textFill>
                        <w14:solidFill>
                          <w14:schemeClr w14:val="tx1"/>
                        </w14:solidFill>
                      </w14:textFill>
                    </w:rPr>
                    <w:t>博罗县福田镇</w:t>
                  </w:r>
                  <w:r>
                    <w:rPr>
                      <w:color w:val="000000" w:themeColor="text1"/>
                      <w14:textFill>
                        <w14:solidFill>
                          <w14:schemeClr w14:val="tx1"/>
                        </w14:solidFill>
                      </w14:textFill>
                    </w:rPr>
                    <w:t>生活污水处理厂处理。</w:t>
                  </w:r>
                </w:p>
              </w:tc>
            </w:tr>
            <w:tr w14:paraId="30AD1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4872E063">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7A17102D">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3-4.【水/综合类】强化农业面源污染治理，控制农药化肥使用量。</w:t>
                  </w:r>
                </w:p>
              </w:tc>
              <w:tc>
                <w:tcPr>
                  <w:tcW w:w="1584" w:type="pct"/>
                  <w:vAlign w:val="center"/>
                </w:tcPr>
                <w:p w14:paraId="61D482DC">
                  <w:pPr>
                    <w:autoSpaceDE w:val="0"/>
                    <w:autoSpaceDN w:val="0"/>
                    <w:adjustRightInd w:val="0"/>
                    <w:snapToGrid w:val="0"/>
                    <w:jc w:val="center"/>
                    <w:rPr>
                      <w:color w:val="000000" w:themeColor="text1"/>
                      <w14:textFill>
                        <w14:solidFill>
                          <w14:schemeClr w14:val="tx1"/>
                        </w14:solidFill>
                      </w14:textFill>
                    </w:rPr>
                  </w:pPr>
                  <w:r>
                    <w:rPr>
                      <w:color w:val="000000" w:themeColor="text1"/>
                      <w:lang w:bidi="zh-CN"/>
                      <w14:textFill>
                        <w14:solidFill>
                          <w14:schemeClr w14:val="tx1"/>
                        </w14:solidFill>
                      </w14:textFill>
                    </w:rPr>
                    <w:t>项目不涉及农业污染。</w:t>
                  </w:r>
                </w:p>
              </w:tc>
            </w:tr>
            <w:tr w14:paraId="20FC6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7C43EB81">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54AEB69D">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3-5. 【大气/限制类】重点行业新建涉 VOCs 排放的工业企业原则上应入园进区。新建项目 VOCs 实施倍量替代。</w:t>
                  </w:r>
                </w:p>
              </w:tc>
              <w:tc>
                <w:tcPr>
                  <w:tcW w:w="1584" w:type="pct"/>
                  <w:vAlign w:val="center"/>
                </w:tcPr>
                <w:p w14:paraId="4DA07D86">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项目VOCs排放按照倍量替代实施，由惠州市生态环境局博罗分局分配。</w:t>
                  </w:r>
                </w:p>
              </w:tc>
            </w:tr>
            <w:tr w14:paraId="1D2D3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0EB018B8">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14B11254">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3-6. 【土壤/禁止类】禁止向农用地排放重金属或者其他有毒有害物质含量超标的污水、污泥，以及可能造成土壤污染的清淤底泥、尾矿、矿渣等。</w:t>
                  </w:r>
                </w:p>
              </w:tc>
              <w:tc>
                <w:tcPr>
                  <w:tcW w:w="1584" w:type="pct"/>
                  <w:vAlign w:val="center"/>
                </w:tcPr>
                <w:p w14:paraId="6818DEEE">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项目危险废物委托有资质的公司进行无害化处理，因此不属于土壤禁止类。</w:t>
                  </w:r>
                </w:p>
              </w:tc>
            </w:tr>
            <w:tr w14:paraId="56FCE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restart"/>
                  <w:vAlign w:val="center"/>
                </w:tcPr>
                <w:p w14:paraId="6A7FE957">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环境风险防控</w:t>
                  </w:r>
                </w:p>
              </w:tc>
              <w:tc>
                <w:tcPr>
                  <w:tcW w:w="2337" w:type="pct"/>
                  <w:vAlign w:val="center"/>
                </w:tcPr>
                <w:p w14:paraId="48278D2A">
                  <w:pPr>
                    <w:autoSpaceDE w:val="0"/>
                    <w:autoSpaceDN w:val="0"/>
                    <w:adjustRightInd w:val="0"/>
                    <w:snapToGrid w:val="0"/>
                    <w:jc w:val="center"/>
                    <w:rPr>
                      <w:color w:val="000000" w:themeColor="text1"/>
                      <w14:textFill>
                        <w14:solidFill>
                          <w14:schemeClr w14:val="tx1"/>
                        </w14:solidFill>
                      </w14:textFill>
                    </w:rPr>
                  </w:pPr>
                  <w:r>
                    <w:rPr>
                      <w:color w:val="000000" w:themeColor="text1"/>
                      <w:lang w:bidi="ar"/>
                      <w14:textFill>
                        <w14:solidFill>
                          <w14:schemeClr w14:val="tx1"/>
                        </w14:solidFill>
                      </w14:textFill>
                    </w:rPr>
                    <w:t>4</w:t>
                  </w:r>
                  <w:r>
                    <w:rPr>
                      <w:color w:val="000000" w:themeColor="text1"/>
                      <w14:textFill>
                        <w14:solidFill>
                          <w14:schemeClr w14:val="tx1"/>
                        </w14:solidFill>
                      </w14:textFill>
                    </w:rPr>
                    <w:t>-1. 【水/综合类】城镇污水处理厂、涉水企业应采取有效措施，防止事故废水直接排入水体。</w:t>
                  </w:r>
                </w:p>
              </w:tc>
              <w:tc>
                <w:tcPr>
                  <w:tcW w:w="1584" w:type="pct"/>
                  <w:vAlign w:val="center"/>
                </w:tcPr>
                <w:p w14:paraId="305F66F1">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项目运营期无生产废水外排，生活污水经过</w:t>
                  </w:r>
                  <w:r>
                    <w:rPr>
                      <w:rFonts w:hint="eastAsia"/>
                      <w:color w:val="000000" w:themeColor="text1"/>
                      <w14:textFill>
                        <w14:solidFill>
                          <w14:schemeClr w14:val="tx1"/>
                        </w14:solidFill>
                      </w14:textFill>
                    </w:rPr>
                    <w:t>隔油隔渣+</w:t>
                  </w:r>
                  <w:r>
                    <w:rPr>
                      <w:color w:val="000000" w:themeColor="text1"/>
                      <w14:textFill>
                        <w14:solidFill>
                          <w14:schemeClr w14:val="tx1"/>
                        </w14:solidFill>
                      </w14:textFill>
                    </w:rPr>
                    <w:t>三级化粪池处理后纳入</w:t>
                  </w:r>
                  <w:r>
                    <w:rPr>
                      <w:rFonts w:hint="eastAsia"/>
                      <w:color w:val="000000" w:themeColor="text1"/>
                      <w14:textFill>
                        <w14:solidFill>
                          <w14:schemeClr w14:val="tx1"/>
                        </w14:solidFill>
                      </w14:textFill>
                    </w:rPr>
                    <w:t>博罗县福田镇</w:t>
                  </w:r>
                  <w:r>
                    <w:rPr>
                      <w:color w:val="000000" w:themeColor="text1"/>
                      <w14:textFill>
                        <w14:solidFill>
                          <w14:schemeClr w14:val="tx1"/>
                        </w14:solidFill>
                      </w14:textFill>
                    </w:rPr>
                    <w:t>生活污水处理厂处理。</w:t>
                  </w:r>
                </w:p>
              </w:tc>
            </w:tr>
            <w:tr w14:paraId="5BE14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3F49B29A">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09559205">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4-2. 【水/综合类】加强饮用水水源保护区内环境风险排查，开展风险评估及水环境预警监测。</w:t>
                  </w:r>
                </w:p>
              </w:tc>
              <w:tc>
                <w:tcPr>
                  <w:tcW w:w="1584" w:type="pct"/>
                  <w:vAlign w:val="center"/>
                </w:tcPr>
                <w:p w14:paraId="32CF75A7">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项目不位于饮用水水源保护区内。</w:t>
                  </w:r>
                </w:p>
              </w:tc>
            </w:tr>
            <w:tr w14:paraId="22B71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78" w:type="pct"/>
                  <w:gridSpan w:val="2"/>
                  <w:vMerge w:val="continue"/>
                  <w:vAlign w:val="center"/>
                </w:tcPr>
                <w:p w14:paraId="6C251AE9">
                  <w:pPr>
                    <w:autoSpaceDE w:val="0"/>
                    <w:autoSpaceDN w:val="0"/>
                    <w:adjustRightInd w:val="0"/>
                    <w:snapToGrid w:val="0"/>
                    <w:jc w:val="center"/>
                    <w:rPr>
                      <w:color w:val="000000" w:themeColor="text1"/>
                      <w14:textFill>
                        <w14:solidFill>
                          <w14:schemeClr w14:val="tx1"/>
                        </w14:solidFill>
                      </w14:textFill>
                    </w:rPr>
                  </w:pPr>
                </w:p>
              </w:tc>
              <w:tc>
                <w:tcPr>
                  <w:tcW w:w="2337" w:type="pct"/>
                  <w:vAlign w:val="center"/>
                </w:tcPr>
                <w:p w14:paraId="66865161">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584" w:type="pct"/>
                  <w:vAlign w:val="center"/>
                </w:tcPr>
                <w:p w14:paraId="49ECF671">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项目不属于生产、储存和使用有毒有害气体的企业。</w:t>
                  </w:r>
                </w:p>
              </w:tc>
            </w:tr>
          </w:tbl>
          <w:p w14:paraId="66227898">
            <w:pPr>
              <w:spacing w:line="360" w:lineRule="auto"/>
              <w:ind w:firstLine="480" w:firstLineChars="200"/>
              <w:rPr>
                <w:color w:val="000000"/>
                <w:sz w:val="24"/>
              </w:rPr>
            </w:pPr>
            <w:r>
              <w:rPr>
                <w:color w:val="000000"/>
                <w:sz w:val="24"/>
              </w:rPr>
              <w:t>综上所述，项目符合“三线一单”的要求。</w:t>
            </w:r>
          </w:p>
          <w:p w14:paraId="2E0FEB5E">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与</w:t>
            </w:r>
            <w:r>
              <w:rPr>
                <w:rFonts w:hint="eastAsia"/>
                <w:b/>
                <w:color w:val="000000" w:themeColor="text1"/>
                <w:sz w:val="24"/>
                <w14:textFill>
                  <w14:solidFill>
                    <w14:schemeClr w14:val="tx1"/>
                  </w14:solidFill>
                </w14:textFill>
              </w:rPr>
              <w:t>《广东省人民政府关于严格限制东江流域水污染项目建设进一步做好东江水质保护工作的通知》</w:t>
            </w:r>
            <w:r>
              <w:rPr>
                <w:b/>
                <w:color w:val="000000" w:themeColor="text1"/>
                <w:sz w:val="24"/>
                <w14:textFill>
                  <w14:solidFill>
                    <w14:schemeClr w14:val="tx1"/>
                  </w14:solidFill>
                </w14:textFill>
              </w:rPr>
              <w:t>（粤府函〔2011〕339号）、《广东省人民政府关于严格限制东江流域水污染项目建设进一步做好东江水质保护工作的补充通知》（粤府函〔2013〕231号）</w:t>
            </w:r>
          </w:p>
          <w:p w14:paraId="33C5476C">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（一）根据《关于限制东江流域水污染项目建设进一步做好东江水质保护工作的通知》（粤府函</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339号），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3251BEA5">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（二）《广东省人民政府关于严格限制东江流域水污染项目建设进一步做好东江水质保护工作的补充通知》（粤府函</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231号）</w:t>
            </w:r>
            <w:r>
              <w:rPr>
                <w:rFonts w:hint="eastAsia"/>
                <w:color w:val="000000" w:themeColor="text1"/>
                <w:sz w:val="24"/>
                <w14:textFill>
                  <w14:solidFill>
                    <w14:schemeClr w14:val="tx1"/>
                  </w14:solidFill>
                </w14:textFill>
              </w:rPr>
              <w:t>：</w:t>
            </w:r>
          </w:p>
          <w:p w14:paraId="050B9391">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（1）增加东江一级支流沙河为流域严格控制污染项目建设的支流；</w:t>
            </w:r>
          </w:p>
          <w:p w14:paraId="2828CA10">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（2）符合下列条件之一的建设项目，不列入禁止建设和暂停审批范围：</w:t>
            </w:r>
          </w:p>
          <w:p w14:paraId="3FDC9DFB">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①建设地点位于东江流域，但不排放废水或废水不排入东江及其支流，不会对东江水质和水环境安全构成影响的项目；</w:t>
            </w:r>
          </w:p>
          <w:p w14:paraId="0DA57BA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②通过提高清洁生产和污染防治水平，能够做到增产不憎污、增产减污、技改减污的改（扩）建项目及同流域内迁建减污项目；</w:t>
            </w:r>
          </w:p>
          <w:p w14:paraId="20867F5B">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③流域内拟迁入重污染行业统一规划、统一定点基地，且符合基地规划环评审查意见的建设项目。</w:t>
            </w:r>
          </w:p>
          <w:p w14:paraId="62D081ED">
            <w:pPr>
              <w:spacing w:line="360" w:lineRule="auto"/>
              <w:ind w:firstLine="470" w:firstLineChars="196"/>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位广东省博罗县福田镇，属于东江流域范围。项目从木质制品制造生产。项目生产废水主要为喷漆、晾干废气处理装置喷淋塔废水、水帘柜废水及喷枪清洗废水，均作为危险废物，交由有资质的单位回收处理，不外排，因此项目无生产废水的排放。项目员工生活污水经“隔油隔渣+三级化粪池”处理达到广东省《水污染物排放限值》（</w:t>
            </w:r>
            <w:r>
              <w:rPr>
                <w:color w:val="000000" w:themeColor="text1"/>
                <w:sz w:val="24"/>
                <w14:textFill>
                  <w14:solidFill>
                    <w14:schemeClr w14:val="tx1"/>
                  </w14:solidFill>
                </w14:textFill>
              </w:rPr>
              <w:t>DB44/26-2001</w:t>
            </w:r>
            <w:r>
              <w:rPr>
                <w:rFonts w:hint="eastAsia"/>
                <w:color w:val="000000" w:themeColor="text1"/>
                <w:sz w:val="24"/>
                <w14:textFill>
                  <w14:solidFill>
                    <w14:schemeClr w14:val="tx1"/>
                  </w14:solidFill>
                </w14:textFill>
              </w:rPr>
              <w:t>）第二时段三级标准后经市政污水管网排入博罗县福田镇生活污水处理厂进行深度处理，最终排入福田河。本项目不属于以上禁批或限批行业，因此，项目选址符合流域限批政策要求。故本项目污水的排放符合《关于严格限制东江流域水污染项目建设进一步做好东江水质保护工作的通知》（粤府【2011】339号）及《广东省人民政府关于严格限制东江流域水污染项目建设进一步做好东江水质保护工作的补充通知》（粤府函〔2013〕231号）、《广东省水污染防治条例》（第五十条）的相关规定</w:t>
            </w:r>
            <w:r>
              <w:rPr>
                <w:color w:val="000000" w:themeColor="text1"/>
                <w:sz w:val="24"/>
                <w14:textFill>
                  <w14:solidFill>
                    <w14:schemeClr w14:val="tx1"/>
                  </w14:solidFill>
                </w14:textFill>
              </w:rPr>
              <w:t>。</w:t>
            </w:r>
          </w:p>
          <w:p w14:paraId="74153FF4">
            <w:pPr>
              <w:adjustRightInd w:val="0"/>
              <w:spacing w:line="360" w:lineRule="auto"/>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rFonts w:hint="eastAsia"/>
                <w:b/>
                <w:color w:val="000000" w:themeColor="text1"/>
                <w:sz w:val="24"/>
                <w14:textFill>
                  <w14:solidFill>
                    <w14:schemeClr w14:val="tx1"/>
                  </w14:solidFill>
                </w14:textFill>
              </w:rPr>
              <w:t>、与《广东省水污染防治条例》（第五十条） 相符性分析</w:t>
            </w:r>
          </w:p>
          <w:p w14:paraId="6E43723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2C80BA10">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北江流域实行重金属污染物排放总量控制，严格控制新建涉重金属排放的项目，新建、改建、扩建的项目严格实行重金属等特征污染物排放减量置换。</w:t>
            </w:r>
          </w:p>
          <w:p w14:paraId="616EBFD1">
            <w:pPr>
              <w:spacing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项目位广东省博罗县福田镇，属于东江流域范围。项目从木质制品制造生产。</w:t>
            </w:r>
            <w:r>
              <w:rPr>
                <w:bCs/>
                <w:color w:val="000000" w:themeColor="text1"/>
                <w:sz w:val="24"/>
                <w14:textFill>
                  <w14:solidFill>
                    <w14:schemeClr w14:val="tx1"/>
                  </w14:solidFill>
                </w14:textFill>
              </w:rPr>
              <w:t>项目生产废水主要为</w:t>
            </w:r>
            <w:r>
              <w:rPr>
                <w:rFonts w:hint="eastAsia"/>
                <w:bCs/>
                <w:color w:val="000000" w:themeColor="text1"/>
                <w:sz w:val="24"/>
                <w14:textFill>
                  <w14:solidFill>
                    <w14:schemeClr w14:val="tx1"/>
                  </w14:solidFill>
                </w14:textFill>
              </w:rPr>
              <w:t>喷漆、晾干废气处理装置</w:t>
            </w:r>
            <w:r>
              <w:rPr>
                <w:bCs/>
                <w:color w:val="000000" w:themeColor="text1"/>
                <w:sz w:val="24"/>
                <w14:textFill>
                  <w14:solidFill>
                    <w14:schemeClr w14:val="tx1"/>
                  </w14:solidFill>
                </w14:textFill>
              </w:rPr>
              <w:t>喷淋塔废水</w:t>
            </w:r>
            <w:r>
              <w:rPr>
                <w:rFonts w:hint="eastAsia"/>
                <w:bCs/>
                <w:color w:val="000000" w:themeColor="text1"/>
                <w:sz w:val="24"/>
                <w14:textFill>
                  <w14:solidFill>
                    <w14:schemeClr w14:val="tx1"/>
                  </w14:solidFill>
                </w14:textFill>
              </w:rPr>
              <w:t>、水帘柜废水及</w:t>
            </w:r>
            <w:r>
              <w:rPr>
                <w:bCs/>
                <w:color w:val="000000" w:themeColor="text1"/>
                <w:sz w:val="24"/>
                <w14:textFill>
                  <w14:solidFill>
                    <w14:schemeClr w14:val="tx1"/>
                  </w14:solidFill>
                </w14:textFill>
              </w:rPr>
              <w:t>喷枪清洗废水</w:t>
            </w:r>
            <w:r>
              <w:rPr>
                <w:rFonts w:hint="eastAsia"/>
                <w:bCs/>
                <w:color w:val="000000" w:themeColor="text1"/>
                <w:sz w:val="24"/>
                <w14:textFill>
                  <w14:solidFill>
                    <w14:schemeClr w14:val="tx1"/>
                  </w14:solidFill>
                </w14:textFill>
              </w:rPr>
              <w:t>，均</w:t>
            </w:r>
            <w:r>
              <w:rPr>
                <w:bCs/>
                <w:color w:val="000000" w:themeColor="text1"/>
                <w:sz w:val="24"/>
                <w14:textFill>
                  <w14:solidFill>
                    <w14:schemeClr w14:val="tx1"/>
                  </w14:solidFill>
                </w14:textFill>
              </w:rPr>
              <w:t>作为危险废物，交由有资质的单位回收处理</w:t>
            </w:r>
            <w:r>
              <w:rPr>
                <w:rFonts w:hint="eastAsia"/>
                <w:bCs/>
                <w:color w:val="000000" w:themeColor="text1"/>
                <w:sz w:val="24"/>
                <w14:textFill>
                  <w14:solidFill>
                    <w14:schemeClr w14:val="tx1"/>
                  </w14:solidFill>
                </w14:textFill>
              </w:rPr>
              <w:t>，不外排，因此</w:t>
            </w:r>
            <w:r>
              <w:rPr>
                <w:rFonts w:hint="eastAsia"/>
                <w:color w:val="000000" w:themeColor="text1"/>
                <w:sz w:val="24"/>
                <w14:textFill>
                  <w14:solidFill>
                    <w14:schemeClr w14:val="tx1"/>
                  </w14:solidFill>
                </w14:textFill>
              </w:rPr>
              <w:t>项目无生产废水的排放。项目员工生活污水经“隔油隔渣+三级化粪池”处理达到广东省《水污染物排放限值》（</w:t>
            </w:r>
            <w:r>
              <w:rPr>
                <w:color w:val="000000" w:themeColor="text1"/>
                <w:sz w:val="24"/>
                <w14:textFill>
                  <w14:solidFill>
                    <w14:schemeClr w14:val="tx1"/>
                  </w14:solidFill>
                </w14:textFill>
              </w:rPr>
              <w:t>DB44/26-2001</w:t>
            </w:r>
            <w:r>
              <w:rPr>
                <w:rFonts w:hint="eastAsia"/>
                <w:color w:val="000000" w:themeColor="text1"/>
                <w:sz w:val="24"/>
                <w14:textFill>
                  <w14:solidFill>
                    <w14:schemeClr w14:val="tx1"/>
                  </w14:solidFill>
                </w14:textFill>
              </w:rPr>
              <w:t>）第二时段三级标准后经市政污水管网排入博罗县福田镇生活污水处理厂进行深度处理，最终排入福田河。</w:t>
            </w:r>
          </w:p>
          <w:p w14:paraId="70C1A41E">
            <w:pPr>
              <w:spacing w:line="360" w:lineRule="auto"/>
              <w:ind w:firstLine="482" w:firstLineChars="200"/>
              <w:rPr>
                <w:color w:val="000000" w:themeColor="text1"/>
                <w:kern w:val="0"/>
                <w:sz w:val="24"/>
                <w14:textFill>
                  <w14:solidFill>
                    <w14:schemeClr w14:val="tx1"/>
                  </w14:solidFill>
                </w14:textFill>
              </w:rPr>
            </w:pPr>
            <w:r>
              <w:rPr>
                <w:b/>
                <w:color w:val="000000" w:themeColor="text1"/>
                <w:sz w:val="24"/>
                <w14:textFill>
                  <w14:solidFill>
                    <w14:schemeClr w14:val="tx1"/>
                  </w14:solidFill>
                </w14:textFill>
              </w:rPr>
              <w:t>6</w:t>
            </w:r>
            <w:r>
              <w:rPr>
                <w:rFonts w:hint="eastAsia"/>
                <w:b/>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与《关于印发&lt;重点行业挥发性有机物综合治理方案&gt; 的通知》（环大气</w:t>
            </w:r>
            <w:r>
              <w:rPr>
                <w:b/>
                <w:bCs/>
                <w:color w:val="000000" w:themeColor="text1"/>
                <w:sz w:val="24"/>
                <w14:textFill>
                  <w14:solidFill>
                    <w14:schemeClr w14:val="tx1"/>
                  </w14:solidFill>
                </w14:textFill>
              </w:rPr>
              <w:t>〔2019〕</w:t>
            </w:r>
            <w:r>
              <w:rPr>
                <w:rFonts w:hint="eastAsia"/>
                <w:b/>
                <w:bCs/>
                <w:color w:val="000000" w:themeColor="text1"/>
                <w:sz w:val="24"/>
                <w14:textFill>
                  <w14:solidFill>
                    <w14:schemeClr w14:val="tx1"/>
                  </w14:solidFill>
                </w14:textFill>
              </w:rPr>
              <w:t>5</w:t>
            </w:r>
            <w:r>
              <w:rPr>
                <w:b/>
                <w:bCs/>
                <w:color w:val="000000" w:themeColor="text1"/>
                <w:sz w:val="24"/>
                <w14:textFill>
                  <w14:solidFill>
                    <w14:schemeClr w14:val="tx1"/>
                  </w14:solidFill>
                </w14:textFill>
              </w:rPr>
              <w:t>3</w:t>
            </w:r>
            <w:r>
              <w:rPr>
                <w:rFonts w:hint="eastAsia"/>
                <w:b/>
                <w:bCs/>
                <w:color w:val="000000" w:themeColor="text1"/>
                <w:sz w:val="24"/>
                <w14:textFill>
                  <w14:solidFill>
                    <w14:schemeClr w14:val="tx1"/>
                  </w14:solidFill>
                </w14:textFill>
              </w:rPr>
              <w:t>号）相符性分析</w:t>
            </w:r>
          </w:p>
          <w:p w14:paraId="4FC20204">
            <w:pPr>
              <w:autoSpaceDE w:val="0"/>
              <w:autoSpaceDN w:val="0"/>
              <w:adjustRightInd w:val="0"/>
              <w:snapToGrid w:val="0"/>
              <w:spacing w:line="360" w:lineRule="auto"/>
              <w:ind w:firstLine="480" w:firstLineChars="200"/>
              <w:jc w:val="left"/>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三、控制思路与要求</w:t>
            </w:r>
          </w:p>
          <w:p w14:paraId="60D43BAD">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（一）</w:t>
            </w:r>
            <w:r>
              <w:rPr>
                <w:color w:val="000000" w:themeColor="text1"/>
                <w:kern w:val="0"/>
                <w:sz w:val="24"/>
                <w14:textFill>
                  <w14:solidFill>
                    <w14:schemeClr w14:val="tx1"/>
                  </w14:solidFill>
                </w14:textFill>
              </w:rPr>
              <w:t>大力推进源头替代。通过使用水性、粉末、高固体分、无溶剂、辐射固化等低VOCs含量的涂料，水性、辐射固化、植物基等低VOCs含量的油墨，水基、热熔、无溶剂、辐射固化、改性、生物降解等低VOCs 含量的胶粘剂，以及低VOCs含量、低反应活性的清洗剂等，替代溶剂型涂料、油墨、胶粘剂、清洗剂等，从源头减少</w:t>
            </w:r>
            <w:r>
              <w:rPr>
                <w:rFonts w:hint="eastAsia"/>
                <w:color w:val="000000" w:themeColor="text1"/>
                <w:kern w:val="0"/>
                <w:sz w:val="24"/>
                <w14:textFill>
                  <w14:solidFill>
                    <w14:schemeClr w14:val="tx1"/>
                  </w14:solidFill>
                </w14:textFill>
              </w:rPr>
              <w:t>VOCs</w:t>
            </w:r>
            <w:r>
              <w:rPr>
                <w:color w:val="000000" w:themeColor="text1"/>
                <w:kern w:val="0"/>
                <w:sz w:val="24"/>
                <w14:textFill>
                  <w14:solidFill>
                    <w14:schemeClr w14:val="tx1"/>
                  </w14:solidFill>
                </w14:textFill>
              </w:rPr>
              <w:t>产生。</w:t>
            </w:r>
          </w:p>
          <w:p w14:paraId="49024F16">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二）全面加强无组织排放控制。重点对含VOCs物料（包括含VOCs原辅材料、含VOCs产品、含VOCs废料以及有机聚合物材料等）储存、转移和输送、设备与管线组件泄露、敞开液体逸散以及工艺过程等五类排放源实施管控，通过采取设备与场所密闭、工艺改进、废气有效收集等措施，削减VOCs无组织排放。</w:t>
            </w:r>
          </w:p>
          <w:p w14:paraId="78A0E6C4">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加强设备与场所密闭管理。含VOCs物料应储存于密闭容器、包装袋，高效密封储罐，封闭式储库、料y等。含VOCs物料转移和输送，应采用密闭管道或密闭容器、罐车等。</w:t>
            </w:r>
          </w:p>
          <w:p w14:paraId="4FC1DCFF">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推进使用先进生产工艺通过采用全密闭、连续化、自动化等生产技术，以及高效工艺与设备等，减少工艺过程无组织排放。</w:t>
            </w:r>
          </w:p>
          <w:p w14:paraId="5B47FCC6">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p w14:paraId="73B92579">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w:t>
            </w:r>
          </w:p>
          <w:p w14:paraId="20DF823A">
            <w:pPr>
              <w:autoSpaceDE w:val="0"/>
              <w:autoSpaceDN w:val="0"/>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根据企业提供的检测报告，</w:t>
            </w:r>
            <w:r>
              <w:rPr>
                <w:color w:val="000000" w:themeColor="text1"/>
                <w:kern w:val="0"/>
                <w:sz w:val="24"/>
                <w14:textFill>
                  <w14:solidFill>
                    <w14:schemeClr w14:val="tx1"/>
                  </w14:solidFill>
                </w14:textFill>
              </w:rPr>
              <w:t>项目使用</w:t>
            </w:r>
            <w:r>
              <w:rPr>
                <w:rFonts w:hint="eastAsia"/>
                <w:color w:val="000000" w:themeColor="text1"/>
                <w:kern w:val="0"/>
                <w:sz w:val="24"/>
                <w14:textFill>
                  <w14:solidFill>
                    <w14:schemeClr w14:val="tx1"/>
                  </w14:solidFill>
                </w14:textFill>
              </w:rPr>
              <w:t>水性油漆，其VOCs含量为129g/L，满足《低挥发性有机化合物含量涂料产品技术要求》（GB/T38597-2020）中表1木器涂料中色漆VOCs含量不高于</w:t>
            </w:r>
            <w:r>
              <w:rPr>
                <w:color w:val="000000" w:themeColor="text1"/>
                <w:kern w:val="0"/>
                <w:sz w:val="24"/>
                <w14:textFill>
                  <w14:solidFill>
                    <w14:schemeClr w14:val="tx1"/>
                  </w14:solidFill>
                </w14:textFill>
              </w:rPr>
              <w:t>2</w:t>
            </w:r>
            <w:r>
              <w:rPr>
                <w:rFonts w:hint="eastAsia"/>
                <w:color w:val="000000" w:themeColor="text1"/>
                <w:kern w:val="0"/>
                <w:sz w:val="24"/>
                <w14:textFill>
                  <w14:solidFill>
                    <w14:schemeClr w14:val="tx1"/>
                  </w14:solidFill>
                </w14:textFill>
              </w:rPr>
              <w:t>20g/L的要求，属于</w:t>
            </w:r>
            <w:r>
              <w:rPr>
                <w:color w:val="000000" w:themeColor="text1"/>
                <w:kern w:val="0"/>
                <w:sz w:val="24"/>
                <w14:textFill>
                  <w14:solidFill>
                    <w14:schemeClr w14:val="tx1"/>
                  </w14:solidFill>
                </w14:textFill>
              </w:rPr>
              <w:t>低VOCs含量</w:t>
            </w:r>
            <w:r>
              <w:rPr>
                <w:rFonts w:hint="eastAsia"/>
                <w:color w:val="000000" w:themeColor="text1"/>
                <w:kern w:val="0"/>
                <w:sz w:val="24"/>
                <w14:textFill>
                  <w14:solidFill>
                    <w14:schemeClr w14:val="tx1"/>
                  </w14:solidFill>
                </w14:textFill>
              </w:rPr>
              <w:t>水性涂料。项目喷漆、晾干</w:t>
            </w:r>
            <w:r>
              <w:rPr>
                <w:color w:val="000000" w:themeColor="text1"/>
                <w:kern w:val="0"/>
                <w:sz w:val="24"/>
                <w14:textFill>
                  <w14:solidFill>
                    <w14:schemeClr w14:val="tx1"/>
                  </w14:solidFill>
                </w14:textFill>
              </w:rPr>
              <w:t>过程</w:t>
            </w:r>
            <w:r>
              <w:rPr>
                <w:rFonts w:hint="eastAsia"/>
                <w:color w:val="000000" w:themeColor="text1"/>
                <w:kern w:val="0"/>
                <w:sz w:val="24"/>
                <w14:textFill>
                  <w14:solidFill>
                    <w14:schemeClr w14:val="tx1"/>
                  </w14:solidFill>
                </w14:textFill>
              </w:rPr>
              <w:t>中产生的</w:t>
            </w:r>
            <w:r>
              <w:rPr>
                <w:color w:val="000000" w:themeColor="text1"/>
                <w:kern w:val="0"/>
                <w:sz w:val="24"/>
                <w14:textFill>
                  <w14:solidFill>
                    <w14:schemeClr w14:val="tx1"/>
                  </w14:solidFill>
                </w14:textFill>
              </w:rPr>
              <w:t>VOCs挥发</w:t>
            </w:r>
            <w:r>
              <w:rPr>
                <w:rFonts w:hint="eastAsia"/>
                <w:color w:val="000000" w:themeColor="text1"/>
                <w:kern w:val="0"/>
                <w:sz w:val="24"/>
                <w14:textFill>
                  <w14:solidFill>
                    <w14:schemeClr w14:val="tx1"/>
                  </w14:solidFill>
                </w14:textFill>
              </w:rPr>
              <w:t>有机废气</w:t>
            </w:r>
            <w:r>
              <w:rPr>
                <w:color w:val="000000" w:themeColor="text1"/>
                <w:kern w:val="0"/>
                <w:sz w:val="24"/>
                <w14:textFill>
                  <w14:solidFill>
                    <w14:schemeClr w14:val="tx1"/>
                  </w14:solidFill>
                </w14:textFill>
              </w:rPr>
              <w:t>采取</w:t>
            </w:r>
            <w:r>
              <w:rPr>
                <w:rFonts w:hint="eastAsia"/>
                <w:color w:val="000000" w:themeColor="text1"/>
                <w:kern w:val="0"/>
                <w:sz w:val="24"/>
                <w14:textFill>
                  <w14:solidFill>
                    <w14:schemeClr w14:val="tx1"/>
                  </w14:solidFill>
                </w14:textFill>
              </w:rPr>
              <w:t>水帘柜与</w:t>
            </w:r>
            <w:r>
              <w:rPr>
                <w:color w:val="000000" w:themeColor="text1"/>
                <w:kern w:val="0"/>
                <w:sz w:val="24"/>
                <w14:textFill>
                  <w14:solidFill>
                    <w14:schemeClr w14:val="tx1"/>
                  </w14:solidFill>
                </w14:textFill>
              </w:rPr>
              <w:t>负压环境下对VOCs进行收集，收集效率约有</w:t>
            </w:r>
            <w:r>
              <w:rPr>
                <w:rFonts w:hint="eastAsia"/>
                <w:color w:val="000000" w:themeColor="text1"/>
                <w:kern w:val="0"/>
                <w:sz w:val="24"/>
                <w14:textFill>
                  <w14:solidFill>
                    <w14:schemeClr w14:val="tx1"/>
                  </w14:solidFill>
                </w14:textFill>
              </w:rPr>
              <w:t>90</w:t>
            </w:r>
            <w:r>
              <w:rPr>
                <w:color w:val="000000" w:themeColor="text1"/>
                <w:kern w:val="0"/>
                <w:sz w:val="24"/>
                <w14:textFill>
                  <w14:solidFill>
                    <w14:schemeClr w14:val="tx1"/>
                  </w14:solidFill>
                </w14:textFill>
              </w:rPr>
              <w:t>%，处理效率</w:t>
            </w:r>
            <w:r>
              <w:rPr>
                <w:rFonts w:hint="eastAsia"/>
                <w:color w:val="000000" w:themeColor="text1"/>
                <w:kern w:val="0"/>
                <w:sz w:val="24"/>
                <w14:textFill>
                  <w14:solidFill>
                    <w14:schemeClr w14:val="tx1"/>
                  </w14:solidFill>
                </w14:textFill>
              </w:rPr>
              <w:t>为</w:t>
            </w:r>
            <w:r>
              <w:rPr>
                <w:color w:val="000000" w:themeColor="text1"/>
                <w:kern w:val="0"/>
                <w:sz w:val="24"/>
                <w14:textFill>
                  <w14:solidFill>
                    <w14:schemeClr w14:val="tx1"/>
                  </w14:solidFill>
                </w14:textFill>
              </w:rPr>
              <w:t>75%，</w:t>
            </w:r>
            <w:r>
              <w:rPr>
                <w:rFonts w:hint="eastAsia"/>
                <w:color w:val="000000" w:themeColor="text1"/>
                <w:kern w:val="0"/>
                <w:sz w:val="24"/>
                <w14:textFill>
                  <w14:solidFill>
                    <w14:schemeClr w14:val="tx1"/>
                  </w14:solidFill>
                </w14:textFill>
              </w:rPr>
              <w:t>经</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水喷淋+过滤除雾器+二级活性炭吸附</w:t>
            </w:r>
            <w:r>
              <w:rPr>
                <w:color w:val="000000" w:themeColor="text1"/>
                <w:kern w:val="0"/>
                <w:sz w:val="24"/>
                <w14:textFill>
                  <w14:solidFill>
                    <w14:schemeClr w14:val="tx1"/>
                  </w14:solidFill>
                </w14:textFill>
              </w:rPr>
              <w:t>”处理达标后通过15m排气筒高空排放，项目所使用的水</w:t>
            </w:r>
            <w:r>
              <w:rPr>
                <w:rFonts w:hint="eastAsia"/>
                <w:color w:val="000000" w:themeColor="text1"/>
                <w:kern w:val="0"/>
                <w:sz w:val="24"/>
                <w14:textFill>
                  <w14:solidFill>
                    <w14:schemeClr w14:val="tx1"/>
                  </w14:solidFill>
                </w14:textFill>
              </w:rPr>
              <w:t>性油漆</w:t>
            </w:r>
            <w:r>
              <w:rPr>
                <w:color w:val="000000" w:themeColor="text1"/>
                <w:kern w:val="0"/>
                <w:sz w:val="24"/>
                <w14:textFill>
                  <w14:solidFill>
                    <w14:schemeClr w14:val="tx1"/>
                  </w14:solidFill>
                </w14:textFill>
              </w:rPr>
              <w:t>均是密闭</w:t>
            </w:r>
            <w:r>
              <w:rPr>
                <w:rFonts w:hint="eastAsia"/>
                <w:color w:val="000000" w:themeColor="text1"/>
                <w:kern w:val="0"/>
                <w:sz w:val="24"/>
                <w14:textFill>
                  <w14:solidFill>
                    <w14:schemeClr w14:val="tx1"/>
                  </w14:solidFill>
                </w14:textFill>
              </w:rPr>
              <w:t>桶</w:t>
            </w:r>
            <w:r>
              <w:rPr>
                <w:color w:val="000000" w:themeColor="text1"/>
                <w:kern w:val="0"/>
                <w:sz w:val="24"/>
                <w14:textFill>
                  <w14:solidFill>
                    <w14:schemeClr w14:val="tx1"/>
                  </w14:solidFill>
                </w14:textFill>
              </w:rPr>
              <w:t>装，存放于室内仓库中。符合政策要求</w:t>
            </w:r>
            <w:r>
              <w:rPr>
                <w:rFonts w:hint="eastAsia"/>
                <w:color w:val="000000" w:themeColor="text1"/>
                <w:sz w:val="24"/>
                <w14:textFill>
                  <w14:solidFill>
                    <w14:schemeClr w14:val="tx1"/>
                  </w14:solidFill>
                </w14:textFill>
              </w:rPr>
              <w:t>。</w:t>
            </w:r>
          </w:p>
          <w:p w14:paraId="3993BADF">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7</w:t>
            </w:r>
            <w:r>
              <w:rPr>
                <w:rFonts w:hint="eastAsia"/>
                <w:b/>
                <w:color w:val="000000" w:themeColor="text1"/>
                <w:sz w:val="24"/>
                <w14:textFill>
                  <w14:solidFill>
                    <w14:schemeClr w14:val="tx1"/>
                  </w14:solidFill>
                </w14:textFill>
              </w:rPr>
              <w:t>、与《广东省涉挥发性有机物（VOCs）重点行业治理指引》（环办〔2021〕43号）相符性分析</w:t>
            </w:r>
          </w:p>
          <w:p w14:paraId="7374C1A5">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本项目行业类别为“C2039 软木制品及其他木制品制造”，参考《广东省涉挥发性有机物（VOCs）重点行业治理指引》（环办〔2021〕43号）十、家具制行业V</w:t>
            </w:r>
            <w:r>
              <w:rPr>
                <w:color w:val="000000" w:themeColor="text1"/>
                <w:kern w:val="0"/>
                <w:sz w:val="24"/>
                <w14:textFill>
                  <w14:solidFill>
                    <w14:schemeClr w14:val="tx1"/>
                  </w14:solidFill>
                </w14:textFill>
              </w:rPr>
              <w:t>OC</w:t>
            </w:r>
            <w:r>
              <w:rPr>
                <w:rFonts w:hint="eastAsia"/>
                <w:color w:val="000000" w:themeColor="text1"/>
                <w:kern w:val="0"/>
                <w:sz w:val="24"/>
                <w14:textFill>
                  <w14:solidFill>
                    <w14:schemeClr w14:val="tx1"/>
                  </w14:solidFill>
                </w14:textFill>
              </w:rPr>
              <w:t>s治理指引，分析结果详见下表：</w:t>
            </w:r>
          </w:p>
          <w:p w14:paraId="6135BF77">
            <w:pPr>
              <w:ind w:firstLine="422" w:firstLineChars="20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表1-2  与《广东省涉挥发性有机物（VOCs）重点行业治理指引》（环办〔2021〕43号）相符性分析对照</w:t>
            </w:r>
          </w:p>
          <w:tbl>
            <w:tblPr>
              <w:tblStyle w:val="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3078"/>
              <w:gridCol w:w="455"/>
              <w:gridCol w:w="3190"/>
            </w:tblGrid>
            <w:tr w14:paraId="2EBF8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0" w:type="auto"/>
                  <w:vAlign w:val="center"/>
                </w:tcPr>
                <w:p w14:paraId="65FF210E">
                  <w:pPr>
                    <w:jc w:val="center"/>
                    <w:rPr>
                      <w:b/>
                      <w:bCs/>
                      <w:color w:val="000000" w:themeColor="text1"/>
                      <w:szCs w:val="21"/>
                      <w14:textFill>
                        <w14:solidFill>
                          <w14:schemeClr w14:val="tx1"/>
                        </w14:solidFill>
                      </w14:textFill>
                    </w:rPr>
                  </w:pPr>
                  <w:r>
                    <w:rPr>
                      <w:b/>
                      <w:bCs/>
                      <w:color w:val="000000" w:themeColor="text1"/>
                      <w:spacing w:val="-5"/>
                      <w:szCs w:val="21"/>
                      <w14:textFill>
                        <w14:solidFill>
                          <w14:schemeClr w14:val="tx1"/>
                        </w14:solidFill>
                      </w14:textFill>
                    </w:rPr>
                    <w:t>序号</w:t>
                  </w:r>
                </w:p>
              </w:tc>
              <w:tc>
                <w:tcPr>
                  <w:tcW w:w="0" w:type="auto"/>
                  <w:vAlign w:val="center"/>
                </w:tcPr>
                <w:p w14:paraId="07A3F459">
                  <w:pPr>
                    <w:jc w:val="center"/>
                    <w:rPr>
                      <w:b/>
                      <w:bCs/>
                      <w:color w:val="000000" w:themeColor="text1"/>
                      <w:szCs w:val="21"/>
                      <w14:textFill>
                        <w14:solidFill>
                          <w14:schemeClr w14:val="tx1"/>
                        </w14:solidFill>
                      </w14:textFill>
                    </w:rPr>
                  </w:pPr>
                  <w:r>
                    <w:rPr>
                      <w:b/>
                      <w:bCs/>
                      <w:color w:val="000000" w:themeColor="text1"/>
                      <w:spacing w:val="-5"/>
                      <w:szCs w:val="21"/>
                      <w14:textFill>
                        <w14:solidFill>
                          <w14:schemeClr w14:val="tx1"/>
                        </w14:solidFill>
                      </w14:textFill>
                    </w:rPr>
                    <w:t>环节</w:t>
                  </w:r>
                </w:p>
              </w:tc>
              <w:tc>
                <w:tcPr>
                  <w:tcW w:w="0" w:type="auto"/>
                  <w:vAlign w:val="center"/>
                </w:tcPr>
                <w:p w14:paraId="37E1C124">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控制要求</w:t>
                  </w:r>
                </w:p>
              </w:tc>
              <w:tc>
                <w:tcPr>
                  <w:tcW w:w="0" w:type="auto"/>
                  <w:vAlign w:val="center"/>
                </w:tcPr>
                <w:p w14:paraId="6ABB4E81">
                  <w:pPr>
                    <w:jc w:val="center"/>
                    <w:rPr>
                      <w:b/>
                      <w:bCs/>
                      <w:color w:val="000000" w:themeColor="text1"/>
                      <w:szCs w:val="21"/>
                      <w14:textFill>
                        <w14:solidFill>
                          <w14:schemeClr w14:val="tx1"/>
                        </w14:solidFill>
                      </w14:textFill>
                    </w:rPr>
                  </w:pPr>
                  <w:r>
                    <w:rPr>
                      <w:b/>
                      <w:bCs/>
                      <w:color w:val="000000" w:themeColor="text1"/>
                      <w:spacing w:val="-3"/>
                      <w:szCs w:val="21"/>
                      <w14:textFill>
                        <w14:solidFill>
                          <w14:schemeClr w14:val="tx1"/>
                        </w14:solidFill>
                      </w14:textFill>
                    </w:rPr>
                    <w:t>符合性分析</w:t>
                  </w:r>
                </w:p>
              </w:tc>
            </w:tr>
            <w:tr w14:paraId="43FA8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14:paraId="05E52CF6">
                  <w:pPr>
                    <w:jc w:val="center"/>
                    <w:rPr>
                      <w:color w:val="000000" w:themeColor="text1"/>
                      <w:szCs w:val="21"/>
                      <w14:textFill>
                        <w14:solidFill>
                          <w14:schemeClr w14:val="tx1"/>
                        </w14:solidFill>
                      </w14:textFill>
                    </w:rPr>
                  </w:pPr>
                  <w:r>
                    <w:rPr>
                      <w:color w:val="000000" w:themeColor="text1"/>
                      <w:spacing w:val="-3"/>
                      <w:szCs w:val="21"/>
                      <w14:textFill>
                        <w14:solidFill>
                          <w14:schemeClr w14:val="tx1"/>
                        </w14:solidFill>
                      </w14:textFill>
                    </w:rPr>
                    <w:t>源头削减</w:t>
                  </w:r>
                </w:p>
              </w:tc>
            </w:tr>
            <w:tr w14:paraId="31231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0" w:type="auto"/>
                  <w:vAlign w:val="center"/>
                </w:tcPr>
                <w:p w14:paraId="7DAF4F80">
                  <w:pPr>
                    <w:jc w:val="center"/>
                    <w:rPr>
                      <w:color w:val="000000" w:themeColor="text1"/>
                      <w:szCs w:val="21"/>
                      <w14:textFill>
                        <w14:solidFill>
                          <w14:schemeClr w14:val="tx1"/>
                        </w14:solidFill>
                      </w14:textFill>
                    </w:rPr>
                  </w:pPr>
                  <w:r>
                    <w:rPr>
                      <w:color w:val="000000" w:themeColor="text1"/>
                      <w:spacing w:val="-11"/>
                      <w:szCs w:val="21"/>
                      <w14:textFill>
                        <w14:solidFill>
                          <w14:schemeClr w14:val="tx1"/>
                        </w14:solidFill>
                      </w14:textFill>
                    </w:rPr>
                    <w:t>水性</w:t>
                  </w:r>
                  <w:r>
                    <w:rPr>
                      <w:color w:val="000000" w:themeColor="text1"/>
                      <w:szCs w:val="21"/>
                      <w14:textFill>
                        <w14:solidFill>
                          <w14:schemeClr w14:val="tx1"/>
                        </w14:solidFill>
                      </w14:textFill>
                    </w:rPr>
                    <w:t xml:space="preserve"> </w:t>
                  </w:r>
                  <w:r>
                    <w:rPr>
                      <w:color w:val="000000" w:themeColor="text1"/>
                      <w:spacing w:val="-7"/>
                      <w:szCs w:val="21"/>
                      <w14:textFill>
                        <w14:solidFill>
                          <w14:schemeClr w14:val="tx1"/>
                        </w14:solidFill>
                      </w14:textFill>
                    </w:rPr>
                    <w:t>油漆</w:t>
                  </w:r>
                  <w:r>
                    <w:rPr>
                      <w:rFonts w:hint="eastAsia"/>
                      <w:color w:val="000000" w:themeColor="text1"/>
                      <w:spacing w:val="-7"/>
                      <w:szCs w:val="21"/>
                      <w14:textFill>
                        <w14:solidFill>
                          <w14:schemeClr w14:val="tx1"/>
                        </w14:solidFill>
                      </w14:textFill>
                    </w:rPr>
                    <w:t>（含腻子）</w:t>
                  </w:r>
                </w:p>
              </w:tc>
              <w:tc>
                <w:tcPr>
                  <w:tcW w:w="0" w:type="auto"/>
                  <w:vAlign w:val="center"/>
                </w:tcPr>
                <w:p w14:paraId="4989D94F">
                  <w:pP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木器涂料色漆</w:t>
                  </w:r>
                  <w:r>
                    <w:rPr>
                      <w:color w:val="000000" w:themeColor="text1"/>
                      <w:spacing w:val="3"/>
                      <w:szCs w:val="21"/>
                      <w14:textFill>
                        <w14:solidFill>
                          <w14:schemeClr w14:val="tx1"/>
                        </w14:solidFill>
                      </w14:textFill>
                    </w:rPr>
                    <w:t>VOC</w:t>
                  </w:r>
                  <w:r>
                    <w:rPr>
                      <w:rFonts w:hint="eastAsia"/>
                      <w:color w:val="000000" w:themeColor="text1"/>
                      <w:spacing w:val="3"/>
                      <w:szCs w:val="21"/>
                      <w14:textFill>
                        <w14:solidFill>
                          <w14:schemeClr w14:val="tx1"/>
                        </w14:solidFill>
                      </w14:textFill>
                    </w:rPr>
                    <w:t>s含量≤250g/L；</w:t>
                  </w:r>
                </w:p>
                <w:p w14:paraId="4862969F">
                  <w:pP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木器涂料清漆</w:t>
                  </w:r>
                  <w:r>
                    <w:rPr>
                      <w:color w:val="000000" w:themeColor="text1"/>
                      <w:spacing w:val="3"/>
                      <w:szCs w:val="21"/>
                      <w14:textFill>
                        <w14:solidFill>
                          <w14:schemeClr w14:val="tx1"/>
                        </w14:solidFill>
                      </w14:textFill>
                    </w:rPr>
                    <w:t>VOC</w:t>
                  </w:r>
                  <w:r>
                    <w:rPr>
                      <w:rFonts w:hint="eastAsia"/>
                      <w:color w:val="000000" w:themeColor="text1"/>
                      <w:spacing w:val="3"/>
                      <w:szCs w:val="21"/>
                      <w14:textFill>
                        <w14:solidFill>
                          <w14:schemeClr w14:val="tx1"/>
                        </w14:solidFill>
                      </w14:textFill>
                    </w:rPr>
                    <w:t>s含量≤300g/L。</w:t>
                  </w:r>
                </w:p>
              </w:tc>
              <w:tc>
                <w:tcPr>
                  <w:tcW w:w="0" w:type="auto"/>
                  <w:vAlign w:val="center"/>
                </w:tcPr>
                <w:p w14:paraId="09393352">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7272974B">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根据企业提供的检测报告，水性</w:t>
                  </w:r>
                  <w:r>
                    <w:rPr>
                      <w:rFonts w:hint="eastAsia"/>
                      <w:color w:val="000000" w:themeColor="text1"/>
                      <w:spacing w:val="3"/>
                      <w:szCs w:val="21"/>
                      <w14:textFill>
                        <w14:solidFill>
                          <w14:schemeClr w14:val="tx1"/>
                        </w14:solidFill>
                      </w14:textFill>
                    </w:rPr>
                    <w:t>油漆</w:t>
                  </w:r>
                  <w:r>
                    <w:rPr>
                      <w:color w:val="000000" w:themeColor="text1"/>
                      <w:spacing w:val="3"/>
                      <w:szCs w:val="21"/>
                      <w14:textFill>
                        <w14:solidFill>
                          <w14:schemeClr w14:val="tx1"/>
                        </w14:solidFill>
                      </w14:textFill>
                    </w:rPr>
                    <w:t>挥发性有机物含量为</w:t>
                  </w:r>
                  <w:r>
                    <w:rPr>
                      <w:rFonts w:hint="eastAsia"/>
                      <w:color w:val="000000" w:themeColor="text1"/>
                      <w:spacing w:val="3"/>
                      <w:szCs w:val="21"/>
                      <w14:textFill>
                        <w14:solidFill>
                          <w14:schemeClr w14:val="tx1"/>
                        </w14:solidFill>
                      </w14:textFill>
                    </w:rPr>
                    <w:t>129</w:t>
                  </w:r>
                  <w:r>
                    <w:rPr>
                      <w:color w:val="000000" w:themeColor="text1"/>
                      <w:spacing w:val="3"/>
                      <w:szCs w:val="21"/>
                      <w14:textFill>
                        <w14:solidFill>
                          <w14:schemeClr w14:val="tx1"/>
                        </w14:solidFill>
                      </w14:textFill>
                    </w:rPr>
                    <w:t>g/L，符合控制要求。</w:t>
                  </w:r>
                </w:p>
              </w:tc>
            </w:tr>
            <w:tr w14:paraId="03828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14:paraId="29FDAA7F">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过程控制</w:t>
                  </w:r>
                </w:p>
              </w:tc>
            </w:tr>
            <w:tr w14:paraId="6B795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0" w:type="auto"/>
                  <w:vMerge w:val="restart"/>
                  <w:vAlign w:val="center"/>
                </w:tcPr>
                <w:p w14:paraId="411F55F0">
                  <w:pPr>
                    <w:jc w:val="center"/>
                    <w:rPr>
                      <w:color w:val="000000" w:themeColor="text1"/>
                      <w:spacing w:val="-11"/>
                      <w:szCs w:val="21"/>
                      <w14:textFill>
                        <w14:solidFill>
                          <w14:schemeClr w14:val="tx1"/>
                        </w14:solidFill>
                      </w14:textFill>
                    </w:rPr>
                  </w:pPr>
                  <w:r>
                    <w:rPr>
                      <w:rFonts w:hint="eastAsia"/>
                      <w:color w:val="000000" w:themeColor="text1"/>
                      <w:spacing w:val="-2"/>
                      <w:szCs w:val="21"/>
                      <w14:textFill>
                        <w14:solidFill>
                          <w14:schemeClr w14:val="tx1"/>
                        </w14:solidFill>
                      </w14:textFill>
                    </w:rPr>
                    <w:t>所有家具生产类型</w:t>
                  </w:r>
                </w:p>
              </w:tc>
              <w:tc>
                <w:tcPr>
                  <w:tcW w:w="0" w:type="auto"/>
                  <w:vAlign w:val="center"/>
                </w:tcPr>
                <w:p w14:paraId="6A30BA31">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涂料、粘胶剂、固化剂、稀释剂、清洗剂等含VOCs原辅材料应集中储存于密闭的容器、包装袋、储罐、储库、料仓中。</w:t>
                  </w:r>
                </w:p>
              </w:tc>
              <w:tc>
                <w:tcPr>
                  <w:tcW w:w="0" w:type="auto"/>
                  <w:vMerge w:val="restart"/>
                  <w:vAlign w:val="center"/>
                </w:tcPr>
                <w:p w14:paraId="6A63DA1E">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13B39575">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本项目水性</w:t>
                  </w:r>
                  <w:r>
                    <w:rPr>
                      <w:rFonts w:hint="eastAsia"/>
                      <w:color w:val="000000" w:themeColor="text1"/>
                      <w:spacing w:val="3"/>
                      <w:szCs w:val="21"/>
                      <w14:textFill>
                        <w14:solidFill>
                          <w14:schemeClr w14:val="tx1"/>
                        </w14:solidFill>
                      </w14:textFill>
                    </w:rPr>
                    <w:t>油漆</w:t>
                  </w:r>
                  <w:r>
                    <w:rPr>
                      <w:color w:val="000000" w:themeColor="text1"/>
                      <w:spacing w:val="3"/>
                      <w:szCs w:val="21"/>
                      <w14:textFill>
                        <w14:solidFill>
                          <w14:schemeClr w14:val="tx1"/>
                        </w14:solidFill>
                      </w14:textFill>
                    </w:rPr>
                    <w:t>为</w:t>
                  </w:r>
                  <w:r>
                    <w:rPr>
                      <w:rFonts w:hint="eastAsia"/>
                      <w:color w:val="000000" w:themeColor="text1"/>
                      <w:spacing w:val="3"/>
                      <w:szCs w:val="21"/>
                      <w14:textFill>
                        <w14:solidFill>
                          <w14:schemeClr w14:val="tx1"/>
                        </w14:solidFill>
                      </w14:textFill>
                    </w:rPr>
                    <w:t>50kg</w:t>
                  </w:r>
                  <w:r>
                    <w:rPr>
                      <w:color w:val="000000" w:themeColor="text1"/>
                      <w:spacing w:val="3"/>
                      <w:szCs w:val="21"/>
                      <w14:textFill>
                        <w14:solidFill>
                          <w14:schemeClr w14:val="tx1"/>
                        </w14:solidFill>
                      </w14:textFill>
                    </w:rPr>
                    <w:t>桶装，存储期间为密闭状态物料仓库独立设置，符合控制要求。</w:t>
                  </w:r>
                </w:p>
              </w:tc>
            </w:tr>
            <w:tr w14:paraId="69DD7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0" w:type="auto"/>
                  <w:vMerge w:val="continue"/>
                  <w:vAlign w:val="center"/>
                </w:tcPr>
                <w:p w14:paraId="28922AA3">
                  <w:pPr>
                    <w:jc w:val="center"/>
                    <w:rPr>
                      <w:color w:val="000000" w:themeColor="text1"/>
                      <w:szCs w:val="21"/>
                      <w14:textFill>
                        <w14:solidFill>
                          <w14:schemeClr w14:val="tx1"/>
                        </w14:solidFill>
                      </w14:textFill>
                    </w:rPr>
                  </w:pPr>
                </w:p>
              </w:tc>
              <w:tc>
                <w:tcPr>
                  <w:tcW w:w="0" w:type="auto"/>
                  <w:vAlign w:val="center"/>
                </w:tcPr>
                <w:p w14:paraId="0A7A664A">
                  <w:pPr>
                    <w:jc w:val="center"/>
                    <w:rPr>
                      <w:color w:val="7030A0"/>
                      <w:spacing w:val="3"/>
                      <w:szCs w:val="21"/>
                    </w:rPr>
                  </w:pPr>
                  <w:r>
                    <w:rPr>
                      <w:rFonts w:hint="eastAsia"/>
                      <w:color w:val="000000" w:themeColor="text1"/>
                      <w:spacing w:val="3"/>
                      <w:szCs w:val="21"/>
                      <w14:textFill>
                        <w14:solidFill>
                          <w14:schemeClr w14:val="tx1"/>
                        </w14:solidFill>
                      </w14:textFill>
                    </w:rPr>
                    <w:t>盛装VOCs物料的容器或包装袋放于室内，或存放于设置有雨棚、遮阳和防渗设施的专用场地。</w:t>
                  </w:r>
                </w:p>
              </w:tc>
              <w:tc>
                <w:tcPr>
                  <w:tcW w:w="0" w:type="auto"/>
                  <w:vMerge w:val="continue"/>
                  <w:vAlign w:val="center"/>
                </w:tcPr>
                <w:p w14:paraId="14B2EBC5">
                  <w:pPr>
                    <w:jc w:val="center"/>
                    <w:rPr>
                      <w:color w:val="000000" w:themeColor="text1"/>
                      <w:spacing w:val="3"/>
                      <w:szCs w:val="21"/>
                      <w14:textFill>
                        <w14:solidFill>
                          <w14:schemeClr w14:val="tx1"/>
                        </w14:solidFill>
                      </w14:textFill>
                    </w:rPr>
                  </w:pPr>
                </w:p>
              </w:tc>
              <w:tc>
                <w:tcPr>
                  <w:tcW w:w="0" w:type="auto"/>
                  <w:vAlign w:val="center"/>
                </w:tcPr>
                <w:p w14:paraId="2F0B919A">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水性油漆所在的物料仓库独立设置，在非取用状态时应加盖、封口，保持密闭，符合控制要求。</w:t>
                  </w:r>
                </w:p>
              </w:tc>
            </w:tr>
            <w:tr w14:paraId="74C91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70BC79E9">
                  <w:pPr>
                    <w:jc w:val="center"/>
                    <w:rPr>
                      <w:color w:val="000000" w:themeColor="text1"/>
                      <w:spacing w:val="-2"/>
                      <w:szCs w:val="21"/>
                      <w14:textFill>
                        <w14:solidFill>
                          <w14:schemeClr w14:val="tx1"/>
                        </w14:solidFill>
                      </w14:textFill>
                    </w:rPr>
                  </w:pPr>
                </w:p>
              </w:tc>
              <w:tc>
                <w:tcPr>
                  <w:tcW w:w="0" w:type="auto"/>
                  <w:vAlign w:val="center"/>
                </w:tcPr>
                <w:p w14:paraId="099DDA61">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涂料、粘胶剂、固化剂、稀释剂、清洗剂等液体VOCs物料应采用管道密闭输送，采用非管道输送方式转移液态VOCs物料时，应采用密闭容器或罐车。</w:t>
                  </w:r>
                </w:p>
              </w:tc>
              <w:tc>
                <w:tcPr>
                  <w:tcW w:w="0" w:type="auto"/>
                  <w:vAlign w:val="center"/>
                </w:tcPr>
                <w:p w14:paraId="07CF8319">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3EE510FA">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本项目水性油漆为非管道输送方式，采用密闭容器，符合控制要求。</w:t>
                  </w:r>
                </w:p>
              </w:tc>
            </w:tr>
            <w:tr w14:paraId="6C467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61A39453">
                  <w:pPr>
                    <w:jc w:val="center"/>
                    <w:rPr>
                      <w:color w:val="000000" w:themeColor="text1"/>
                      <w:spacing w:val="-2"/>
                      <w:szCs w:val="21"/>
                      <w14:textFill>
                        <w14:solidFill>
                          <w14:schemeClr w14:val="tx1"/>
                        </w14:solidFill>
                      </w14:textFill>
                    </w:rPr>
                  </w:pPr>
                </w:p>
              </w:tc>
              <w:tc>
                <w:tcPr>
                  <w:tcW w:w="0" w:type="auto"/>
                  <w:vAlign w:val="center"/>
                </w:tcPr>
                <w:p w14:paraId="5B7E2777">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VOCs物料在非取用状态时应加盖、封口，保持密闭。使用过程中随取随开，用后应及时密闭，以减少挥发。</w:t>
                  </w:r>
                </w:p>
              </w:tc>
              <w:tc>
                <w:tcPr>
                  <w:tcW w:w="0" w:type="auto"/>
                  <w:vAlign w:val="center"/>
                </w:tcPr>
                <w:p w14:paraId="11BCEEFA">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1828B222">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项目水性油漆在非取用状态时加盖、封口，保持密闭。使用过程中随取随开，用后及时密闭，以减少挥发。</w:t>
                  </w:r>
                  <w:r>
                    <w:rPr>
                      <w:color w:val="000000" w:themeColor="text1"/>
                      <w:spacing w:val="3"/>
                      <w:szCs w:val="21"/>
                      <w14:textFill>
                        <w14:solidFill>
                          <w14:schemeClr w14:val="tx1"/>
                        </w14:solidFill>
                      </w14:textFill>
                    </w:rPr>
                    <w:t>符合控制要求。</w:t>
                  </w:r>
                </w:p>
              </w:tc>
            </w:tr>
            <w:tr w14:paraId="521B6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663CF686">
                  <w:pPr>
                    <w:jc w:val="center"/>
                    <w:rPr>
                      <w:color w:val="000000" w:themeColor="text1"/>
                      <w:spacing w:val="-2"/>
                      <w:szCs w:val="21"/>
                      <w14:textFill>
                        <w14:solidFill>
                          <w14:schemeClr w14:val="tx1"/>
                        </w14:solidFill>
                      </w14:textFill>
                    </w:rPr>
                  </w:pPr>
                </w:p>
              </w:tc>
              <w:tc>
                <w:tcPr>
                  <w:tcW w:w="0" w:type="auto"/>
                  <w:vAlign w:val="center"/>
                </w:tcPr>
                <w:p w14:paraId="4BCA4D6B">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涂装、施胶、干燥、辐射固化工序、喷枪清洗等工艺过程中使用VOCs质量占比大于等于10%物料或有机聚合物的工艺过程应采用密闭设备(含往复式喷涂箱)或在密闭空间内操作，废气应排至VOCs废气收集处理系统；无法密闭的，应采取局部气体收集措施,废气排至VOCs废气收集处理系统。</w:t>
                  </w:r>
                </w:p>
              </w:tc>
              <w:tc>
                <w:tcPr>
                  <w:tcW w:w="0" w:type="auto"/>
                  <w:vAlign w:val="center"/>
                </w:tcPr>
                <w:p w14:paraId="2B08DA70">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0DB0C8FE">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喷漆室采用目标负压车间设计，喷涂</w:t>
                  </w:r>
                  <w:r>
                    <w:rPr>
                      <w:color w:val="000000" w:themeColor="text1"/>
                      <w:spacing w:val="3"/>
                      <w:szCs w:val="21"/>
                      <w14:textFill>
                        <w14:solidFill>
                          <w14:schemeClr w14:val="tx1"/>
                        </w14:solidFill>
                      </w14:textFill>
                    </w:rPr>
                    <w:t>在</w:t>
                  </w:r>
                  <w:r>
                    <w:rPr>
                      <w:rFonts w:hint="eastAsia"/>
                      <w:color w:val="000000" w:themeColor="text1"/>
                      <w:spacing w:val="3"/>
                      <w:szCs w:val="21"/>
                      <w14:textFill>
                        <w14:solidFill>
                          <w14:schemeClr w14:val="tx1"/>
                        </w14:solidFill>
                      </w14:textFill>
                    </w:rPr>
                    <w:t>喷漆</w:t>
                  </w:r>
                  <w:r>
                    <w:rPr>
                      <w:color w:val="000000" w:themeColor="text1"/>
                      <w:spacing w:val="3"/>
                      <w:szCs w:val="21"/>
                      <w14:textFill>
                        <w14:solidFill>
                          <w14:schemeClr w14:val="tx1"/>
                        </w14:solidFill>
                      </w14:textFill>
                    </w:rPr>
                    <w:t>室内进行，符合控制要求。</w:t>
                  </w:r>
                </w:p>
              </w:tc>
            </w:tr>
            <w:tr w14:paraId="7EF9B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7FF062B4">
                  <w:pPr>
                    <w:jc w:val="center"/>
                    <w:rPr>
                      <w:color w:val="000000" w:themeColor="text1"/>
                      <w:spacing w:val="-2"/>
                      <w:szCs w:val="21"/>
                      <w14:textFill>
                        <w14:solidFill>
                          <w14:schemeClr w14:val="tx1"/>
                        </w14:solidFill>
                      </w14:textFill>
                    </w:rPr>
                  </w:pPr>
                </w:p>
              </w:tc>
              <w:tc>
                <w:tcPr>
                  <w:tcW w:w="0" w:type="auto"/>
                  <w:vAlign w:val="center"/>
                </w:tcPr>
                <w:p w14:paraId="44079B03">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采用外部集气罩的,距集气罩开口面最远处的VOCs无组织排放位置,控制风速不低于0.3m</w:t>
                  </w:r>
                  <w:r>
                    <w:rPr>
                      <w:color w:val="000000" w:themeColor="text1"/>
                      <w:spacing w:val="3"/>
                      <w:szCs w:val="21"/>
                      <w14:textFill>
                        <w14:solidFill>
                          <w14:schemeClr w14:val="tx1"/>
                        </w14:solidFill>
                      </w14:textFill>
                    </w:rPr>
                    <w:t>/</w:t>
                  </w:r>
                  <w:r>
                    <w:rPr>
                      <w:rFonts w:hint="eastAsia"/>
                      <w:color w:val="000000" w:themeColor="text1"/>
                      <w:spacing w:val="3"/>
                      <w:szCs w:val="21"/>
                      <w14:textFill>
                        <w14:solidFill>
                          <w14:schemeClr w14:val="tx1"/>
                        </w14:solidFill>
                      </w14:textFill>
                    </w:rPr>
                    <w:t>s,有行业要求的按相关规定执行。</w:t>
                  </w:r>
                </w:p>
              </w:tc>
              <w:tc>
                <w:tcPr>
                  <w:tcW w:w="0" w:type="auto"/>
                  <w:vAlign w:val="center"/>
                </w:tcPr>
                <w:p w14:paraId="72D2933C">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要求</w:t>
                  </w:r>
                </w:p>
              </w:tc>
              <w:tc>
                <w:tcPr>
                  <w:tcW w:w="0" w:type="auto"/>
                  <w:vAlign w:val="center"/>
                </w:tcPr>
                <w:p w14:paraId="13675A23">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不适用。</w:t>
                  </w:r>
                </w:p>
              </w:tc>
            </w:tr>
            <w:tr w14:paraId="6CA03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4CB79F78">
                  <w:pPr>
                    <w:jc w:val="center"/>
                    <w:rPr>
                      <w:color w:val="000000" w:themeColor="text1"/>
                      <w:spacing w:val="-2"/>
                      <w:szCs w:val="21"/>
                      <w14:textFill>
                        <w14:solidFill>
                          <w14:schemeClr w14:val="tx1"/>
                        </w14:solidFill>
                      </w14:textFill>
                    </w:rPr>
                  </w:pPr>
                </w:p>
              </w:tc>
              <w:tc>
                <w:tcPr>
                  <w:tcW w:w="0" w:type="auto"/>
                  <w:vAlign w:val="center"/>
                </w:tcPr>
                <w:p w14:paraId="3B6D9B21">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废气收集系统的输送管道应密闭。废气收集系统应在负压下运行，若处于正压状态，应对管道组件的密封点进行泄漏检测，泄漏检测值不应超过500</w:t>
                  </w:r>
                  <w:r>
                    <w:rPr>
                      <w:color w:val="000000" w:themeColor="text1"/>
                      <w:spacing w:val="3"/>
                      <w:szCs w:val="21"/>
                      <w14:textFill>
                        <w14:solidFill>
                          <w14:schemeClr w14:val="tx1"/>
                        </w14:solidFill>
                      </w14:textFill>
                    </w:rPr>
                    <w:t>μ</w:t>
                  </w:r>
                  <w:r>
                    <w:rPr>
                      <w:rFonts w:hint="eastAsia"/>
                      <w:color w:val="000000" w:themeColor="text1"/>
                      <w:spacing w:val="3"/>
                      <w:szCs w:val="21"/>
                      <w14:textFill>
                        <w14:solidFill>
                          <w14:schemeClr w14:val="tx1"/>
                        </w14:solidFill>
                      </w14:textFill>
                    </w:rPr>
                    <w:t>mol</w:t>
                  </w:r>
                  <w:r>
                    <w:rPr>
                      <w:color w:val="000000" w:themeColor="text1"/>
                      <w:spacing w:val="3"/>
                      <w:szCs w:val="21"/>
                      <w14:textFill>
                        <w14:solidFill>
                          <w14:schemeClr w14:val="tx1"/>
                        </w14:solidFill>
                      </w14:textFill>
                    </w:rPr>
                    <w:t>/</w:t>
                  </w:r>
                  <w:r>
                    <w:rPr>
                      <w:rFonts w:hint="eastAsia"/>
                      <w:color w:val="000000" w:themeColor="text1"/>
                      <w:spacing w:val="3"/>
                      <w:szCs w:val="21"/>
                      <w14:textFill>
                        <w14:solidFill>
                          <w14:schemeClr w14:val="tx1"/>
                        </w14:solidFill>
                      </w14:textFill>
                    </w:rPr>
                    <w:t>mol，亦不应有感官可察觉泄漏。</w:t>
                  </w:r>
                </w:p>
              </w:tc>
              <w:tc>
                <w:tcPr>
                  <w:tcW w:w="0" w:type="auto"/>
                  <w:vAlign w:val="center"/>
                </w:tcPr>
                <w:p w14:paraId="76E52756">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要求</w:t>
                  </w:r>
                </w:p>
              </w:tc>
              <w:tc>
                <w:tcPr>
                  <w:tcW w:w="0" w:type="auto"/>
                  <w:vAlign w:val="center"/>
                </w:tcPr>
                <w:p w14:paraId="50231317">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喷涂</w:t>
                  </w:r>
                  <w:r>
                    <w:rPr>
                      <w:color w:val="000000" w:themeColor="text1"/>
                      <w:spacing w:val="3"/>
                      <w:szCs w:val="21"/>
                      <w14:textFill>
                        <w14:solidFill>
                          <w14:schemeClr w14:val="tx1"/>
                        </w14:solidFill>
                      </w14:textFill>
                    </w:rPr>
                    <w:t>、</w:t>
                  </w:r>
                  <w:r>
                    <w:rPr>
                      <w:rFonts w:hint="eastAsia"/>
                      <w:color w:val="000000" w:themeColor="text1"/>
                      <w:spacing w:val="3"/>
                      <w:szCs w:val="21"/>
                      <w14:textFill>
                        <w14:solidFill>
                          <w14:schemeClr w14:val="tx1"/>
                        </w14:solidFill>
                      </w14:textFill>
                    </w:rPr>
                    <w:t>晾干</w:t>
                  </w:r>
                  <w:r>
                    <w:rPr>
                      <w:color w:val="000000" w:themeColor="text1"/>
                      <w:spacing w:val="3"/>
                      <w:szCs w:val="21"/>
                      <w14:textFill>
                        <w14:solidFill>
                          <w14:schemeClr w14:val="tx1"/>
                        </w14:solidFill>
                      </w14:textFill>
                    </w:rPr>
                    <w:t>废气负压密闭收集，废气收集系统与生产工艺设备同步运行，废气处理系统发生故障或检修时，对应的生产工艺设备停止运行，待检修完毕后同步投入使用，符合控制要求。</w:t>
                  </w:r>
                </w:p>
              </w:tc>
            </w:tr>
            <w:tr w14:paraId="6BA2D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59239379">
                  <w:pPr>
                    <w:jc w:val="center"/>
                    <w:rPr>
                      <w:color w:val="000000" w:themeColor="text1"/>
                      <w:spacing w:val="-2"/>
                      <w:szCs w:val="21"/>
                      <w14:textFill>
                        <w14:solidFill>
                          <w14:schemeClr w14:val="tx1"/>
                        </w14:solidFill>
                      </w14:textFill>
                    </w:rPr>
                  </w:pPr>
                </w:p>
              </w:tc>
              <w:tc>
                <w:tcPr>
                  <w:tcW w:w="0" w:type="auto"/>
                  <w:vAlign w:val="center"/>
                </w:tcPr>
                <w:p w14:paraId="44DD6A4A">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废气收集系统应与生产工艺设备同步运行。废气收集系统发生故障或检修时，对应的生产工艺设备应停止运行，待检修完毕后同步投入使用;生产工艺设备不能停止运行或不能及时停止运行的，应设置废气应急处理设施或采取其他代替措施。</w:t>
                  </w:r>
                </w:p>
              </w:tc>
              <w:tc>
                <w:tcPr>
                  <w:tcW w:w="0" w:type="auto"/>
                  <w:vAlign w:val="center"/>
                </w:tcPr>
                <w:p w14:paraId="7D4370D8">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要求</w:t>
                  </w:r>
                </w:p>
              </w:tc>
              <w:tc>
                <w:tcPr>
                  <w:tcW w:w="0" w:type="auto"/>
                  <w:vAlign w:val="center"/>
                </w:tcPr>
                <w:p w14:paraId="1F4D181D">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本项目废气收集系统应与生产工艺设备同步运行。废气处理系统发生故障或检修时，对应的生产工艺设备应停止运行，待检修完毕后同步投入使用。</w:t>
                  </w:r>
                </w:p>
              </w:tc>
            </w:tr>
            <w:tr w14:paraId="623E0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62290C03">
                  <w:pPr>
                    <w:jc w:val="center"/>
                    <w:rPr>
                      <w:color w:val="000000" w:themeColor="text1"/>
                      <w:spacing w:val="-2"/>
                      <w:szCs w:val="21"/>
                      <w14:textFill>
                        <w14:solidFill>
                          <w14:schemeClr w14:val="tx1"/>
                        </w14:solidFill>
                      </w14:textFill>
                    </w:rPr>
                  </w:pPr>
                  <w:r>
                    <w:rPr>
                      <w:rFonts w:hint="eastAsia"/>
                      <w:color w:val="000000" w:themeColor="text1"/>
                      <w:spacing w:val="-2"/>
                      <w:szCs w:val="21"/>
                      <w14:textFill>
                        <w14:solidFill>
                          <w14:schemeClr w14:val="tx1"/>
                        </w14:solidFill>
                      </w14:textFill>
                    </w:rPr>
                    <w:t>非正常排放</w:t>
                  </w:r>
                </w:p>
              </w:tc>
              <w:tc>
                <w:tcPr>
                  <w:tcW w:w="0" w:type="auto"/>
                  <w:vAlign w:val="center"/>
                </w:tcPr>
                <w:p w14:paraId="5BBEC866">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0" w:type="auto"/>
                  <w:vAlign w:val="center"/>
                </w:tcPr>
                <w:p w14:paraId="411ACDD1">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要求</w:t>
                  </w:r>
                </w:p>
              </w:tc>
              <w:tc>
                <w:tcPr>
                  <w:tcW w:w="0" w:type="auto"/>
                  <w:vAlign w:val="center"/>
                </w:tcPr>
                <w:p w14:paraId="3C569FD2">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本项目残存物料用密闭容器盛装，符合控制要求。</w:t>
                  </w:r>
                </w:p>
              </w:tc>
            </w:tr>
            <w:tr w14:paraId="5876E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14:paraId="019551FC">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末端治理</w:t>
                  </w:r>
                </w:p>
              </w:tc>
            </w:tr>
            <w:tr w14:paraId="19232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6464285C">
                  <w:pPr>
                    <w:jc w:val="center"/>
                    <w:rPr>
                      <w:color w:val="000000" w:themeColor="text1"/>
                      <w:spacing w:val="-13"/>
                      <w:szCs w:val="21"/>
                      <w14:textFill>
                        <w14:solidFill>
                          <w14:schemeClr w14:val="tx1"/>
                        </w14:solidFill>
                      </w14:textFill>
                    </w:rPr>
                  </w:pPr>
                  <w:r>
                    <w:rPr>
                      <w:color w:val="000000" w:themeColor="text1"/>
                      <w:spacing w:val="-10"/>
                      <w:szCs w:val="21"/>
                      <w14:textFill>
                        <w14:solidFill>
                          <w14:schemeClr w14:val="tx1"/>
                        </w14:solidFill>
                      </w14:textFill>
                    </w:rPr>
                    <w:t>排放</w:t>
                  </w:r>
                  <w:r>
                    <w:rPr>
                      <w:color w:val="000000" w:themeColor="text1"/>
                      <w:spacing w:val="-6"/>
                      <w:szCs w:val="21"/>
                      <w14:textFill>
                        <w14:solidFill>
                          <w14:schemeClr w14:val="tx1"/>
                        </w14:solidFill>
                      </w14:textFill>
                    </w:rPr>
                    <w:t>水平</w:t>
                  </w:r>
                </w:p>
              </w:tc>
              <w:tc>
                <w:tcPr>
                  <w:tcW w:w="0" w:type="auto"/>
                  <w:vAlign w:val="center"/>
                </w:tcPr>
                <w:p w14:paraId="716D3A18">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（1）有机废气排气简排放浓度不高于《家具制造行业挥发性有机化合物排放标准》（DB44/814-2010）排气筒VOCs排放第Ⅱ时段排放限值;车间或生产设施排气中NMHC初始排放速率≥3 kg/h时，建设VOCs处理设施且处理效率≥80%。</w:t>
                  </w:r>
                </w:p>
                <w:p w14:paraId="065AA169">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（2）厂界VOCs浓度不高于《家具制造行业挥发性有机化合物排放标准》（DB44/814-2010 )无组织排放监控点浓度限值;厂区内无组织排放监控点 NMHC的小时平均浓度值不超过6mg/m</w:t>
                  </w:r>
                  <w:r>
                    <w:rPr>
                      <w:rFonts w:hint="eastAsia"/>
                      <w:color w:val="000000" w:themeColor="text1"/>
                      <w:spacing w:val="3"/>
                      <w:szCs w:val="21"/>
                      <w:vertAlign w:val="superscript"/>
                      <w14:textFill>
                        <w14:solidFill>
                          <w14:schemeClr w14:val="tx1"/>
                        </w14:solidFill>
                      </w14:textFill>
                    </w:rPr>
                    <w:t>3</w:t>
                  </w:r>
                  <w:r>
                    <w:rPr>
                      <w:rFonts w:hint="eastAsia"/>
                      <w:color w:val="000000" w:themeColor="text1"/>
                      <w:spacing w:val="3"/>
                      <w:szCs w:val="21"/>
                      <w14:textFill>
                        <w14:solidFill>
                          <w14:schemeClr w14:val="tx1"/>
                        </w14:solidFill>
                      </w14:textFill>
                    </w:rPr>
                    <w:t>，任意一次浓度值不超过20 mg/m</w:t>
                  </w:r>
                  <w:r>
                    <w:rPr>
                      <w:rFonts w:hint="eastAsia"/>
                      <w:color w:val="000000" w:themeColor="text1"/>
                      <w:spacing w:val="3"/>
                      <w:szCs w:val="21"/>
                      <w:vertAlign w:val="superscript"/>
                      <w14:textFill>
                        <w14:solidFill>
                          <w14:schemeClr w14:val="tx1"/>
                        </w14:solidFill>
                      </w14:textFill>
                    </w:rPr>
                    <w:t>3</w:t>
                  </w:r>
                  <w:r>
                    <w:rPr>
                      <w:rFonts w:hint="eastAsia"/>
                      <w:color w:val="000000" w:themeColor="text1"/>
                      <w:spacing w:val="3"/>
                      <w:szCs w:val="21"/>
                      <w14:textFill>
                        <w14:solidFill>
                          <w14:schemeClr w14:val="tx1"/>
                        </w14:solidFill>
                      </w14:textFill>
                    </w:rPr>
                    <w:t>。</w:t>
                  </w:r>
                </w:p>
              </w:tc>
              <w:tc>
                <w:tcPr>
                  <w:tcW w:w="0" w:type="auto"/>
                  <w:vAlign w:val="center"/>
                </w:tcPr>
                <w:p w14:paraId="5DEEE1D4">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305A740F">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项目喷漆、晾干工序产生有机</w:t>
                  </w:r>
                  <w:r>
                    <w:rPr>
                      <w:color w:val="000000" w:themeColor="text1"/>
                      <w:spacing w:val="3"/>
                      <w:szCs w:val="21"/>
                      <w14:textFill>
                        <w14:solidFill>
                          <w14:schemeClr w14:val="tx1"/>
                        </w14:solidFill>
                      </w14:textFill>
                    </w:rPr>
                    <w:t>废气</w:t>
                  </w:r>
                  <w:r>
                    <w:rPr>
                      <w:rFonts w:hint="eastAsia"/>
                      <w:color w:val="000000" w:themeColor="text1"/>
                      <w:spacing w:val="3"/>
                      <w:szCs w:val="21"/>
                      <w14:textFill>
                        <w14:solidFill>
                          <w14:schemeClr w14:val="tx1"/>
                        </w14:solidFill>
                      </w14:textFill>
                    </w:rPr>
                    <w:t>（</w:t>
                  </w:r>
                  <w:r>
                    <w:rPr>
                      <w:color w:val="000000" w:themeColor="text1"/>
                      <w:spacing w:val="3"/>
                      <w:szCs w:val="21"/>
                      <w14:textFill>
                        <w14:solidFill>
                          <w14:schemeClr w14:val="tx1"/>
                        </w14:solidFill>
                      </w14:textFill>
                    </w:rPr>
                    <w:t>TVOC</w:t>
                  </w:r>
                  <w:r>
                    <w:rPr>
                      <w:rFonts w:hint="eastAsia"/>
                      <w:color w:val="000000" w:themeColor="text1"/>
                      <w:spacing w:val="3"/>
                      <w:szCs w:val="21"/>
                      <w14:textFill>
                        <w14:solidFill>
                          <w14:schemeClr w14:val="tx1"/>
                        </w14:solidFill>
                      </w14:textFill>
                    </w:rPr>
                    <w:t>和非甲烷总烃）有组织排放</w:t>
                  </w:r>
                  <w:r>
                    <w:rPr>
                      <w:color w:val="000000" w:themeColor="text1"/>
                      <w:spacing w:val="3"/>
                      <w:szCs w:val="21"/>
                      <w14:textFill>
                        <w14:solidFill>
                          <w14:schemeClr w14:val="tx1"/>
                        </w14:solidFill>
                      </w14:textFill>
                    </w:rPr>
                    <w:t>执行《固定污染源挥发性有机物综合排放标准》（DB44/2367-2022）</w:t>
                  </w:r>
                  <w:r>
                    <w:rPr>
                      <w:rFonts w:hint="eastAsia"/>
                      <w:color w:val="000000" w:themeColor="text1"/>
                      <w:spacing w:val="3"/>
                      <w:szCs w:val="21"/>
                      <w14:textFill>
                        <w14:solidFill>
                          <w14:schemeClr w14:val="tx1"/>
                        </w14:solidFill>
                      </w14:textFill>
                    </w:rPr>
                    <w:t>表1挥发性有机物排放限值的要求，总V</w:t>
                  </w:r>
                  <w:r>
                    <w:rPr>
                      <w:color w:val="000000" w:themeColor="text1"/>
                      <w:spacing w:val="3"/>
                      <w:szCs w:val="21"/>
                      <w14:textFill>
                        <w14:solidFill>
                          <w14:schemeClr w14:val="tx1"/>
                        </w14:solidFill>
                      </w14:textFill>
                    </w:rPr>
                    <w:t>OC</w:t>
                  </w:r>
                  <w:r>
                    <w:rPr>
                      <w:rFonts w:hint="eastAsia"/>
                      <w:color w:val="000000" w:themeColor="text1"/>
                      <w:spacing w:val="3"/>
                      <w:szCs w:val="21"/>
                      <w14:textFill>
                        <w14:solidFill>
                          <w14:schemeClr w14:val="tx1"/>
                        </w14:solidFill>
                      </w14:textFill>
                    </w:rPr>
                    <w:t>s无组织排放执行广东省《家具制造行业挥发性有机化合物排放标准》（DB44/814-2010）无组织排放监控点浓度限值标准的要求</w:t>
                  </w:r>
                  <w:r>
                    <w:rPr>
                      <w:color w:val="000000" w:themeColor="text1"/>
                      <w:spacing w:val="3"/>
                      <w:szCs w:val="21"/>
                      <w14:textFill>
                        <w14:solidFill>
                          <w14:schemeClr w14:val="tx1"/>
                        </w14:solidFill>
                      </w14:textFill>
                    </w:rPr>
                    <w:t>，</w:t>
                  </w:r>
                  <w:r>
                    <w:rPr>
                      <w:rFonts w:hint="eastAsia"/>
                      <w:color w:val="000000" w:themeColor="text1"/>
                      <w:spacing w:val="3"/>
                      <w:szCs w:val="21"/>
                      <w14:textFill>
                        <w14:solidFill>
                          <w14:schemeClr w14:val="tx1"/>
                        </w14:solidFill>
                      </w14:textFill>
                    </w:rPr>
                    <w:t>厂区内非甲烷总烃排放执行广东省《固定污染源挥发性有机物综合排放标准》（DB44/2367-2022）中表3厂区内无组织排放限值的要求。</w:t>
                  </w:r>
                </w:p>
              </w:tc>
            </w:tr>
            <w:tr w14:paraId="4583E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74D3F581">
                  <w:pPr>
                    <w:jc w:val="center"/>
                    <w:rPr>
                      <w:color w:val="000000" w:themeColor="text1"/>
                      <w:spacing w:val="-13"/>
                      <w:szCs w:val="21"/>
                      <w14:textFill>
                        <w14:solidFill>
                          <w14:schemeClr w14:val="tx1"/>
                        </w14:solidFill>
                      </w14:textFill>
                    </w:rPr>
                  </w:pPr>
                  <w:r>
                    <w:rPr>
                      <w:color w:val="000000" w:themeColor="text1"/>
                      <w:spacing w:val="-13"/>
                      <w:szCs w:val="21"/>
                      <w14:textFill>
                        <w14:solidFill>
                          <w14:schemeClr w14:val="tx1"/>
                        </w14:solidFill>
                      </w14:textFill>
                    </w:rPr>
                    <w:t>治理</w:t>
                  </w:r>
                  <w:r>
                    <w:rPr>
                      <w:color w:val="000000" w:themeColor="text1"/>
                      <w:spacing w:val="-5"/>
                      <w:szCs w:val="21"/>
                      <w14:textFill>
                        <w14:solidFill>
                          <w14:schemeClr w14:val="tx1"/>
                        </w14:solidFill>
                      </w14:textFill>
                    </w:rPr>
                    <w:t>技术</w:t>
                  </w:r>
                </w:p>
              </w:tc>
              <w:tc>
                <w:tcPr>
                  <w:tcW w:w="0" w:type="auto"/>
                  <w:vAlign w:val="center"/>
                </w:tcPr>
                <w:p w14:paraId="027E5060">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使用水性涂料进行自动喷涂的木质家具和竹藤家具等的漆雾、VOCs废气宜采用干式过滤技术+吸附/脱附技术。典型治理技术路线:干式过滤+活性炭吸附/脱附。</w:t>
                  </w:r>
                </w:p>
              </w:tc>
              <w:tc>
                <w:tcPr>
                  <w:tcW w:w="0" w:type="auto"/>
                  <w:vAlign w:val="center"/>
                </w:tcPr>
                <w:p w14:paraId="42DE25C0">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推荐</w:t>
                  </w:r>
                </w:p>
              </w:tc>
              <w:tc>
                <w:tcPr>
                  <w:tcW w:w="0" w:type="auto"/>
                  <w:vAlign w:val="center"/>
                </w:tcPr>
                <w:p w14:paraId="5F5B1D67">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喷漆、晾干</w:t>
                  </w:r>
                  <w:r>
                    <w:rPr>
                      <w:color w:val="000000" w:themeColor="text1"/>
                      <w:spacing w:val="3"/>
                      <w:szCs w:val="21"/>
                      <w14:textFill>
                        <w14:solidFill>
                          <w14:schemeClr w14:val="tx1"/>
                        </w14:solidFill>
                      </w14:textFill>
                    </w:rPr>
                    <w:t>废气产生量</w:t>
                  </w:r>
                  <w:r>
                    <w:rPr>
                      <w:rFonts w:hint="eastAsia"/>
                      <w:color w:val="000000" w:themeColor="text1"/>
                      <w:spacing w:val="3"/>
                      <w:szCs w:val="21"/>
                      <w14:textFill>
                        <w14:solidFill>
                          <w14:schemeClr w14:val="tx1"/>
                        </w14:solidFill>
                      </w14:textFill>
                    </w:rPr>
                    <w:t>较</w:t>
                  </w:r>
                  <w:r>
                    <w:rPr>
                      <w:color w:val="000000" w:themeColor="text1"/>
                      <w:spacing w:val="3"/>
                      <w:szCs w:val="21"/>
                      <w14:textFill>
                        <w14:solidFill>
                          <w14:schemeClr w14:val="tx1"/>
                        </w14:solidFill>
                      </w14:textFill>
                    </w:rPr>
                    <w:t>少，产生浓度较低，通过</w:t>
                  </w:r>
                  <w:r>
                    <w:rPr>
                      <w:rFonts w:hint="eastAsia"/>
                      <w:color w:val="000000" w:themeColor="text1"/>
                      <w:spacing w:val="3"/>
                      <w:szCs w:val="21"/>
                      <w14:textFill>
                        <w14:solidFill>
                          <w14:schemeClr w14:val="tx1"/>
                        </w14:solidFill>
                      </w14:textFill>
                    </w:rPr>
                    <w:t>“水喷淋+过滤除雾器+二级活性炭吸附”</w:t>
                  </w:r>
                  <w:r>
                    <w:rPr>
                      <w:color w:val="000000" w:themeColor="text1"/>
                      <w:spacing w:val="3"/>
                      <w:szCs w:val="21"/>
                      <w14:textFill>
                        <w14:solidFill>
                          <w14:schemeClr w14:val="tx1"/>
                        </w14:solidFill>
                      </w14:textFill>
                    </w:rPr>
                    <w:t>处理达标后高空排放，漆雾通过水帘柜处理；符合治理技术控制要求。</w:t>
                  </w:r>
                </w:p>
              </w:tc>
            </w:tr>
            <w:tr w14:paraId="04FAB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0" w:type="auto"/>
                  <w:vMerge w:val="restart"/>
                  <w:vAlign w:val="center"/>
                </w:tcPr>
                <w:p w14:paraId="6FB84208">
                  <w:pPr>
                    <w:jc w:val="center"/>
                    <w:rPr>
                      <w:color w:val="000000" w:themeColor="text1"/>
                      <w:spacing w:val="-13"/>
                      <w:szCs w:val="21"/>
                      <w14:textFill>
                        <w14:solidFill>
                          <w14:schemeClr w14:val="tx1"/>
                        </w14:solidFill>
                      </w14:textFill>
                    </w:rPr>
                  </w:pPr>
                  <w:r>
                    <w:rPr>
                      <w:color w:val="000000" w:themeColor="text1"/>
                      <w:spacing w:val="-13"/>
                      <w:szCs w:val="21"/>
                      <w14:textFill>
                        <w14:solidFill>
                          <w14:schemeClr w14:val="tx1"/>
                        </w14:solidFill>
                      </w14:textFill>
                    </w:rPr>
                    <w:t>治理设施设计运行管理</w:t>
                  </w:r>
                </w:p>
              </w:tc>
              <w:tc>
                <w:tcPr>
                  <w:tcW w:w="0" w:type="auto"/>
                  <w:vAlign w:val="center"/>
                </w:tcPr>
                <w:p w14:paraId="0ACA15A9">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吸附床（含活性炭吸附法）：a）预处理设备应根据废气的成分、性质和影响吸附过程的物质性质及含量进行选择；</w:t>
                  </w:r>
                </w:p>
                <w:p w14:paraId="05ADA57A">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b）吸附床层的吸附剂用量应根据废气处理量、污染物浓度 和吸附剂的动态吸附量确定； c）吸附剂应及时更换或有效再生。</w:t>
                  </w:r>
                </w:p>
              </w:tc>
              <w:tc>
                <w:tcPr>
                  <w:tcW w:w="0" w:type="auto"/>
                  <w:vAlign w:val="center"/>
                </w:tcPr>
                <w:p w14:paraId="71B1EBD2">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推荐</w:t>
                  </w:r>
                </w:p>
              </w:tc>
              <w:tc>
                <w:tcPr>
                  <w:tcW w:w="0" w:type="auto"/>
                  <w:vAlign w:val="center"/>
                </w:tcPr>
                <w:p w14:paraId="51B0C176">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喷漆、晾干</w:t>
                  </w:r>
                  <w:r>
                    <w:rPr>
                      <w:color w:val="000000" w:themeColor="text1"/>
                      <w:spacing w:val="3"/>
                      <w:szCs w:val="21"/>
                      <w14:textFill>
                        <w14:solidFill>
                          <w14:schemeClr w14:val="tx1"/>
                        </w14:solidFill>
                      </w14:textFill>
                    </w:rPr>
                    <w:t>废气通过</w:t>
                  </w:r>
                  <w:r>
                    <w:rPr>
                      <w:rFonts w:hint="eastAsia"/>
                      <w:color w:val="000000" w:themeColor="text1"/>
                      <w:spacing w:val="3"/>
                      <w:szCs w:val="21"/>
                      <w14:textFill>
                        <w14:solidFill>
                          <w14:schemeClr w14:val="tx1"/>
                        </w14:solidFill>
                      </w14:textFill>
                    </w:rPr>
                    <w:t>“水喷淋+过滤除雾器+二级活性炭吸附法”</w:t>
                  </w:r>
                  <w:r>
                    <w:rPr>
                      <w:color w:val="000000" w:themeColor="text1"/>
                      <w:spacing w:val="3"/>
                      <w:szCs w:val="21"/>
                      <w14:textFill>
                        <w14:solidFill>
                          <w14:schemeClr w14:val="tx1"/>
                        </w14:solidFill>
                      </w14:textFill>
                    </w:rPr>
                    <w:t>处理达标后高空排放，活性炭吸附装床内的活性炭定期更换。符合治理设施设计与运行管理要求。</w:t>
                  </w:r>
                </w:p>
              </w:tc>
            </w:tr>
            <w:tr w14:paraId="20360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0" w:type="auto"/>
                  <w:vMerge w:val="continue"/>
                  <w:vAlign w:val="center"/>
                </w:tcPr>
                <w:p w14:paraId="20ED08D2">
                  <w:pPr>
                    <w:jc w:val="center"/>
                    <w:rPr>
                      <w:color w:val="000000" w:themeColor="text1"/>
                      <w:szCs w:val="21"/>
                      <w14:textFill>
                        <w14:solidFill>
                          <w14:schemeClr w14:val="tx1"/>
                        </w14:solidFill>
                      </w14:textFill>
                    </w:rPr>
                  </w:pPr>
                </w:p>
              </w:tc>
              <w:tc>
                <w:tcPr>
                  <w:tcW w:w="0" w:type="auto"/>
                  <w:vAlign w:val="center"/>
                </w:tcPr>
                <w:p w14:paraId="40782F57">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VOCs治理设施应与生产工艺设备同步运行，VOCs治理设施发生故障或检修时，对应的生产工艺设备应停止运行，待检修完毕后同步投入使用； 生产工艺设备不能停止运行或不能及时停止运行的，应设置废气应急处理设施或采取其他替代措施。</w:t>
                  </w:r>
                </w:p>
              </w:tc>
              <w:tc>
                <w:tcPr>
                  <w:tcW w:w="0" w:type="auto"/>
                  <w:vAlign w:val="center"/>
                </w:tcPr>
                <w:p w14:paraId="5DBCE848">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3327FD88">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VOCs 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符合治理设施设计与运行管理要求</w:t>
                  </w:r>
                  <w:r>
                    <w:rPr>
                      <w:rFonts w:hint="eastAsia"/>
                      <w:color w:val="000000" w:themeColor="text1"/>
                      <w:spacing w:val="3"/>
                      <w:szCs w:val="21"/>
                      <w14:textFill>
                        <w14:solidFill>
                          <w14:schemeClr w14:val="tx1"/>
                        </w14:solidFill>
                      </w14:textFill>
                    </w:rPr>
                    <w:t>。</w:t>
                  </w:r>
                </w:p>
              </w:tc>
            </w:tr>
            <w:tr w14:paraId="52961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2" w:hRule="atLeast"/>
              </w:trPr>
              <w:tc>
                <w:tcPr>
                  <w:tcW w:w="0" w:type="auto"/>
                  <w:vMerge w:val="continue"/>
                  <w:vAlign w:val="center"/>
                </w:tcPr>
                <w:p w14:paraId="5405E581">
                  <w:pPr>
                    <w:jc w:val="center"/>
                    <w:rPr>
                      <w:color w:val="000000" w:themeColor="text1"/>
                      <w:spacing w:val="-2"/>
                      <w:szCs w:val="21"/>
                      <w14:textFill>
                        <w14:solidFill>
                          <w14:schemeClr w14:val="tx1"/>
                        </w14:solidFill>
                      </w14:textFill>
                    </w:rPr>
                  </w:pPr>
                </w:p>
              </w:tc>
              <w:tc>
                <w:tcPr>
                  <w:tcW w:w="0" w:type="auto"/>
                  <w:vAlign w:val="center"/>
                </w:tcPr>
                <w:p w14:paraId="01425F08">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污染治理设施编号可为排污单位内部编号，若无内部编号，则根据《排污单位编码规则》（HJ608）进行编</w:t>
                  </w:r>
                </w:p>
                <w:p w14:paraId="6A446F39">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号。有组织排放口编号应填写地方 环境保护主管部门现有编号，或根据《排污单位编码规则》（HJ608）进行编号。</w:t>
                  </w:r>
                </w:p>
              </w:tc>
              <w:tc>
                <w:tcPr>
                  <w:tcW w:w="0" w:type="auto"/>
                  <w:vAlign w:val="center"/>
                </w:tcPr>
                <w:p w14:paraId="5E6BDC30">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6AEAF3C1">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本项目废气排放口按《排污单位编码规则》（HJ608）进行编号。符合治理设施设计与运行管理要求。</w:t>
                  </w:r>
                </w:p>
              </w:tc>
            </w:tr>
            <w:tr w14:paraId="7F636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62EBADD5">
                  <w:pPr>
                    <w:jc w:val="center"/>
                    <w:rPr>
                      <w:color w:val="000000" w:themeColor="text1"/>
                      <w:spacing w:val="-2"/>
                      <w:szCs w:val="21"/>
                      <w14:textFill>
                        <w14:solidFill>
                          <w14:schemeClr w14:val="tx1"/>
                        </w14:solidFill>
                      </w14:textFill>
                    </w:rPr>
                  </w:pPr>
                </w:p>
              </w:tc>
              <w:tc>
                <w:tcPr>
                  <w:tcW w:w="0" w:type="auto"/>
                  <w:vAlign w:val="center"/>
                </w:tcPr>
                <w:p w14:paraId="0678AE55">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设置规范的处理前后采样位置，采 样位置应避开对测试人员操作有危 险的场所，优先选择在垂直管段， 避开烟道弯头和断面急剧变化的部 位，应设置在距弯头、阀门、变径 管下游方向不小于 6 倍直径，和距 上述部件上游方向不小于 3 倍直径 处。</w:t>
                  </w:r>
                </w:p>
              </w:tc>
              <w:tc>
                <w:tcPr>
                  <w:tcW w:w="0" w:type="auto"/>
                  <w:vAlign w:val="center"/>
                </w:tcPr>
                <w:p w14:paraId="5EC4A035">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38430D56">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按照监测要求设置采样位置。符合治理设施设计与运行管理要求。</w:t>
                  </w:r>
                </w:p>
              </w:tc>
            </w:tr>
            <w:tr w14:paraId="0B80E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0" w:type="auto"/>
                  <w:vMerge w:val="continue"/>
                  <w:vAlign w:val="center"/>
                </w:tcPr>
                <w:p w14:paraId="248AE2C1">
                  <w:pPr>
                    <w:jc w:val="center"/>
                    <w:rPr>
                      <w:color w:val="000000" w:themeColor="text1"/>
                      <w:spacing w:val="-2"/>
                      <w:szCs w:val="21"/>
                      <w14:textFill>
                        <w14:solidFill>
                          <w14:schemeClr w14:val="tx1"/>
                        </w14:solidFill>
                      </w14:textFill>
                    </w:rPr>
                  </w:pPr>
                </w:p>
              </w:tc>
              <w:tc>
                <w:tcPr>
                  <w:tcW w:w="0" w:type="auto"/>
                  <w:vAlign w:val="center"/>
                </w:tcPr>
                <w:p w14:paraId="7F29BFE1">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废气排气筒应按照《广东省污染源排污口规范化设置导则》(粤环〔2008〕42号)相关规定，设置与排污口相应的环境保护图形标志牌。</w:t>
                  </w:r>
                </w:p>
              </w:tc>
              <w:tc>
                <w:tcPr>
                  <w:tcW w:w="0" w:type="auto"/>
                  <w:vAlign w:val="center"/>
                </w:tcPr>
                <w:p w14:paraId="7FB31CA9">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155F7E67">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按照《广东省污染源排污口规范化设置导则》(粤环〔2008〕42号)设置废气排气筒。符合治理设施设计与运行管理要求。</w:t>
                  </w:r>
                </w:p>
              </w:tc>
            </w:tr>
            <w:tr w14:paraId="6D56A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14:paraId="6AC6F29F">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环境管理</w:t>
                  </w:r>
                </w:p>
              </w:tc>
            </w:tr>
            <w:tr w14:paraId="25229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restart"/>
                  <w:vAlign w:val="center"/>
                </w:tcPr>
                <w:p w14:paraId="3080E3FC">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管理 台账</w:t>
                  </w:r>
                </w:p>
              </w:tc>
              <w:tc>
                <w:tcPr>
                  <w:tcW w:w="0" w:type="auto"/>
                  <w:vAlign w:val="center"/>
                </w:tcPr>
                <w:p w14:paraId="5BB6FA76">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建立含VOCs原辅材料台账，记录含VOCs 原辅材料的名称及其VOCs含量、采购量、使用量、库存量、含 VOCs 原辅材料回收方式及回收量。</w:t>
                  </w:r>
                </w:p>
              </w:tc>
              <w:tc>
                <w:tcPr>
                  <w:tcW w:w="0" w:type="auto"/>
                  <w:vAlign w:val="center"/>
                </w:tcPr>
                <w:p w14:paraId="15B35863">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1C528770">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建立含VOCs原辅材料台账，符合管理台账要求。</w:t>
                  </w:r>
                </w:p>
              </w:tc>
            </w:tr>
            <w:tr w14:paraId="3B3E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continue"/>
                  <w:vAlign w:val="center"/>
                </w:tcPr>
                <w:p w14:paraId="3A7CB2DA">
                  <w:pPr>
                    <w:jc w:val="center"/>
                    <w:rPr>
                      <w:color w:val="000000" w:themeColor="text1"/>
                      <w:spacing w:val="3"/>
                      <w:szCs w:val="21"/>
                      <w14:textFill>
                        <w14:solidFill>
                          <w14:schemeClr w14:val="tx1"/>
                        </w14:solidFill>
                      </w14:textFill>
                    </w:rPr>
                  </w:pPr>
                </w:p>
              </w:tc>
              <w:tc>
                <w:tcPr>
                  <w:tcW w:w="0" w:type="auto"/>
                  <w:vAlign w:val="center"/>
                </w:tcPr>
                <w:p w14:paraId="5CE61B07">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建立废气收集处理设施台账，记录废气处理设施进出口的监测数据（废气量、浓度、温度、含氧量等）、废气收集与处理设施关键参数、废气处理设施相关耗材（吸收剂、吸 附剂、催化剂等）购买和处理记录。</w:t>
                  </w:r>
                </w:p>
              </w:tc>
              <w:tc>
                <w:tcPr>
                  <w:tcW w:w="0" w:type="auto"/>
                  <w:vAlign w:val="center"/>
                </w:tcPr>
                <w:p w14:paraId="02A7C07A">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788FAF21">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建立废气收集处理设施台账，符合管理台账要求。</w:t>
                  </w:r>
                </w:p>
              </w:tc>
            </w:tr>
            <w:tr w14:paraId="0D9D8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continue"/>
                  <w:vAlign w:val="center"/>
                </w:tcPr>
                <w:p w14:paraId="690CCB86">
                  <w:pPr>
                    <w:jc w:val="center"/>
                    <w:rPr>
                      <w:color w:val="000000" w:themeColor="text1"/>
                      <w:spacing w:val="3"/>
                      <w:szCs w:val="21"/>
                      <w14:textFill>
                        <w14:solidFill>
                          <w14:schemeClr w14:val="tx1"/>
                        </w14:solidFill>
                      </w14:textFill>
                    </w:rPr>
                  </w:pPr>
                </w:p>
              </w:tc>
              <w:tc>
                <w:tcPr>
                  <w:tcW w:w="0" w:type="auto"/>
                  <w:vAlign w:val="center"/>
                </w:tcPr>
                <w:p w14:paraId="2AE8CC9E">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建立危废台账，整理危废处置合同、转移联单及危废处理方资质佐证材料</w:t>
                  </w:r>
                  <w:r>
                    <w:rPr>
                      <w:rFonts w:hint="eastAsia"/>
                      <w:color w:val="000000" w:themeColor="text1"/>
                      <w:spacing w:val="3"/>
                      <w:szCs w:val="21"/>
                      <w14:textFill>
                        <w14:solidFill>
                          <w14:schemeClr w14:val="tx1"/>
                        </w14:solidFill>
                      </w14:textFill>
                    </w:rPr>
                    <w:t>。</w:t>
                  </w:r>
                </w:p>
              </w:tc>
              <w:tc>
                <w:tcPr>
                  <w:tcW w:w="0" w:type="auto"/>
                  <w:vAlign w:val="center"/>
                </w:tcPr>
                <w:p w14:paraId="3FFE8351">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2200A3ED">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建立危废台账，符合管理台账要求。</w:t>
                  </w:r>
                </w:p>
              </w:tc>
            </w:tr>
            <w:tr w14:paraId="17E40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continue"/>
                  <w:vAlign w:val="center"/>
                </w:tcPr>
                <w:p w14:paraId="6FF79D69">
                  <w:pPr>
                    <w:jc w:val="center"/>
                    <w:rPr>
                      <w:color w:val="000000" w:themeColor="text1"/>
                      <w:spacing w:val="3"/>
                      <w:szCs w:val="21"/>
                      <w14:textFill>
                        <w14:solidFill>
                          <w14:schemeClr w14:val="tx1"/>
                        </w14:solidFill>
                      </w14:textFill>
                    </w:rPr>
                  </w:pPr>
                </w:p>
              </w:tc>
              <w:tc>
                <w:tcPr>
                  <w:tcW w:w="0" w:type="auto"/>
                  <w:vAlign w:val="center"/>
                </w:tcPr>
                <w:p w14:paraId="095EBB4F">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台账保存期限不少于3年</w:t>
                  </w:r>
                  <w:r>
                    <w:rPr>
                      <w:rFonts w:hint="eastAsia"/>
                      <w:color w:val="000000" w:themeColor="text1"/>
                      <w:spacing w:val="3"/>
                      <w:szCs w:val="21"/>
                      <w14:textFill>
                        <w14:solidFill>
                          <w14:schemeClr w14:val="tx1"/>
                        </w14:solidFill>
                      </w14:textFill>
                    </w:rPr>
                    <w:t>。</w:t>
                  </w:r>
                </w:p>
              </w:tc>
              <w:tc>
                <w:tcPr>
                  <w:tcW w:w="0" w:type="auto"/>
                  <w:vAlign w:val="center"/>
                </w:tcPr>
                <w:p w14:paraId="12448A69">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6A7EA746">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台账保存期限不少于3年，符合管理台账要求。</w:t>
                  </w:r>
                </w:p>
              </w:tc>
            </w:tr>
            <w:tr w14:paraId="36885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restart"/>
                  <w:vAlign w:val="center"/>
                </w:tcPr>
                <w:p w14:paraId="22D5D01E">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自行 监测</w:t>
                  </w:r>
                </w:p>
              </w:tc>
              <w:tc>
                <w:tcPr>
                  <w:tcW w:w="0" w:type="auto"/>
                  <w:vAlign w:val="center"/>
                </w:tcPr>
                <w:p w14:paraId="7F9DD64D">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对于重点管理排污单位，涂装或施胶车间/生产线至少每半年监测一次挥发性有机物;对于简化管理排污单位，至少每年监测一次挥发性有机物。</w:t>
                  </w:r>
                </w:p>
              </w:tc>
              <w:tc>
                <w:tcPr>
                  <w:tcW w:w="0" w:type="auto"/>
                  <w:vAlign w:val="center"/>
                </w:tcPr>
                <w:p w14:paraId="65334C25">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restart"/>
                  <w:vAlign w:val="center"/>
                </w:tcPr>
                <w:p w14:paraId="7BFD1129">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本项目为非重点排污单位，按照《排污单位自行监测技术指南总则》（HJ819-2017）进行检测，符合自行监测要求。</w:t>
                  </w:r>
                </w:p>
              </w:tc>
            </w:tr>
            <w:tr w14:paraId="5D6B7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continue"/>
                  <w:vAlign w:val="center"/>
                </w:tcPr>
                <w:p w14:paraId="28746761">
                  <w:pPr>
                    <w:jc w:val="center"/>
                    <w:rPr>
                      <w:color w:val="000000" w:themeColor="text1"/>
                      <w:spacing w:val="3"/>
                      <w:szCs w:val="21"/>
                      <w14:textFill>
                        <w14:solidFill>
                          <w14:schemeClr w14:val="tx1"/>
                        </w14:solidFill>
                      </w14:textFill>
                    </w:rPr>
                  </w:pPr>
                </w:p>
              </w:tc>
              <w:tc>
                <w:tcPr>
                  <w:tcW w:w="0" w:type="auto"/>
                  <w:vAlign w:val="center"/>
                </w:tcPr>
                <w:p w14:paraId="14AEACBD">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对于重点管理排污单位，涂装或施胶车间/生产线至少每半年监测一次苯、甲苯、二甲苯、甲醛（仅对喷胶/施胶车间或生产线排放口进行监测);对于简化管理排污单位，至少每年监测一次一次苯、甲苯、二甲苯、甲醛（仅对喷胶/施胶车间或生产线排放口进行监测)。</w:t>
                  </w:r>
                </w:p>
              </w:tc>
              <w:tc>
                <w:tcPr>
                  <w:tcW w:w="0" w:type="auto"/>
                  <w:vAlign w:val="center"/>
                </w:tcPr>
                <w:p w14:paraId="0C25807E">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14:paraId="15BF0D3C">
                  <w:pPr>
                    <w:jc w:val="center"/>
                    <w:rPr>
                      <w:color w:val="000000" w:themeColor="text1"/>
                      <w:spacing w:val="3"/>
                      <w:szCs w:val="21"/>
                      <w14:textFill>
                        <w14:solidFill>
                          <w14:schemeClr w14:val="tx1"/>
                        </w14:solidFill>
                      </w14:textFill>
                    </w:rPr>
                  </w:pPr>
                </w:p>
              </w:tc>
            </w:tr>
            <w:tr w14:paraId="139A3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continue"/>
                  <w:vAlign w:val="center"/>
                </w:tcPr>
                <w:p w14:paraId="7EDE39D2">
                  <w:pPr>
                    <w:jc w:val="center"/>
                    <w:rPr>
                      <w:color w:val="000000" w:themeColor="text1"/>
                      <w:spacing w:val="3"/>
                      <w:szCs w:val="21"/>
                      <w14:textFill>
                        <w14:solidFill>
                          <w14:schemeClr w14:val="tx1"/>
                        </w14:solidFill>
                      </w14:textFill>
                    </w:rPr>
                  </w:pPr>
                </w:p>
              </w:tc>
              <w:tc>
                <w:tcPr>
                  <w:tcW w:w="0" w:type="auto"/>
                  <w:vAlign w:val="center"/>
                </w:tcPr>
                <w:p w14:paraId="2E5D2028">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塑料家具热塑/注塑/挤塑车间至少每年监测一次挥发性有机物。</w:t>
                  </w:r>
                </w:p>
              </w:tc>
              <w:tc>
                <w:tcPr>
                  <w:tcW w:w="0" w:type="auto"/>
                  <w:vAlign w:val="center"/>
                </w:tcPr>
                <w:p w14:paraId="45A7638A">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14:paraId="41A28A23">
                  <w:pPr>
                    <w:jc w:val="center"/>
                    <w:rPr>
                      <w:color w:val="000000" w:themeColor="text1"/>
                      <w:spacing w:val="3"/>
                      <w:szCs w:val="21"/>
                      <w14:textFill>
                        <w14:solidFill>
                          <w14:schemeClr w14:val="tx1"/>
                        </w14:solidFill>
                      </w14:textFill>
                    </w:rPr>
                  </w:pPr>
                </w:p>
              </w:tc>
            </w:tr>
            <w:tr w14:paraId="224C9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continue"/>
                  <w:vAlign w:val="center"/>
                </w:tcPr>
                <w:p w14:paraId="1DEAB517">
                  <w:pPr>
                    <w:jc w:val="center"/>
                    <w:rPr>
                      <w:color w:val="000000" w:themeColor="text1"/>
                      <w:spacing w:val="3"/>
                      <w:szCs w:val="21"/>
                      <w14:textFill>
                        <w14:solidFill>
                          <w14:schemeClr w14:val="tx1"/>
                        </w14:solidFill>
                      </w14:textFill>
                    </w:rPr>
                  </w:pPr>
                </w:p>
              </w:tc>
              <w:tc>
                <w:tcPr>
                  <w:tcW w:w="0" w:type="auto"/>
                  <w:vAlign w:val="center"/>
                </w:tcPr>
                <w:p w14:paraId="5031ECAD">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对于重点管理排污单位，厂界无组织废气至少每半年监测一次挥发性有机物;对于简化管理排污单位，厂界无组织废气至少每年监测一次挥发性有机物。</w:t>
                  </w:r>
                </w:p>
              </w:tc>
              <w:tc>
                <w:tcPr>
                  <w:tcW w:w="0" w:type="auto"/>
                  <w:vAlign w:val="center"/>
                </w:tcPr>
                <w:p w14:paraId="265180F7">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14:paraId="1FCD4E96">
                  <w:pPr>
                    <w:jc w:val="center"/>
                    <w:rPr>
                      <w:color w:val="000000" w:themeColor="text1"/>
                      <w:spacing w:val="3"/>
                      <w:szCs w:val="21"/>
                      <w14:textFill>
                        <w14:solidFill>
                          <w14:schemeClr w14:val="tx1"/>
                        </w14:solidFill>
                      </w14:textFill>
                    </w:rPr>
                  </w:pPr>
                </w:p>
              </w:tc>
            </w:tr>
            <w:tr w14:paraId="6F8BA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Align w:val="center"/>
                </w:tcPr>
                <w:p w14:paraId="6F13145F">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危废 管理</w:t>
                  </w:r>
                </w:p>
              </w:tc>
              <w:tc>
                <w:tcPr>
                  <w:tcW w:w="0" w:type="auto"/>
                  <w:vAlign w:val="center"/>
                </w:tcPr>
                <w:p w14:paraId="4A0176E6">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工艺过程产生的含VOCs废料（渣、液）应按照相关要求进行储存、转移和输送。盛装过VOCs物料的废包装容器应加盖密闭。</w:t>
                  </w:r>
                </w:p>
              </w:tc>
              <w:tc>
                <w:tcPr>
                  <w:tcW w:w="0" w:type="auto"/>
                  <w:vAlign w:val="center"/>
                </w:tcPr>
                <w:p w14:paraId="353B2F18">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14:paraId="3A8A87E2">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本项目设置危废暂存</w:t>
                  </w:r>
                  <w:r>
                    <w:rPr>
                      <w:rFonts w:hint="eastAsia"/>
                      <w:color w:val="000000" w:themeColor="text1"/>
                      <w:spacing w:val="3"/>
                      <w:szCs w:val="21"/>
                      <w14:textFill>
                        <w14:solidFill>
                          <w14:schemeClr w14:val="tx1"/>
                        </w14:solidFill>
                      </w14:textFill>
                    </w:rPr>
                    <w:t>仓</w:t>
                  </w:r>
                  <w:r>
                    <w:rPr>
                      <w:color w:val="000000" w:themeColor="text1"/>
                      <w:spacing w:val="3"/>
                      <w:szCs w:val="21"/>
                      <w14:textFill>
                        <w14:solidFill>
                          <w14:schemeClr w14:val="tx1"/>
                        </w14:solidFill>
                      </w14:textFill>
                    </w:rPr>
                    <w:t>，满足《危险废物贮存污染控制标准》（GB18597-2023）相关要求，盛装过VOCs物料的废包装容器加盖密闭，符合危废管理要求。</w:t>
                  </w:r>
                </w:p>
              </w:tc>
            </w:tr>
            <w:tr w14:paraId="2EAC8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0" w:type="auto"/>
                  <w:vMerge w:val="restart"/>
                  <w:vAlign w:val="center"/>
                </w:tcPr>
                <w:p w14:paraId="5C69CFC3">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建设 项目 VOCs  总量 管理</w:t>
                  </w:r>
                </w:p>
              </w:tc>
              <w:tc>
                <w:tcPr>
                  <w:tcW w:w="0" w:type="auto"/>
                  <w:vAlign w:val="center"/>
                </w:tcPr>
                <w:p w14:paraId="625445AD">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新、改、扩建项目应执行总量替代制度，明确VOCs总量指标来源</w:t>
                  </w:r>
                  <w:r>
                    <w:rPr>
                      <w:rFonts w:hint="eastAsia"/>
                      <w:color w:val="000000" w:themeColor="text1"/>
                      <w:spacing w:val="3"/>
                      <w:szCs w:val="21"/>
                      <w14:textFill>
                        <w14:solidFill>
                          <w14:schemeClr w14:val="tx1"/>
                        </w14:solidFill>
                      </w14:textFill>
                    </w:rPr>
                    <w:t>。</w:t>
                  </w:r>
                </w:p>
              </w:tc>
              <w:tc>
                <w:tcPr>
                  <w:tcW w:w="0" w:type="auto"/>
                  <w:vAlign w:val="center"/>
                </w:tcPr>
                <w:p w14:paraId="5601F5E2">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restart"/>
                  <w:vAlign w:val="center"/>
                </w:tcPr>
                <w:p w14:paraId="2442B87E">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VOCs总量指标由惠州市生态环境局博罗分局统一分配。符合建设项目VOCs总量管理要求。</w:t>
                  </w:r>
                </w:p>
              </w:tc>
            </w:tr>
            <w:tr w14:paraId="2B536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0" w:type="auto"/>
                  <w:vMerge w:val="continue"/>
                  <w:vAlign w:val="center"/>
                </w:tcPr>
                <w:p w14:paraId="2BEA33C1">
                  <w:pPr>
                    <w:jc w:val="center"/>
                    <w:rPr>
                      <w:color w:val="000000" w:themeColor="text1"/>
                      <w:spacing w:val="3"/>
                      <w:szCs w:val="21"/>
                      <w14:textFill>
                        <w14:solidFill>
                          <w14:schemeClr w14:val="tx1"/>
                        </w14:solidFill>
                      </w14:textFill>
                    </w:rPr>
                  </w:pPr>
                </w:p>
              </w:tc>
              <w:tc>
                <w:tcPr>
                  <w:tcW w:w="0" w:type="auto"/>
                  <w:vAlign w:val="center"/>
                </w:tcPr>
                <w:p w14:paraId="52D03F17">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新、改、扩建项目和现有企业 VOCs基准排放量计算参考《广东省重点行业挥发性有机物排放量计算方法核算》 进行核算，若国家和我省出台适用于该行业的VOCs排放量计算方法，则参照其相关规定执行。</w:t>
                  </w:r>
                </w:p>
              </w:tc>
              <w:tc>
                <w:tcPr>
                  <w:tcW w:w="0" w:type="auto"/>
                  <w:vAlign w:val="center"/>
                </w:tcPr>
                <w:p w14:paraId="1A11363E">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14:paraId="215A96AE">
                  <w:pPr>
                    <w:jc w:val="center"/>
                    <w:rPr>
                      <w:color w:val="000000" w:themeColor="text1"/>
                      <w:spacing w:val="3"/>
                      <w:szCs w:val="21"/>
                      <w14:textFill>
                        <w14:solidFill>
                          <w14:schemeClr w14:val="tx1"/>
                        </w14:solidFill>
                      </w14:textFill>
                    </w:rPr>
                  </w:pPr>
                </w:p>
              </w:tc>
            </w:tr>
          </w:tbl>
          <w:p w14:paraId="399DAAA3">
            <w:pPr>
              <w:spacing w:before="156" w:beforeLines="50"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8</w:t>
            </w:r>
            <w:r>
              <w:rPr>
                <w:rFonts w:hint="eastAsia"/>
                <w:b/>
                <w:color w:val="000000" w:themeColor="text1"/>
                <w:sz w:val="24"/>
                <w14:textFill>
                  <w14:solidFill>
                    <w14:schemeClr w14:val="tx1"/>
                  </w14:solidFill>
                </w14:textFill>
              </w:rPr>
              <w:t>、与</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广东省大气污染防治条例</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的相符性分析</w:t>
            </w:r>
          </w:p>
          <w:p w14:paraId="70A80933">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根据《广东省大气污染防治条例》第二十六条 ：新建、改建、扩建排放挥发性有机物的建设项目，应当使用污染防治先进可行技术。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7975EF7F">
            <w:pPr>
              <w:pStyle w:val="49"/>
              <w:numPr>
                <w:ilvl w:val="0"/>
                <w:numId w:val="1"/>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石油、化工、煤炭加工与转化等含挥发性有机物原料的生产；</w:t>
            </w:r>
          </w:p>
          <w:p w14:paraId="3C71D2A6">
            <w:pPr>
              <w:pStyle w:val="49"/>
              <w:numPr>
                <w:ilvl w:val="0"/>
                <w:numId w:val="1"/>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燃油、溶剂的储存、运输和销售；</w:t>
            </w:r>
          </w:p>
          <w:p w14:paraId="75AAF95A">
            <w:pPr>
              <w:rPr>
                <w:color w:val="000000" w:themeColor="text1"/>
                <w14:textFill>
                  <w14:solidFill>
                    <w14:schemeClr w14:val="tx1"/>
                  </w14:solidFill>
                </w14:textFill>
              </w:rPr>
            </w:pPr>
          </w:p>
          <w:p w14:paraId="3B2CE3BD">
            <w:pPr>
              <w:pStyle w:val="49"/>
              <w:numPr>
                <w:ilvl w:val="0"/>
                <w:numId w:val="1"/>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涂料、油墨、胶粘剂、农药等以挥发性有机物为原料的生产；</w:t>
            </w:r>
          </w:p>
          <w:p w14:paraId="44298ED2">
            <w:pPr>
              <w:pStyle w:val="49"/>
              <w:numPr>
                <w:ilvl w:val="0"/>
                <w:numId w:val="1"/>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涂装、印刷、粘合、工业清洗等使用含挥发性有机物产品的生产活动；</w:t>
            </w:r>
          </w:p>
          <w:p w14:paraId="0958DADF">
            <w:pPr>
              <w:pStyle w:val="49"/>
              <w:numPr>
                <w:ilvl w:val="0"/>
                <w:numId w:val="1"/>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其他产生挥发性有机物的生产和服务活动。</w:t>
            </w:r>
          </w:p>
          <w:p w14:paraId="66F2F522">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开料、雕刻、打磨、切割、焊接工序产生的颗粒物，焊接工序产生的锰及其化合物经集气罩收集，引至一套“布袋除尘”装置进行处理，处理达标后经15m高排气筒DA001排放，颗粒物、锰及其化合物有组织排放达到广东省《大气污染物排放限值》（DB44/27-2001）第二时段二级标准的要求。项目喷漆、晾干工序产生的漆雾、有机废气收集后进入“水喷淋+过滤除雾器+二级活性炭”吸附法装置处理后由15m排气筒DA002排放，有机废气有组织排放浓度达到广东省《固定污染源挥发性有机物综合排放标准》（DB44/2367-2022）表1挥发性有机物排放限值的要求，颗粒物有组织排放达到广东省《大气污染物排放限值》（DB44/27-2001）第二时段二级标准的要求；项目厂界总VOCs无组织排放达到广东省《家具制造行业挥发性有机化合物排放标准》（DB44/814-2010）无组织排放监控点浓度限值标准的要求，颗粒物无组织排放达到广东省《大气污染物排放限值》（DB44/27-2001）第二时段无组织排放监控点浓度限值标准，厂区内非甲烷总烃无组织排放符合《固定污染源挥发性有机物综合排放标准》（DB44/2367-2022）中表3厂区内无组织排放限值的要求。项目油烟废气经高效油烟净化器处理后达到《饮食业油烟排放标准（试行）》（GB18483-2001）小型标准的要求后排放。项目废气均经处理达标排放，对周围环境的影响不大。综上所述，项目符合《广东省大气污染防治条例》的</w:t>
            </w:r>
            <w:r>
              <w:rPr>
                <w:color w:val="000000" w:themeColor="text1"/>
                <w:sz w:val="24"/>
                <w14:textFill>
                  <w14:solidFill>
                    <w14:schemeClr w14:val="tx1"/>
                  </w14:solidFill>
                </w14:textFill>
              </w:rPr>
              <w:t>要求。</w:t>
            </w:r>
          </w:p>
          <w:p w14:paraId="11B3185C">
            <w:pPr>
              <w:spacing w:line="360" w:lineRule="auto"/>
              <w:ind w:left="630"/>
              <w:rPr>
                <w:color w:val="000000" w:themeColor="text1"/>
                <w14:textFill>
                  <w14:solidFill>
                    <w14:schemeClr w14:val="tx1"/>
                  </w14:solidFill>
                </w14:textFill>
              </w:rPr>
            </w:pPr>
            <w:r>
              <w:rPr>
                <w:b/>
                <w:color w:val="000000" w:themeColor="text1"/>
                <w:sz w:val="24"/>
                <w14:textFill>
                  <w14:solidFill>
                    <w14:schemeClr w14:val="tx1"/>
                  </w14:solidFill>
                </w14:textFill>
              </w:rPr>
              <w:t>9</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与环境功能区划相符性分析</w:t>
            </w:r>
          </w:p>
          <w:p w14:paraId="1EBA3054">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根据粤府函</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2019</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270号文《广东省人民政府关于调整惠州市部分饮用水源保护区的批复》及《惠州市人民政府关于&lt;惠州市乡镇级及以下集中式饮用水水源保护区划定调整方案&gt;的批复》（惠府函</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2020</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317号），本项目所在地不属于惠州市水源保护区，符合饮用水源保护条例的有关要求。</w:t>
            </w:r>
            <w:r>
              <w:rPr>
                <w:rFonts w:hint="eastAsia"/>
                <w:color w:val="000000" w:themeColor="text1"/>
                <w:sz w:val="24"/>
                <w14:textFill>
                  <w14:solidFill>
                    <w14:schemeClr w14:val="tx1"/>
                  </w14:solidFill>
                </w14:textFill>
              </w:rPr>
              <w:t>项目南面地表</w:t>
            </w:r>
            <w:r>
              <w:rPr>
                <w:color w:val="000000" w:themeColor="text1"/>
                <w:sz w:val="24"/>
                <w14:textFill>
                  <w14:solidFill>
                    <w14:schemeClr w14:val="tx1"/>
                  </w14:solidFill>
                </w14:textFill>
              </w:rPr>
              <w:t>水体</w:t>
            </w:r>
            <w:r>
              <w:rPr>
                <w:rFonts w:hint="eastAsia"/>
                <w:color w:val="000000" w:themeColor="text1"/>
                <w:sz w:val="24"/>
                <w14:textFill>
                  <w14:solidFill>
                    <w14:schemeClr w14:val="tx1"/>
                  </w14:solidFill>
                </w14:textFill>
              </w:rPr>
              <w:t>为福田</w:t>
            </w:r>
            <w:r>
              <w:rPr>
                <w:color w:val="000000" w:themeColor="text1"/>
                <w:sz w:val="24"/>
                <w14:textFill>
                  <w14:solidFill>
                    <w14:schemeClr w14:val="tx1"/>
                  </w14:solidFill>
                </w14:textFill>
              </w:rPr>
              <w:t>河</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执行《地表水环境质量标准》（GB3838-2002）Ⅲ类标准。</w:t>
            </w:r>
          </w:p>
          <w:p w14:paraId="67DCD51D">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本项目所在区域为环境空气质量二类功能区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环境空气质量达标。</w:t>
            </w:r>
          </w:p>
          <w:p w14:paraId="1DE8A822">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根据《惠州市声环境功能区划分方案</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年）</w:t>
            </w:r>
            <w:r>
              <w:rPr>
                <w:color w:val="000000" w:themeColor="text1"/>
                <w:sz w:val="24"/>
                <w14:textFill>
                  <w14:solidFill>
                    <w14:schemeClr w14:val="tx1"/>
                  </w14:solidFill>
                </w14:textFill>
              </w:rPr>
              <w:t>》（惠环〔2022〕3号），本项目所在区域为声环境2类区，声环境达标。</w:t>
            </w:r>
          </w:p>
          <w:p w14:paraId="0186D7BA">
            <w:pPr>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本项目周围没有国家重点保护文物、古迹，名胜风景区，自然保护区等。</w:t>
            </w:r>
          </w:p>
          <w:p w14:paraId="2D0EB6F7">
            <w:pPr>
              <w:autoSpaceDE w:val="0"/>
              <w:autoSpaceDN w:val="0"/>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综上所述，</w:t>
            </w:r>
            <w:r>
              <w:rPr>
                <w:color w:val="000000" w:themeColor="text1"/>
                <w:sz w:val="24"/>
                <w14:textFill>
                  <w14:solidFill>
                    <w14:schemeClr w14:val="tx1"/>
                  </w14:solidFill>
                </w14:textFill>
              </w:rPr>
              <w:t>本项目符合相关规划要求，选址合理。</w:t>
            </w:r>
          </w:p>
        </w:tc>
      </w:tr>
    </w:tbl>
    <w:p w14:paraId="3C930155">
      <w:pPr>
        <w:jc w:val="center"/>
        <w:rPr>
          <w:color w:val="000000" w:themeColor="text1"/>
          <w:sz w:val="30"/>
          <w14:textFill>
            <w14:solidFill>
              <w14:schemeClr w14:val="tx1"/>
            </w14:solidFill>
          </w14:textFill>
        </w:rPr>
        <w:sectPr>
          <w:headerReference r:id="rId9" w:type="first"/>
          <w:footerReference r:id="rId12" w:type="first"/>
          <w:headerReference r:id="rId7" w:type="default"/>
          <w:footerReference r:id="rId10" w:type="default"/>
          <w:headerReference r:id="rId8" w:type="even"/>
          <w:footerReference r:id="rId11" w:type="even"/>
          <w:pgSz w:w="11906" w:h="16838"/>
          <w:pgMar w:top="1558" w:right="1418" w:bottom="1474" w:left="1418" w:header="851" w:footer="709" w:gutter="0"/>
          <w:pgNumType w:start="1"/>
          <w:cols w:space="720" w:num="1"/>
          <w:docGrid w:type="lines" w:linePitch="312" w:charSpace="0"/>
        </w:sectPr>
      </w:pPr>
    </w:p>
    <w:p w14:paraId="6EA6F092">
      <w:pPr>
        <w:jc w:val="center"/>
        <w:outlineLvl w:val="0"/>
        <w:rPr>
          <w:rFonts w:hint="eastAsia"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二</w:t>
      </w:r>
      <w:r>
        <w:rPr>
          <w:rFonts w:ascii="黑体" w:hAnsi="黑体" w:eastAsia="黑体"/>
          <w:color w:val="000000" w:themeColor="text1"/>
          <w:sz w:val="30"/>
          <w14:textFill>
            <w14:solidFill>
              <w14:schemeClr w14:val="tx1"/>
            </w14:solidFill>
          </w14:textFill>
        </w:rPr>
        <w:t>、</w:t>
      </w:r>
      <w:r>
        <w:rPr>
          <w:rFonts w:hint="eastAsia" w:ascii="黑体" w:hAnsi="黑体" w:eastAsia="黑体"/>
          <w:color w:val="000000" w:themeColor="text1"/>
          <w:sz w:val="30"/>
          <w14:textFill>
            <w14:solidFill>
              <w14:schemeClr w14:val="tx1"/>
            </w14:solidFill>
          </w14:textFill>
        </w:rPr>
        <w:t>建设项目</w:t>
      </w:r>
      <w:r>
        <w:rPr>
          <w:rFonts w:ascii="黑体" w:hAnsi="黑体" w:eastAsia="黑体"/>
          <w:color w:val="000000" w:themeColor="text1"/>
          <w:sz w:val="30"/>
          <w14:textFill>
            <w14:solidFill>
              <w14:schemeClr w14:val="tx1"/>
            </w14:solidFill>
          </w14:textFill>
        </w:rPr>
        <w:t>工程分析</w:t>
      </w:r>
    </w:p>
    <w:tbl>
      <w:tblPr>
        <w:tblStyle w:val="40"/>
        <w:tblW w:w="898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354"/>
        <w:gridCol w:w="8699"/>
      </w:tblGrid>
      <w:tr w14:paraId="04E0AA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85" w:hRule="atLeast"/>
          <w:jc w:val="center"/>
        </w:trPr>
        <w:tc>
          <w:tcPr>
            <w:tcW w:w="699" w:type="dxa"/>
            <w:vAlign w:val="center"/>
          </w:tcPr>
          <w:p w14:paraId="1567F0F3">
            <w:pPr>
              <w:pStyle w:val="35"/>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建设内容</w:t>
            </w:r>
          </w:p>
        </w:tc>
        <w:tc>
          <w:tcPr>
            <w:tcW w:w="8285" w:type="dxa"/>
          </w:tcPr>
          <w:p w14:paraId="4F9360EF">
            <w:pPr>
              <w:spacing w:line="360" w:lineRule="auto"/>
              <w:ind w:firstLine="472" w:firstLineChars="196"/>
              <w:rPr>
                <w:b/>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1、工程组成</w:t>
            </w:r>
          </w:p>
          <w:p w14:paraId="63FA95AD">
            <w:pPr>
              <w:spacing w:line="360" w:lineRule="auto"/>
              <w:ind w:firstLine="480"/>
              <w:rPr>
                <w:color w:val="000000" w:themeColor="text1"/>
                <w:sz w:val="24"/>
                <w14:textFill>
                  <w14:solidFill>
                    <w14:schemeClr w14:val="tx1"/>
                  </w14:solidFill>
                </w14:textFill>
              </w:rPr>
            </w:pPr>
            <w:bookmarkStart w:id="2" w:name="_Hlk209170252"/>
            <w:r>
              <w:rPr>
                <w:rFonts w:hint="eastAsia"/>
                <w:bCs/>
                <w:color w:val="000000" w:themeColor="text1"/>
                <w:sz w:val="24"/>
                <w14:textFill>
                  <w14:solidFill>
                    <w14:schemeClr w14:val="tx1"/>
                  </w14:solidFill>
                </w14:textFill>
              </w:rPr>
              <w:t>本项目</w:t>
            </w:r>
            <w:r>
              <w:rPr>
                <w:bCs/>
                <w:color w:val="000000" w:themeColor="text1"/>
                <w:sz w:val="24"/>
                <w14:textFill>
                  <w14:solidFill>
                    <w14:schemeClr w14:val="tx1"/>
                  </w14:solidFill>
                </w14:textFill>
              </w:rPr>
              <w:t>位于</w:t>
            </w:r>
            <w:r>
              <w:rPr>
                <w:rFonts w:hint="eastAsia"/>
                <w:bCs/>
                <w:color w:val="000000" w:themeColor="text1"/>
                <w:sz w:val="24"/>
                <w14:textFill>
                  <w14:solidFill>
                    <w14:schemeClr w14:val="tx1"/>
                  </w14:solidFill>
                </w14:textFill>
              </w:rPr>
              <w:t>惠州市</w:t>
            </w:r>
            <w:r>
              <w:rPr>
                <w:bCs/>
                <w:color w:val="000000" w:themeColor="text1"/>
                <w:sz w:val="24"/>
                <w14:textFill>
                  <w14:solidFill>
                    <w14:schemeClr w14:val="tx1"/>
                  </w14:solidFill>
                </w14:textFill>
              </w:rPr>
              <w:t>博罗县</w:t>
            </w:r>
            <w:r>
              <w:rPr>
                <w:rFonts w:hint="eastAsia"/>
                <w:bCs/>
                <w:color w:val="000000" w:themeColor="text1"/>
                <w:sz w:val="24"/>
                <w14:textFill>
                  <w14:solidFill>
                    <w14:schemeClr w14:val="tx1"/>
                  </w14:solidFill>
                </w14:textFill>
              </w:rPr>
              <w:t>长宁</w:t>
            </w:r>
            <w:r>
              <w:rPr>
                <w:bCs/>
                <w:color w:val="000000" w:themeColor="text1"/>
                <w:sz w:val="24"/>
                <w14:textFill>
                  <w14:solidFill>
                    <w14:schemeClr w14:val="tx1"/>
                  </w14:solidFill>
                </w14:textFill>
              </w:rPr>
              <w:t>镇福田荔枝墩村</w:t>
            </w:r>
            <w:r>
              <w:rPr>
                <w:rFonts w:hint="eastAsia"/>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福达工业区福达大道277-1号）</w:t>
            </w:r>
            <w:r>
              <w:rPr>
                <w:rFonts w:hint="eastAsia"/>
                <w:color w:val="000000" w:themeColor="text1"/>
                <w:sz w:val="24"/>
                <w14:textFill>
                  <w14:solidFill>
                    <w14:schemeClr w14:val="tx1"/>
                  </w14:solidFill>
                </w14:textFill>
              </w:rPr>
              <w:t>，项目中心经纬度为：</w:t>
            </w:r>
            <w:bookmarkStart w:id="3" w:name="_Hlk206766677"/>
            <w:r>
              <w:rPr>
                <w:rFonts w:hint="eastAsia"/>
                <w:color w:val="000000" w:themeColor="text1"/>
                <w:sz w:val="24"/>
                <w14:textFill>
                  <w14:solidFill>
                    <w14:schemeClr w14:val="tx1"/>
                  </w14:solidFill>
                </w14:textFill>
              </w:rPr>
              <w:t>E</w:t>
            </w:r>
            <w:r>
              <w:rPr>
                <w:color w:val="000000" w:themeColor="text1"/>
                <w:sz w:val="24"/>
                <w14:textFill>
                  <w14:solidFill>
                    <w14:schemeClr w14:val="tx1"/>
                  </w14:solidFill>
                </w14:textFill>
              </w:rPr>
              <w:t>113.978230</w:t>
            </w:r>
            <w:r>
              <w:rPr>
                <w:rFonts w:hint="eastAsia"/>
                <w:color w:val="000000" w:themeColor="text1"/>
                <w:sz w:val="24"/>
                <w14:textFill>
                  <w14:solidFill>
                    <w14:schemeClr w14:val="tx1"/>
                  </w14:solidFill>
                </w14:textFill>
              </w:rPr>
              <w:t>°，N</w:t>
            </w:r>
            <w:r>
              <w:rPr>
                <w:color w:val="000000" w:themeColor="text1"/>
                <w:sz w:val="24"/>
                <w14:textFill>
                  <w14:solidFill>
                    <w14:schemeClr w14:val="tx1"/>
                  </w14:solidFill>
                </w14:textFill>
              </w:rPr>
              <w:t>23.200803</w:t>
            </w:r>
            <w:r>
              <w:rPr>
                <w:rFonts w:hint="eastAsia"/>
                <w:color w:val="000000" w:themeColor="text1"/>
                <w:sz w:val="24"/>
                <w14:textFill>
                  <w14:solidFill>
                    <w14:schemeClr w14:val="tx1"/>
                  </w14:solidFill>
                </w14:textFill>
              </w:rPr>
              <w:t>°</w:t>
            </w:r>
            <w:bookmarkEnd w:id="3"/>
            <w:r>
              <w:rPr>
                <w:rFonts w:hint="eastAsia"/>
                <w:color w:val="000000" w:themeColor="text1"/>
                <w:sz w:val="24"/>
                <w14:textFill>
                  <w14:solidFill>
                    <w14:schemeClr w14:val="tx1"/>
                  </w14:solidFill>
                </w14:textFill>
              </w:rPr>
              <w:t>，项目所在的厂房为一栋一层的建筑，宿舍办公楼为一栋一层建筑。建设单位租用该厂房作为生产车间，宿舍办公楼作为宿舍办公区，</w:t>
            </w:r>
            <w:bookmarkStart w:id="4" w:name="_Hlk206766186"/>
            <w:r>
              <w:rPr>
                <w:rFonts w:hint="eastAsia"/>
                <w:color w:val="000000" w:themeColor="text1"/>
                <w:sz w:val="24"/>
                <w14:textFill>
                  <w14:solidFill>
                    <w14:schemeClr w14:val="tx1"/>
                  </w14:solidFill>
                </w14:textFill>
              </w:rPr>
              <w:t>总租用占地面积为4000平方米，建筑面积为3215平方米。</w:t>
            </w:r>
            <w:bookmarkEnd w:id="4"/>
            <w:r>
              <w:rPr>
                <w:rFonts w:hint="eastAsia"/>
                <w:color w:val="000000" w:themeColor="text1"/>
                <w:sz w:val="24"/>
                <w14:textFill>
                  <w14:solidFill>
                    <w14:schemeClr w14:val="tx1"/>
                  </w14:solidFill>
                </w14:textFill>
              </w:rPr>
              <w:t>项目主要从事木制品制造，年产会展展示搭建木制品12</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万件。项目拟招员工人数为16人，设宿舍和食堂，年工作日为</w:t>
            </w:r>
            <w:r>
              <w:rPr>
                <w:color w:val="000000" w:themeColor="text1"/>
                <w:sz w:val="24"/>
                <w14:textFill>
                  <w14:solidFill>
                    <w14:schemeClr w14:val="tx1"/>
                  </w14:solidFill>
                </w14:textFill>
              </w:rPr>
              <w:t>300</w:t>
            </w:r>
            <w:r>
              <w:rPr>
                <w:rFonts w:hint="eastAsia"/>
                <w:color w:val="000000" w:themeColor="text1"/>
                <w:sz w:val="24"/>
                <w14:textFill>
                  <w14:solidFill>
                    <w14:schemeClr w14:val="tx1"/>
                  </w14:solidFill>
                </w14:textFill>
              </w:rPr>
              <w:t>天，为8h一班工作制。</w:t>
            </w:r>
            <w:bookmarkEnd w:id="2"/>
            <w:r>
              <w:rPr>
                <w:color w:val="000000" w:themeColor="text1"/>
                <w:sz w:val="24"/>
                <w14:textFill>
                  <w14:solidFill>
                    <w14:schemeClr w14:val="tx1"/>
                  </w14:solidFill>
                </w14:textFill>
              </w:rPr>
              <w:t>项目平面布置图见附图3，本</w:t>
            </w:r>
            <w:r>
              <w:rPr>
                <w:rFonts w:hint="eastAsia"/>
                <w:color w:val="000000" w:themeColor="text1"/>
                <w:sz w:val="24"/>
                <w14:textFill>
                  <w14:solidFill>
                    <w14:schemeClr w14:val="tx1"/>
                  </w14:solidFill>
                </w14:textFill>
              </w:rPr>
              <w:t>项目工程构成</w:t>
            </w:r>
            <w:r>
              <w:rPr>
                <w:color w:val="000000" w:themeColor="text1"/>
                <w:sz w:val="24"/>
                <w14:textFill>
                  <w14:solidFill>
                    <w14:schemeClr w14:val="tx1"/>
                  </w14:solidFill>
                </w14:textFill>
              </w:rPr>
              <w:t>情况表见表2-1。</w:t>
            </w:r>
          </w:p>
          <w:p w14:paraId="1F4CFA6C">
            <w:pPr>
              <w:spacing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表2-1 项目工程构成一览表</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426"/>
              <w:gridCol w:w="840"/>
              <w:gridCol w:w="1103"/>
              <w:gridCol w:w="1098"/>
              <w:gridCol w:w="1204"/>
              <w:gridCol w:w="2751"/>
            </w:tblGrid>
            <w:tr w14:paraId="66679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73" w:type="pct"/>
                  <w:vAlign w:val="center"/>
                </w:tcPr>
                <w:p w14:paraId="672FBC47">
                  <w:pPr>
                    <w:widowControl/>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项目类别</w:t>
                  </w:r>
                </w:p>
              </w:tc>
              <w:tc>
                <w:tcPr>
                  <w:tcW w:w="738" w:type="pct"/>
                  <w:gridSpan w:val="2"/>
                  <w:vAlign w:val="center"/>
                </w:tcPr>
                <w:p w14:paraId="2D56CEBB">
                  <w:pPr>
                    <w:widowControl/>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3589" w:type="pct"/>
                  <w:gridSpan w:val="4"/>
                  <w:vAlign w:val="center"/>
                </w:tcPr>
                <w:p w14:paraId="764594BA">
                  <w:pPr>
                    <w:widowControl/>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工程组成内容</w:t>
                  </w:r>
                </w:p>
              </w:tc>
            </w:tr>
            <w:tr w14:paraId="2B19B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73" w:type="pct"/>
                  <w:vAlign w:val="center"/>
                </w:tcPr>
                <w:p w14:paraId="2F3109A1">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主体工程</w:t>
                  </w:r>
                </w:p>
              </w:tc>
              <w:tc>
                <w:tcPr>
                  <w:tcW w:w="738" w:type="pct"/>
                  <w:gridSpan w:val="2"/>
                  <w:vAlign w:val="center"/>
                </w:tcPr>
                <w:p w14:paraId="074B2EEC">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3589" w:type="pct"/>
                  <w:gridSpan w:val="4"/>
                  <w:vAlign w:val="center"/>
                </w:tcPr>
                <w:p w14:paraId="6A53C782">
                  <w:pPr>
                    <w:widowControl/>
                    <w:adjustRightInd w:val="0"/>
                    <w:snapToGrid w:val="0"/>
                    <w:jc w:val="center"/>
                    <w:rPr>
                      <w:color w:val="000000" w:themeColor="text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租用</w:t>
                  </w:r>
                  <w:r>
                    <w:rPr>
                      <w:rFonts w:hint="eastAsia"/>
                      <w:color w:val="000000" w:themeColor="text1"/>
                      <w:szCs w:val="21"/>
                      <w14:textFill>
                        <w14:solidFill>
                          <w14:schemeClr w14:val="tx1"/>
                        </w14:solidFill>
                      </w14:textFill>
                    </w:rPr>
                    <w:t>厂房作为生产车间</w:t>
                  </w:r>
                  <w:r>
                    <w:rPr>
                      <w:rFonts w:hint="eastAsia"/>
                      <w:color w:val="000000" w:themeColor="text1"/>
                      <w:spacing w:val="-1"/>
                      <w:kern w:val="0"/>
                      <w:position w:val="-1"/>
                      <w:szCs w:val="21"/>
                      <w14:textFill>
                        <w14:solidFill>
                          <w14:schemeClr w14:val="tx1"/>
                        </w14:solidFill>
                      </w14:textFill>
                    </w:rPr>
                    <w:t>，生产车间层高为</w:t>
                  </w:r>
                  <w:r>
                    <w:rPr>
                      <w:color w:val="000000" w:themeColor="text1"/>
                      <w:spacing w:val="-1"/>
                      <w:kern w:val="0"/>
                      <w:position w:val="-1"/>
                      <w:szCs w:val="21"/>
                      <w14:textFill>
                        <w14:solidFill>
                          <w14:schemeClr w14:val="tx1"/>
                        </w14:solidFill>
                      </w14:textFill>
                    </w:rPr>
                    <w:t>7</w:t>
                  </w:r>
                  <w:r>
                    <w:rPr>
                      <w:rFonts w:hint="eastAsia"/>
                      <w:color w:val="000000" w:themeColor="text1"/>
                      <w:spacing w:val="-1"/>
                      <w:kern w:val="0"/>
                      <w:position w:val="-1"/>
                      <w:szCs w:val="21"/>
                      <w14:textFill>
                        <w14:solidFill>
                          <w14:schemeClr w14:val="tx1"/>
                        </w14:solidFill>
                      </w14:textFill>
                    </w:rPr>
                    <w:t>.5m，占地面积2700</w:t>
                  </w:r>
                  <w:r>
                    <w:rPr>
                      <w:color w:val="000000" w:themeColor="text1"/>
                      <w:spacing w:val="-1"/>
                      <w:kern w:val="0"/>
                      <w:position w:val="-1"/>
                      <w:szCs w:val="21"/>
                      <w14:textFill>
                        <w14:solidFill>
                          <w14:schemeClr w14:val="tx1"/>
                        </w14:solidFill>
                      </w14:textFill>
                    </w:rPr>
                    <w:t>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，建筑面积27</w:t>
                  </w:r>
                  <w:r>
                    <w:rPr>
                      <w:color w:val="000000" w:themeColor="text1"/>
                      <w:spacing w:val="-1"/>
                      <w:kern w:val="0"/>
                      <w:position w:val="-1"/>
                      <w:szCs w:val="21"/>
                      <w14:textFill>
                        <w14:solidFill>
                          <w14:schemeClr w14:val="tx1"/>
                        </w14:solidFill>
                      </w14:textFill>
                    </w:rPr>
                    <w:t>00m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；主要设置开料区、雕刻区、木工区、焊机区、打磨区、仓库区、喷漆区（3个喷漆区，每个70m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）、晾干区210</w:t>
                  </w:r>
                  <w:r>
                    <w:rPr>
                      <w:color w:val="000000" w:themeColor="text1"/>
                      <w:spacing w:val="-1"/>
                      <w:kern w:val="0"/>
                      <w:position w:val="-1"/>
                      <w:szCs w:val="21"/>
                      <w14:textFill>
                        <w14:solidFill>
                          <w14:schemeClr w14:val="tx1"/>
                        </w14:solidFill>
                      </w14:textFill>
                    </w:rPr>
                    <w:t>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、危险废物暂存仓等区域。</w:t>
                  </w:r>
                </w:p>
              </w:tc>
            </w:tr>
            <w:tr w14:paraId="11841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673" w:type="pct"/>
                  <w:vMerge w:val="restart"/>
                  <w:vAlign w:val="center"/>
                </w:tcPr>
                <w:p w14:paraId="14127BD7">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储运工程</w:t>
                  </w:r>
                </w:p>
              </w:tc>
              <w:tc>
                <w:tcPr>
                  <w:tcW w:w="738" w:type="pct"/>
                  <w:gridSpan w:val="2"/>
                  <w:vAlign w:val="center"/>
                </w:tcPr>
                <w:p w14:paraId="24259078">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仓库区</w:t>
                  </w:r>
                </w:p>
              </w:tc>
              <w:tc>
                <w:tcPr>
                  <w:tcW w:w="3589" w:type="pct"/>
                  <w:gridSpan w:val="4"/>
                  <w:vAlign w:val="center"/>
                </w:tcPr>
                <w:p w14:paraId="50240942">
                  <w:pPr>
                    <w:widowControl/>
                    <w:adjustRightInd w:val="0"/>
                    <w:snapToGrid w:val="0"/>
                    <w:jc w:val="center"/>
                    <w:rPr>
                      <w:color w:val="000000" w:themeColor="text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位于</w:t>
                  </w:r>
                  <w:r>
                    <w:rPr>
                      <w:rFonts w:hint="eastAsia"/>
                      <w:color w:val="000000" w:themeColor="text1"/>
                      <w:szCs w:val="21"/>
                      <w14:textFill>
                        <w14:solidFill>
                          <w14:schemeClr w14:val="tx1"/>
                        </w14:solidFill>
                      </w14:textFill>
                    </w:rPr>
                    <w:t>生产车间</w:t>
                  </w:r>
                  <w:r>
                    <w:rPr>
                      <w:rFonts w:hint="eastAsia"/>
                      <w:color w:val="000000" w:themeColor="text1"/>
                      <w:spacing w:val="-1"/>
                      <w:kern w:val="0"/>
                      <w:position w:val="-1"/>
                      <w:szCs w:val="21"/>
                      <w14:textFill>
                        <w14:solidFill>
                          <w14:schemeClr w14:val="tx1"/>
                        </w14:solidFill>
                      </w14:textFill>
                    </w:rPr>
                    <w:t>内部，约160</w:t>
                  </w:r>
                  <w:r>
                    <w:rPr>
                      <w:color w:val="000000" w:themeColor="text1"/>
                      <w:spacing w:val="-1"/>
                      <w:kern w:val="0"/>
                      <w:position w:val="-1"/>
                      <w:szCs w:val="21"/>
                      <w14:textFill>
                        <w14:solidFill>
                          <w14:schemeClr w14:val="tx1"/>
                        </w14:solidFill>
                      </w14:textFill>
                    </w:rPr>
                    <w:t>0 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w:t>
                  </w:r>
                  <w:r>
                    <w:rPr>
                      <w:rFonts w:hint="eastAsia"/>
                      <w:color w:val="000000" w:themeColor="text1"/>
                      <w:szCs w:val="21"/>
                      <w14:textFill>
                        <w14:solidFill>
                          <w14:schemeClr w14:val="tx1"/>
                        </w14:solidFill>
                      </w14:textFill>
                    </w:rPr>
                    <w:t>用于原料和成品的存储</w:t>
                  </w:r>
                </w:p>
              </w:tc>
            </w:tr>
            <w:tr w14:paraId="11E1E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673" w:type="pct"/>
                  <w:vMerge w:val="continue"/>
                  <w:vAlign w:val="center"/>
                </w:tcPr>
                <w:p w14:paraId="6BDE2A71">
                  <w:pPr>
                    <w:widowControl/>
                    <w:adjustRightInd w:val="0"/>
                    <w:snapToGrid w:val="0"/>
                    <w:jc w:val="center"/>
                    <w:rPr>
                      <w:color w:val="000000" w:themeColor="text1"/>
                      <w:szCs w:val="21"/>
                      <w14:textFill>
                        <w14:solidFill>
                          <w14:schemeClr w14:val="tx1"/>
                        </w14:solidFill>
                      </w14:textFill>
                    </w:rPr>
                  </w:pPr>
                </w:p>
              </w:tc>
              <w:tc>
                <w:tcPr>
                  <w:tcW w:w="738" w:type="pct"/>
                  <w:gridSpan w:val="2"/>
                  <w:vAlign w:val="center"/>
                </w:tcPr>
                <w:p w14:paraId="450F2258">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一般固废暂存仓</w:t>
                  </w:r>
                </w:p>
              </w:tc>
              <w:tc>
                <w:tcPr>
                  <w:tcW w:w="3589" w:type="pct"/>
                  <w:gridSpan w:val="4"/>
                  <w:vAlign w:val="center"/>
                </w:tcPr>
                <w:p w14:paraId="70A55605">
                  <w:pPr>
                    <w:widowControl/>
                    <w:adjustRightInd w:val="0"/>
                    <w:snapToGrid w:val="0"/>
                    <w:jc w:val="center"/>
                    <w:rPr>
                      <w:color w:val="000000" w:themeColor="text1"/>
                      <w:spacing w:val="-1"/>
                      <w:kern w:val="0"/>
                      <w:position w:val="-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位于生产车间东侧外，约15m</w:t>
                  </w:r>
                  <w:r>
                    <w:rPr>
                      <w:rFonts w:hint="eastAsia"/>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，用于暂时存储一般工业固体废物</w:t>
                  </w:r>
                </w:p>
              </w:tc>
            </w:tr>
            <w:tr w14:paraId="7E8FE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673" w:type="pct"/>
                  <w:vMerge w:val="continue"/>
                  <w:vAlign w:val="center"/>
                </w:tcPr>
                <w:p w14:paraId="2234A1AC">
                  <w:pPr>
                    <w:widowControl/>
                    <w:adjustRightInd w:val="0"/>
                    <w:snapToGrid w:val="0"/>
                    <w:jc w:val="center"/>
                    <w:rPr>
                      <w:color w:val="000000" w:themeColor="text1"/>
                      <w:szCs w:val="21"/>
                      <w14:textFill>
                        <w14:solidFill>
                          <w14:schemeClr w14:val="tx1"/>
                        </w14:solidFill>
                      </w14:textFill>
                    </w:rPr>
                  </w:pPr>
                </w:p>
              </w:tc>
              <w:tc>
                <w:tcPr>
                  <w:tcW w:w="738" w:type="pct"/>
                  <w:gridSpan w:val="2"/>
                  <w:vAlign w:val="center"/>
                </w:tcPr>
                <w:p w14:paraId="582B0113">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危险废物暂存仓</w:t>
                  </w:r>
                </w:p>
              </w:tc>
              <w:tc>
                <w:tcPr>
                  <w:tcW w:w="3589" w:type="pct"/>
                  <w:gridSpan w:val="4"/>
                  <w:vAlign w:val="center"/>
                </w:tcPr>
                <w:p w14:paraId="04D51B95">
                  <w:pPr>
                    <w:widowControl/>
                    <w:adjustRightInd w:val="0"/>
                    <w:snapToGrid w:val="0"/>
                    <w:jc w:val="center"/>
                    <w:rPr>
                      <w:color w:val="000000" w:themeColor="text1"/>
                      <w:spacing w:val="-1"/>
                      <w:kern w:val="0"/>
                      <w:position w:val="-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位于生产车间内，约30m</w:t>
                  </w:r>
                  <w:r>
                    <w:rPr>
                      <w:rFonts w:hint="eastAsia"/>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，用于暂时存储危险废物</w:t>
                  </w:r>
                </w:p>
              </w:tc>
            </w:tr>
            <w:tr w14:paraId="53EE8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673" w:type="pct"/>
                  <w:vMerge w:val="restart"/>
                  <w:vAlign w:val="center"/>
                </w:tcPr>
                <w:p w14:paraId="133E5D2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辅助工程</w:t>
                  </w:r>
                </w:p>
              </w:tc>
              <w:tc>
                <w:tcPr>
                  <w:tcW w:w="738" w:type="pct"/>
                  <w:gridSpan w:val="2"/>
                  <w:vAlign w:val="center"/>
                </w:tcPr>
                <w:p w14:paraId="648FDBF1">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宿舍及办公区</w:t>
                  </w:r>
                </w:p>
              </w:tc>
              <w:tc>
                <w:tcPr>
                  <w:tcW w:w="3589" w:type="pct"/>
                  <w:gridSpan w:val="4"/>
                  <w:vAlign w:val="center"/>
                </w:tcPr>
                <w:p w14:paraId="7DF5A602">
                  <w:pPr>
                    <w:widowControl/>
                    <w:adjustRightInd w:val="0"/>
                    <w:snapToGrid w:val="0"/>
                    <w:jc w:val="center"/>
                    <w:rPr>
                      <w:color w:val="000000" w:themeColor="text1"/>
                      <w:spacing w:val="-1"/>
                      <w:kern w:val="0"/>
                      <w:position w:val="-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位于厂区东北侧，宿舍办公区占地5</w:t>
                  </w:r>
                  <w:r>
                    <w:rPr>
                      <w:color w:val="000000" w:themeColor="text1"/>
                      <w:spacing w:val="-1"/>
                      <w:kern w:val="0"/>
                      <w:position w:val="-1"/>
                      <w:szCs w:val="21"/>
                      <w14:textFill>
                        <w14:solidFill>
                          <w14:schemeClr w14:val="tx1"/>
                        </w14:solidFill>
                      </w14:textFill>
                    </w:rPr>
                    <w:t>00m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，一栋一层，建筑面积50</w:t>
                  </w:r>
                  <w:r>
                    <w:rPr>
                      <w:color w:val="000000" w:themeColor="text1"/>
                      <w:spacing w:val="-1"/>
                      <w:kern w:val="0"/>
                      <w:position w:val="-1"/>
                      <w:szCs w:val="21"/>
                      <w14:textFill>
                        <w14:solidFill>
                          <w14:schemeClr w14:val="tx1"/>
                        </w14:solidFill>
                      </w14:textFill>
                    </w:rPr>
                    <w:t>0m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。作为宿舍及办公区</w:t>
                  </w:r>
                </w:p>
              </w:tc>
            </w:tr>
            <w:tr w14:paraId="5CE52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vMerge w:val="continue"/>
                  <w:vAlign w:val="center"/>
                </w:tcPr>
                <w:p w14:paraId="00817341">
                  <w:pPr>
                    <w:widowControl/>
                    <w:adjustRightInd w:val="0"/>
                    <w:snapToGrid w:val="0"/>
                    <w:jc w:val="center"/>
                    <w:rPr>
                      <w:color w:val="000000" w:themeColor="text1"/>
                      <w:szCs w:val="21"/>
                      <w14:textFill>
                        <w14:solidFill>
                          <w14:schemeClr w14:val="tx1"/>
                        </w14:solidFill>
                      </w14:textFill>
                    </w:rPr>
                  </w:pPr>
                </w:p>
              </w:tc>
              <w:tc>
                <w:tcPr>
                  <w:tcW w:w="738" w:type="pct"/>
                  <w:gridSpan w:val="2"/>
                  <w:vAlign w:val="center"/>
                </w:tcPr>
                <w:p w14:paraId="012F3120">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空压机房</w:t>
                  </w:r>
                </w:p>
              </w:tc>
              <w:tc>
                <w:tcPr>
                  <w:tcW w:w="3589" w:type="pct"/>
                  <w:gridSpan w:val="4"/>
                  <w:vAlign w:val="center"/>
                </w:tcPr>
                <w:p w14:paraId="0A7C480F">
                  <w:pPr>
                    <w:widowControl/>
                    <w:adjustRightInd w:val="0"/>
                    <w:snapToGrid w:val="0"/>
                    <w:jc w:val="center"/>
                    <w:rPr>
                      <w:color w:val="000000" w:themeColor="text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位于木工区和喷漆区</w:t>
                  </w:r>
                  <w:r>
                    <w:rPr>
                      <w:rFonts w:hint="eastAsia"/>
                      <w:color w:val="000000" w:themeColor="text1"/>
                      <w:szCs w:val="21"/>
                      <w14:textFill>
                        <w14:solidFill>
                          <w14:schemeClr w14:val="tx1"/>
                        </w14:solidFill>
                      </w14:textFill>
                    </w:rPr>
                    <w:t>。</w:t>
                  </w:r>
                </w:p>
              </w:tc>
            </w:tr>
            <w:tr w14:paraId="2FF91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vMerge w:val="restart"/>
                  <w:vAlign w:val="center"/>
                </w:tcPr>
                <w:p w14:paraId="5DE04E58">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公用工程</w:t>
                  </w:r>
                </w:p>
              </w:tc>
              <w:tc>
                <w:tcPr>
                  <w:tcW w:w="738" w:type="pct"/>
                  <w:gridSpan w:val="2"/>
                  <w:vAlign w:val="center"/>
                </w:tcPr>
                <w:p w14:paraId="012A7F0F">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给水系统</w:t>
                  </w:r>
                </w:p>
              </w:tc>
              <w:tc>
                <w:tcPr>
                  <w:tcW w:w="3589" w:type="pct"/>
                  <w:gridSpan w:val="4"/>
                  <w:vAlign w:val="center"/>
                </w:tcPr>
                <w:p w14:paraId="565903F1">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市政自来水管网</w:t>
                  </w:r>
                </w:p>
              </w:tc>
            </w:tr>
            <w:tr w14:paraId="66C2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3" w:type="pct"/>
                  <w:vMerge w:val="continue"/>
                  <w:vAlign w:val="center"/>
                </w:tcPr>
                <w:p w14:paraId="01C682AA">
                  <w:pPr>
                    <w:widowControl/>
                    <w:adjustRightInd w:val="0"/>
                    <w:snapToGrid w:val="0"/>
                    <w:jc w:val="center"/>
                    <w:rPr>
                      <w:color w:val="000000" w:themeColor="text1"/>
                      <w:szCs w:val="21"/>
                      <w14:textFill>
                        <w14:solidFill>
                          <w14:schemeClr w14:val="tx1"/>
                        </w14:solidFill>
                      </w14:textFill>
                    </w:rPr>
                  </w:pPr>
                </w:p>
              </w:tc>
              <w:tc>
                <w:tcPr>
                  <w:tcW w:w="738" w:type="pct"/>
                  <w:gridSpan w:val="2"/>
                  <w:vAlign w:val="center"/>
                </w:tcPr>
                <w:p w14:paraId="378F6CC7">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排水系统</w:t>
                  </w:r>
                </w:p>
              </w:tc>
              <w:tc>
                <w:tcPr>
                  <w:tcW w:w="3589" w:type="pct"/>
                  <w:gridSpan w:val="4"/>
                  <w:vAlign w:val="center"/>
                </w:tcPr>
                <w:p w14:paraId="144CF0E7">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雨污分流，雨水排入市政雨水管网，</w:t>
                  </w:r>
                  <w:r>
                    <w:rPr>
                      <w:rFonts w:hint="eastAsia"/>
                      <w:color w:val="000000" w:themeColor="text1"/>
                      <w:szCs w:val="21"/>
                      <w14:textFill>
                        <w14:solidFill>
                          <w14:schemeClr w14:val="tx1"/>
                        </w14:solidFill>
                      </w14:textFill>
                    </w:rPr>
                    <w:t>项目员工生活污水经“隔油隔渣+三级化粪池”预处理后经市政污水管网排入博罗县福田镇生活污水处理厂进行深度处理，最终排入福田河。</w:t>
                  </w:r>
                </w:p>
              </w:tc>
            </w:tr>
            <w:tr w14:paraId="15C2A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vMerge w:val="continue"/>
                  <w:vAlign w:val="center"/>
                </w:tcPr>
                <w:p w14:paraId="5296C713">
                  <w:pPr>
                    <w:widowControl/>
                    <w:adjustRightInd w:val="0"/>
                    <w:snapToGrid w:val="0"/>
                    <w:jc w:val="center"/>
                    <w:rPr>
                      <w:color w:val="000000" w:themeColor="text1"/>
                      <w:szCs w:val="21"/>
                      <w14:textFill>
                        <w14:solidFill>
                          <w14:schemeClr w14:val="tx1"/>
                        </w14:solidFill>
                      </w14:textFill>
                    </w:rPr>
                  </w:pPr>
                </w:p>
              </w:tc>
              <w:tc>
                <w:tcPr>
                  <w:tcW w:w="738" w:type="pct"/>
                  <w:gridSpan w:val="2"/>
                  <w:vAlign w:val="center"/>
                </w:tcPr>
                <w:p w14:paraId="7D5FF86B">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供电系统</w:t>
                  </w:r>
                </w:p>
              </w:tc>
              <w:tc>
                <w:tcPr>
                  <w:tcW w:w="3589" w:type="pct"/>
                  <w:gridSpan w:val="4"/>
                  <w:vAlign w:val="center"/>
                </w:tcPr>
                <w:p w14:paraId="65CA1CE0">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市政电网供给，年用电量预计</w:t>
                  </w: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万kWh，不设备用发电机</w:t>
                  </w:r>
                </w:p>
              </w:tc>
            </w:tr>
            <w:tr w14:paraId="416A0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3" w:type="pct"/>
                  <w:vMerge w:val="restart"/>
                  <w:vAlign w:val="center"/>
                </w:tcPr>
                <w:p w14:paraId="68BC41C8">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环保工程</w:t>
                  </w:r>
                </w:p>
              </w:tc>
              <w:tc>
                <w:tcPr>
                  <w:tcW w:w="738" w:type="pct"/>
                  <w:gridSpan w:val="2"/>
                  <w:vMerge w:val="restart"/>
                  <w:vAlign w:val="center"/>
                </w:tcPr>
                <w:p w14:paraId="19349782">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643" w:type="pct"/>
                  <w:vAlign w:val="center"/>
                </w:tcPr>
                <w:p w14:paraId="11A527C0">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开料、雕刻、打磨、切割、焊接</w:t>
                  </w:r>
                </w:p>
              </w:tc>
              <w:tc>
                <w:tcPr>
                  <w:tcW w:w="640" w:type="pct"/>
                  <w:vAlign w:val="center"/>
                </w:tcPr>
                <w:p w14:paraId="07F2BC35">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颗粒物、锰及其化合物</w:t>
                  </w:r>
                </w:p>
              </w:tc>
              <w:tc>
                <w:tcPr>
                  <w:tcW w:w="702" w:type="pct"/>
                  <w:vAlign w:val="center"/>
                </w:tcPr>
                <w:p w14:paraId="062AED5D">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DA001</w:t>
                  </w:r>
                </w:p>
              </w:tc>
              <w:tc>
                <w:tcPr>
                  <w:tcW w:w="1604" w:type="pct"/>
                  <w:vAlign w:val="center"/>
                </w:tcPr>
                <w:p w14:paraId="37E0AD6D">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r>
                    <w:rPr>
                      <w:rFonts w:hint="eastAsia"/>
                      <w:color w:val="000000" w:themeColor="text1"/>
                      <w:szCs w:val="21"/>
                      <w14:textFill>
                        <w14:solidFill>
                          <w14:schemeClr w14:val="tx1"/>
                        </w14:solidFill>
                      </w14:textFill>
                    </w:rPr>
                    <w:t>“布袋除尘”装置，达标废气经15</w:t>
                  </w:r>
                  <w:r>
                    <w:rPr>
                      <w:color w:val="000000" w:themeColor="text1"/>
                      <w:szCs w:val="21"/>
                      <w14:textFill>
                        <w14:solidFill>
                          <w14:schemeClr w14:val="tx1"/>
                        </w14:solidFill>
                      </w14:textFill>
                    </w:rPr>
                    <w:t>m</w:t>
                  </w:r>
                  <w:r>
                    <w:rPr>
                      <w:rFonts w:hint="eastAsia"/>
                      <w:color w:val="000000" w:themeColor="text1"/>
                      <w:szCs w:val="21"/>
                      <w14:textFill>
                        <w14:solidFill>
                          <w14:schemeClr w14:val="tx1"/>
                        </w14:solidFill>
                      </w14:textFill>
                    </w:rPr>
                    <w:t>排气筒</w:t>
                  </w:r>
                  <w:r>
                    <w:rPr>
                      <w:color w:val="000000" w:themeColor="text1"/>
                      <w:szCs w:val="21"/>
                      <w14:textFill>
                        <w14:solidFill>
                          <w14:schemeClr w14:val="tx1"/>
                        </w14:solidFill>
                      </w14:textFill>
                    </w:rPr>
                    <w:t>高空排放</w:t>
                  </w:r>
                </w:p>
              </w:tc>
            </w:tr>
            <w:tr w14:paraId="69AAF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3" w:type="pct"/>
                  <w:vMerge w:val="continue"/>
                  <w:vAlign w:val="center"/>
                </w:tcPr>
                <w:p w14:paraId="1ACCEE21">
                  <w:pPr>
                    <w:widowControl/>
                    <w:adjustRightInd w:val="0"/>
                    <w:snapToGrid w:val="0"/>
                    <w:jc w:val="center"/>
                    <w:rPr>
                      <w:color w:val="000000" w:themeColor="text1"/>
                      <w:szCs w:val="21"/>
                      <w14:textFill>
                        <w14:solidFill>
                          <w14:schemeClr w14:val="tx1"/>
                        </w14:solidFill>
                      </w14:textFill>
                    </w:rPr>
                  </w:pPr>
                </w:p>
              </w:tc>
              <w:tc>
                <w:tcPr>
                  <w:tcW w:w="738" w:type="pct"/>
                  <w:gridSpan w:val="2"/>
                  <w:vMerge w:val="continue"/>
                  <w:vAlign w:val="center"/>
                </w:tcPr>
                <w:p w14:paraId="42D838C3">
                  <w:pPr>
                    <w:widowControl/>
                    <w:adjustRightInd w:val="0"/>
                    <w:snapToGrid w:val="0"/>
                    <w:jc w:val="center"/>
                    <w:rPr>
                      <w:color w:val="000000" w:themeColor="text1"/>
                      <w:szCs w:val="21"/>
                      <w14:textFill>
                        <w14:solidFill>
                          <w14:schemeClr w14:val="tx1"/>
                        </w14:solidFill>
                      </w14:textFill>
                    </w:rPr>
                  </w:pPr>
                </w:p>
              </w:tc>
              <w:tc>
                <w:tcPr>
                  <w:tcW w:w="643" w:type="pct"/>
                  <w:vAlign w:val="center"/>
                </w:tcPr>
                <w:p w14:paraId="7C066355">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喷漆、晾干</w:t>
                  </w:r>
                </w:p>
              </w:tc>
              <w:tc>
                <w:tcPr>
                  <w:tcW w:w="640" w:type="pct"/>
                  <w:vAlign w:val="center"/>
                </w:tcPr>
                <w:p w14:paraId="1C1DB38F">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r>
                    <w:rPr>
                      <w:color w:val="000000" w:themeColor="text1"/>
                      <w:szCs w:val="21"/>
                      <w14:textFill>
                        <w14:solidFill>
                          <w14:schemeClr w14:val="tx1"/>
                        </w14:solidFill>
                      </w14:textFill>
                    </w:rPr>
                    <w:t>VOC</w:t>
                  </w:r>
                  <w:r>
                    <w:rPr>
                      <w:rFonts w:hint="eastAsia"/>
                      <w:color w:val="000000" w:themeColor="text1"/>
                      <w:szCs w:val="21"/>
                      <w14:textFill>
                        <w14:solidFill>
                          <w14:schemeClr w14:val="tx1"/>
                        </w14:solidFill>
                      </w14:textFill>
                    </w:rPr>
                    <w:t>、颗粒物</w:t>
                  </w:r>
                </w:p>
              </w:tc>
              <w:tc>
                <w:tcPr>
                  <w:tcW w:w="702" w:type="pct"/>
                  <w:vAlign w:val="center"/>
                </w:tcPr>
                <w:p w14:paraId="3A7E3C35">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A002</w:t>
                  </w:r>
                </w:p>
              </w:tc>
              <w:tc>
                <w:tcPr>
                  <w:tcW w:w="1604" w:type="pct"/>
                  <w:vAlign w:val="center"/>
                </w:tcPr>
                <w:p w14:paraId="17D88D21">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r>
                    <w:rPr>
                      <w:rFonts w:hint="eastAsia"/>
                      <w:color w:val="000000" w:themeColor="text1"/>
                      <w:szCs w:val="21"/>
                      <w14:textFill>
                        <w14:solidFill>
                          <w14:schemeClr w14:val="tx1"/>
                        </w14:solidFill>
                      </w14:textFill>
                    </w:rPr>
                    <w:t>“水喷淋+过滤除雾器+二级活性炭吸附”装置，达标废气经15</w:t>
                  </w:r>
                  <w:r>
                    <w:rPr>
                      <w:color w:val="000000" w:themeColor="text1"/>
                      <w:szCs w:val="21"/>
                      <w14:textFill>
                        <w14:solidFill>
                          <w14:schemeClr w14:val="tx1"/>
                        </w14:solidFill>
                      </w14:textFill>
                    </w:rPr>
                    <w:t>m</w:t>
                  </w:r>
                  <w:r>
                    <w:rPr>
                      <w:rFonts w:hint="eastAsia"/>
                      <w:color w:val="000000" w:themeColor="text1"/>
                      <w:szCs w:val="21"/>
                      <w14:textFill>
                        <w14:solidFill>
                          <w14:schemeClr w14:val="tx1"/>
                        </w14:solidFill>
                      </w14:textFill>
                    </w:rPr>
                    <w:t>排气筒</w:t>
                  </w:r>
                  <w:r>
                    <w:rPr>
                      <w:color w:val="000000" w:themeColor="text1"/>
                      <w:szCs w:val="21"/>
                      <w14:textFill>
                        <w14:solidFill>
                          <w14:schemeClr w14:val="tx1"/>
                        </w14:solidFill>
                      </w14:textFill>
                    </w:rPr>
                    <w:t>高空排放</w:t>
                  </w:r>
                </w:p>
              </w:tc>
            </w:tr>
            <w:tr w14:paraId="25F8D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3" w:type="pct"/>
                  <w:vMerge w:val="continue"/>
                  <w:vAlign w:val="center"/>
                </w:tcPr>
                <w:p w14:paraId="03FB1F1C">
                  <w:pPr>
                    <w:widowControl/>
                    <w:adjustRightInd w:val="0"/>
                    <w:snapToGrid w:val="0"/>
                    <w:jc w:val="center"/>
                    <w:rPr>
                      <w:color w:val="000000" w:themeColor="text1"/>
                      <w:szCs w:val="21"/>
                      <w14:textFill>
                        <w14:solidFill>
                          <w14:schemeClr w14:val="tx1"/>
                        </w14:solidFill>
                      </w14:textFill>
                    </w:rPr>
                  </w:pPr>
                </w:p>
              </w:tc>
              <w:tc>
                <w:tcPr>
                  <w:tcW w:w="738" w:type="pct"/>
                  <w:gridSpan w:val="2"/>
                  <w:vMerge w:val="continue"/>
                  <w:vAlign w:val="center"/>
                </w:tcPr>
                <w:p w14:paraId="53E52B0B">
                  <w:pPr>
                    <w:widowControl/>
                    <w:adjustRightInd w:val="0"/>
                    <w:snapToGrid w:val="0"/>
                    <w:jc w:val="center"/>
                    <w:rPr>
                      <w:color w:val="000000" w:themeColor="text1"/>
                      <w:szCs w:val="21"/>
                      <w14:textFill>
                        <w14:solidFill>
                          <w14:schemeClr w14:val="tx1"/>
                        </w14:solidFill>
                      </w14:textFill>
                    </w:rPr>
                  </w:pPr>
                </w:p>
              </w:tc>
              <w:tc>
                <w:tcPr>
                  <w:tcW w:w="643" w:type="pct"/>
                  <w:vAlign w:val="center"/>
                </w:tcPr>
                <w:p w14:paraId="19B135D7">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食堂</w:t>
                  </w:r>
                </w:p>
              </w:tc>
              <w:tc>
                <w:tcPr>
                  <w:tcW w:w="640" w:type="pct"/>
                  <w:vAlign w:val="center"/>
                </w:tcPr>
                <w:p w14:paraId="3E6B41B6">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w:t>
                  </w:r>
                </w:p>
              </w:tc>
              <w:tc>
                <w:tcPr>
                  <w:tcW w:w="702" w:type="pct"/>
                  <w:vAlign w:val="center"/>
                </w:tcPr>
                <w:p w14:paraId="33C4BD55">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A003</w:t>
                  </w:r>
                </w:p>
              </w:tc>
              <w:tc>
                <w:tcPr>
                  <w:tcW w:w="1604" w:type="pct"/>
                  <w:vAlign w:val="center"/>
                </w:tcPr>
                <w:p w14:paraId="1DA03408">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r>
                    <w:rPr>
                      <w:rFonts w:hint="eastAsia"/>
                      <w:color w:val="000000" w:themeColor="text1"/>
                      <w:szCs w:val="21"/>
                      <w14:textFill>
                        <w14:solidFill>
                          <w14:schemeClr w14:val="tx1"/>
                        </w14:solidFill>
                      </w14:textFill>
                    </w:rPr>
                    <w:t>“高效油烟净化器”处理后经楼顶排气筒排放</w:t>
                  </w:r>
                </w:p>
              </w:tc>
            </w:tr>
            <w:tr w14:paraId="2C856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673" w:type="pct"/>
                  <w:vMerge w:val="continue"/>
                  <w:vAlign w:val="center"/>
                </w:tcPr>
                <w:p w14:paraId="5710E566">
                  <w:pPr>
                    <w:widowControl/>
                    <w:adjustRightInd w:val="0"/>
                    <w:snapToGrid w:val="0"/>
                    <w:jc w:val="center"/>
                    <w:rPr>
                      <w:color w:val="000000" w:themeColor="text1"/>
                      <w:szCs w:val="21"/>
                      <w14:textFill>
                        <w14:solidFill>
                          <w14:schemeClr w14:val="tx1"/>
                        </w14:solidFill>
                      </w14:textFill>
                    </w:rPr>
                  </w:pPr>
                </w:p>
              </w:tc>
              <w:tc>
                <w:tcPr>
                  <w:tcW w:w="738" w:type="pct"/>
                  <w:gridSpan w:val="2"/>
                  <w:vAlign w:val="center"/>
                </w:tcPr>
                <w:p w14:paraId="3E3D5A90">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643" w:type="pct"/>
                  <w:vAlign w:val="center"/>
                </w:tcPr>
                <w:p w14:paraId="52C81E5A">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办公生活</w:t>
                  </w:r>
                </w:p>
              </w:tc>
              <w:tc>
                <w:tcPr>
                  <w:tcW w:w="640" w:type="pct"/>
                  <w:vAlign w:val="center"/>
                </w:tcPr>
                <w:p w14:paraId="62414CF1">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p>
                <w:p w14:paraId="7E31A91E">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p w14:paraId="5231CF7F">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p w14:paraId="5BF20EAE">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氨氮</w:t>
                  </w:r>
                </w:p>
                <w:p w14:paraId="702A175A">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总磷</w:t>
                  </w:r>
                </w:p>
                <w:p w14:paraId="19CED85A">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动植物油</w:t>
                  </w:r>
                </w:p>
              </w:tc>
              <w:tc>
                <w:tcPr>
                  <w:tcW w:w="702" w:type="pct"/>
                  <w:vAlign w:val="center"/>
                </w:tcPr>
                <w:p w14:paraId="2F4EA387">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604" w:type="pct"/>
                  <w:vAlign w:val="center"/>
                </w:tcPr>
                <w:p w14:paraId="76E439AC">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员工生活污水经1套“隔油隔渣+三级化粪池”处理达标后经市政污水管网排入博罗县福田镇生活污水处理厂进行深度处理，最终排入福田河。</w:t>
                  </w:r>
                </w:p>
              </w:tc>
            </w:tr>
            <w:tr w14:paraId="64D07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vMerge w:val="continue"/>
                  <w:vAlign w:val="center"/>
                </w:tcPr>
                <w:p w14:paraId="084DE72C">
                  <w:pPr>
                    <w:widowControl/>
                    <w:adjustRightInd w:val="0"/>
                    <w:snapToGrid w:val="0"/>
                    <w:jc w:val="center"/>
                    <w:rPr>
                      <w:color w:val="000000" w:themeColor="text1"/>
                      <w:szCs w:val="21"/>
                      <w14:textFill>
                        <w14:solidFill>
                          <w14:schemeClr w14:val="tx1"/>
                        </w14:solidFill>
                      </w14:textFill>
                    </w:rPr>
                  </w:pPr>
                </w:p>
              </w:tc>
              <w:tc>
                <w:tcPr>
                  <w:tcW w:w="738" w:type="pct"/>
                  <w:gridSpan w:val="2"/>
                  <w:vAlign w:val="center"/>
                </w:tcPr>
                <w:p w14:paraId="2FAA2DC5">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3589" w:type="pct"/>
                  <w:gridSpan w:val="4"/>
                  <w:vAlign w:val="center"/>
                </w:tcPr>
                <w:p w14:paraId="2EAAAD8B">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合理布局，设备选型，重点噪声源采取隔声、减震</w:t>
                  </w:r>
                </w:p>
              </w:tc>
            </w:tr>
            <w:tr w14:paraId="679AB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3" w:type="pct"/>
                  <w:vMerge w:val="continue"/>
                  <w:vAlign w:val="center"/>
                </w:tcPr>
                <w:p w14:paraId="2BBA2463">
                  <w:pPr>
                    <w:widowControl/>
                    <w:adjustRightInd w:val="0"/>
                    <w:snapToGrid w:val="0"/>
                    <w:jc w:val="center"/>
                    <w:rPr>
                      <w:color w:val="000000" w:themeColor="text1"/>
                      <w:szCs w:val="21"/>
                      <w14:textFill>
                        <w14:solidFill>
                          <w14:schemeClr w14:val="tx1"/>
                        </w14:solidFill>
                      </w14:textFill>
                    </w:rPr>
                  </w:pPr>
                </w:p>
              </w:tc>
              <w:tc>
                <w:tcPr>
                  <w:tcW w:w="248" w:type="pct"/>
                  <w:vMerge w:val="restart"/>
                  <w:vAlign w:val="center"/>
                </w:tcPr>
                <w:p w14:paraId="1F12A83C">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固废</w:t>
                  </w:r>
                </w:p>
              </w:tc>
              <w:tc>
                <w:tcPr>
                  <w:tcW w:w="490" w:type="pct"/>
                  <w:vAlign w:val="center"/>
                </w:tcPr>
                <w:p w14:paraId="29CCB71A">
                  <w:pPr>
                    <w:widowControl/>
                    <w:adjustRightInd w:val="0"/>
                    <w:snapToGrid w:val="0"/>
                    <w:jc w:val="center"/>
                    <w:rPr>
                      <w:color w:val="7030A0"/>
                      <w:szCs w:val="21"/>
                    </w:rPr>
                  </w:pPr>
                  <w:r>
                    <w:rPr>
                      <w:color w:val="000000" w:themeColor="text1"/>
                      <w:szCs w:val="21"/>
                      <w14:textFill>
                        <w14:solidFill>
                          <w14:schemeClr w14:val="tx1"/>
                        </w14:solidFill>
                      </w14:textFill>
                    </w:rPr>
                    <w:t>一般固废</w:t>
                  </w:r>
                </w:p>
              </w:tc>
              <w:tc>
                <w:tcPr>
                  <w:tcW w:w="3589" w:type="pct"/>
                  <w:gridSpan w:val="4"/>
                  <w:vAlign w:val="center"/>
                </w:tcPr>
                <w:p w14:paraId="2D9927DA">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一般固废暂存仓1个(15m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)，设置在厂区生产车间东侧外，一般工业固体废物</w:t>
                  </w:r>
                  <w:r>
                    <w:rPr>
                      <w:color w:val="000000" w:themeColor="text1"/>
                      <w:szCs w:val="21"/>
                      <w14:textFill>
                        <w14:solidFill>
                          <w14:schemeClr w14:val="tx1"/>
                        </w14:solidFill>
                      </w14:textFill>
                    </w:rPr>
                    <w:t>定期交由专业公司统一回收处理</w:t>
                  </w:r>
                </w:p>
              </w:tc>
            </w:tr>
            <w:tr w14:paraId="4D216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3" w:type="pct"/>
                  <w:vMerge w:val="continue"/>
                  <w:vAlign w:val="center"/>
                </w:tcPr>
                <w:p w14:paraId="34F87417">
                  <w:pPr>
                    <w:widowControl/>
                    <w:adjustRightInd w:val="0"/>
                    <w:snapToGrid w:val="0"/>
                    <w:jc w:val="center"/>
                    <w:rPr>
                      <w:color w:val="000000" w:themeColor="text1"/>
                      <w:szCs w:val="21"/>
                      <w14:textFill>
                        <w14:solidFill>
                          <w14:schemeClr w14:val="tx1"/>
                        </w14:solidFill>
                      </w14:textFill>
                    </w:rPr>
                  </w:pPr>
                </w:p>
              </w:tc>
              <w:tc>
                <w:tcPr>
                  <w:tcW w:w="248" w:type="pct"/>
                  <w:vMerge w:val="continue"/>
                  <w:vAlign w:val="center"/>
                </w:tcPr>
                <w:p w14:paraId="3A8A5525">
                  <w:pPr>
                    <w:widowControl/>
                    <w:adjustRightInd w:val="0"/>
                    <w:snapToGrid w:val="0"/>
                    <w:jc w:val="center"/>
                    <w:rPr>
                      <w:color w:val="000000" w:themeColor="text1"/>
                      <w:szCs w:val="21"/>
                      <w14:textFill>
                        <w14:solidFill>
                          <w14:schemeClr w14:val="tx1"/>
                        </w14:solidFill>
                      </w14:textFill>
                    </w:rPr>
                  </w:pPr>
                </w:p>
              </w:tc>
              <w:tc>
                <w:tcPr>
                  <w:tcW w:w="490" w:type="pct"/>
                  <w:vAlign w:val="center"/>
                </w:tcPr>
                <w:p w14:paraId="67F14E85">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w:t>
                  </w:r>
                </w:p>
              </w:tc>
              <w:tc>
                <w:tcPr>
                  <w:tcW w:w="3589" w:type="pct"/>
                  <w:gridSpan w:val="4"/>
                  <w:vAlign w:val="center"/>
                </w:tcPr>
                <w:p w14:paraId="2F5E3B9B">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危险废物暂存仓1个(30m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)，设置在厂区生产车间内，危险废物</w:t>
                  </w:r>
                  <w:r>
                    <w:rPr>
                      <w:color w:val="000000" w:themeColor="text1"/>
                      <w:szCs w:val="21"/>
                      <w14:textFill>
                        <w14:solidFill>
                          <w14:schemeClr w14:val="tx1"/>
                        </w14:solidFill>
                      </w14:textFill>
                    </w:rPr>
                    <w:t>定期交由有危险废物处理资质的单位</w:t>
                  </w:r>
                  <w:r>
                    <w:rPr>
                      <w:rFonts w:hint="eastAsia"/>
                      <w:color w:val="000000" w:themeColor="text1"/>
                      <w:szCs w:val="21"/>
                      <w14:textFill>
                        <w14:solidFill>
                          <w14:schemeClr w14:val="tx1"/>
                        </w14:solidFill>
                      </w14:textFill>
                    </w:rPr>
                    <w:t>收集</w:t>
                  </w:r>
                  <w:r>
                    <w:rPr>
                      <w:color w:val="000000" w:themeColor="text1"/>
                      <w:szCs w:val="21"/>
                      <w14:textFill>
                        <w14:solidFill>
                          <w14:schemeClr w14:val="tx1"/>
                        </w14:solidFill>
                      </w14:textFill>
                    </w:rPr>
                    <w:t>处理</w:t>
                  </w:r>
                </w:p>
              </w:tc>
            </w:tr>
            <w:tr w14:paraId="42277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3" w:type="pct"/>
                  <w:vMerge w:val="continue"/>
                  <w:vAlign w:val="center"/>
                </w:tcPr>
                <w:p w14:paraId="14EE5150">
                  <w:pPr>
                    <w:widowControl/>
                    <w:adjustRightInd w:val="0"/>
                    <w:snapToGrid w:val="0"/>
                    <w:jc w:val="center"/>
                    <w:rPr>
                      <w:color w:val="000000" w:themeColor="text1"/>
                      <w:szCs w:val="21"/>
                      <w14:textFill>
                        <w14:solidFill>
                          <w14:schemeClr w14:val="tx1"/>
                        </w14:solidFill>
                      </w14:textFill>
                    </w:rPr>
                  </w:pPr>
                </w:p>
              </w:tc>
              <w:tc>
                <w:tcPr>
                  <w:tcW w:w="248" w:type="pct"/>
                  <w:vMerge w:val="continue"/>
                  <w:vAlign w:val="center"/>
                </w:tcPr>
                <w:p w14:paraId="15B23212">
                  <w:pPr>
                    <w:widowControl/>
                    <w:adjustRightInd w:val="0"/>
                    <w:snapToGrid w:val="0"/>
                    <w:jc w:val="center"/>
                    <w:rPr>
                      <w:color w:val="000000" w:themeColor="text1"/>
                      <w:szCs w:val="21"/>
                      <w14:textFill>
                        <w14:solidFill>
                          <w14:schemeClr w14:val="tx1"/>
                        </w14:solidFill>
                      </w14:textFill>
                    </w:rPr>
                  </w:pPr>
                </w:p>
              </w:tc>
              <w:tc>
                <w:tcPr>
                  <w:tcW w:w="490" w:type="pct"/>
                  <w:vAlign w:val="center"/>
                </w:tcPr>
                <w:p w14:paraId="7037A55E">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3589" w:type="pct"/>
                  <w:gridSpan w:val="4"/>
                  <w:vAlign w:val="center"/>
                </w:tcPr>
                <w:p w14:paraId="21CFF645">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交由环卫部门统一清运</w:t>
                  </w:r>
                </w:p>
              </w:tc>
            </w:tr>
          </w:tbl>
          <w:p w14:paraId="7F0A5555">
            <w:pPr>
              <w:spacing w:line="360" w:lineRule="auto"/>
              <w:ind w:firstLine="482" w:firstLineChars="200"/>
              <w:rPr>
                <w:b/>
                <w:color w:val="000000" w:themeColor="text1"/>
                <w:kern w:val="0"/>
                <w:sz w:val="24"/>
                <w14:textFill>
                  <w14:solidFill>
                    <w14:schemeClr w14:val="tx1"/>
                  </w14:solidFill>
                </w14:textFill>
              </w:rPr>
            </w:pPr>
            <w:r>
              <w:rPr>
                <w:b/>
                <w:color w:val="000000" w:themeColor="text1"/>
                <w:sz w:val="24"/>
                <w14:textFill>
                  <w14:solidFill>
                    <w14:schemeClr w14:val="tx1"/>
                  </w14:solidFill>
                </w14:textFill>
              </w:rPr>
              <w:t>2</w:t>
            </w:r>
            <w:r>
              <w:rPr>
                <w:b/>
                <w:color w:val="000000" w:themeColor="text1"/>
                <w:kern w:val="0"/>
                <w:sz w:val="24"/>
                <w14:textFill>
                  <w14:solidFill>
                    <w14:schemeClr w14:val="tx1"/>
                  </w14:solidFill>
                </w14:textFill>
              </w:rPr>
              <w:t>、主要产品及</w:t>
            </w:r>
            <w:r>
              <w:rPr>
                <w:rFonts w:hint="eastAsia"/>
                <w:b/>
                <w:color w:val="000000" w:themeColor="text1"/>
                <w:kern w:val="0"/>
                <w:sz w:val="24"/>
                <w14:textFill>
                  <w14:solidFill>
                    <w14:schemeClr w14:val="tx1"/>
                  </w14:solidFill>
                </w14:textFill>
              </w:rPr>
              <w:t>产量</w:t>
            </w:r>
          </w:p>
          <w:p w14:paraId="4A78AC04">
            <w:pPr>
              <w:spacing w:line="360" w:lineRule="auto"/>
              <w:ind w:firstLine="470" w:firstLineChars="196"/>
              <w:rPr>
                <w:color w:val="000000" w:themeColor="text1"/>
                <w:sz w:val="24"/>
                <w14:textFill>
                  <w14:solidFill>
                    <w14:schemeClr w14:val="tx1"/>
                  </w14:solidFill>
                </w14:textFill>
              </w:rPr>
            </w:pPr>
            <w:r>
              <w:rPr>
                <w:color w:val="000000" w:themeColor="text1"/>
                <w:sz w:val="24"/>
                <w14:textFill>
                  <w14:solidFill>
                    <w14:schemeClr w14:val="tx1"/>
                  </w14:solidFill>
                </w14:textFill>
              </w:rPr>
              <w:t>本项目主要产品</w:t>
            </w:r>
            <w:r>
              <w:rPr>
                <w:rFonts w:hint="eastAsia"/>
                <w:color w:val="000000" w:themeColor="text1"/>
                <w:sz w:val="24"/>
                <w14:textFill>
                  <w14:solidFill>
                    <w14:schemeClr w14:val="tx1"/>
                  </w14:solidFill>
                </w14:textFill>
              </w:rPr>
              <w:t>木制品，主要用途为会展展示搭建木制品，及产量</w:t>
            </w:r>
            <w:r>
              <w:rPr>
                <w:color w:val="000000" w:themeColor="text1"/>
                <w:sz w:val="24"/>
                <w14:textFill>
                  <w14:solidFill>
                    <w14:schemeClr w14:val="tx1"/>
                  </w14:solidFill>
                </w14:textFill>
              </w:rPr>
              <w:t>见表2-</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w:t>
            </w:r>
          </w:p>
          <w:p w14:paraId="126C0553">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2</w:t>
            </w:r>
            <w:r>
              <w:rPr>
                <w:b/>
                <w:bCs/>
                <w:color w:val="000000" w:themeColor="text1"/>
                <w:szCs w:val="21"/>
                <w14:textFill>
                  <w14:solidFill>
                    <w14:schemeClr w14:val="tx1"/>
                  </w14:solidFill>
                </w14:textFill>
              </w:rPr>
              <w:t xml:space="preserve"> 本项目主要产品产量一览表</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1"/>
              <w:gridCol w:w="758"/>
              <w:gridCol w:w="2308"/>
              <w:gridCol w:w="4288"/>
            </w:tblGrid>
            <w:tr w14:paraId="0DB0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vAlign w:val="center"/>
                </w:tcPr>
                <w:p w14:paraId="5514FBE5">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产品</w:t>
                  </w:r>
                  <w:r>
                    <w:rPr>
                      <w:b/>
                      <w:color w:val="000000" w:themeColor="text1"/>
                      <w:sz w:val="21"/>
                      <w:szCs w:val="21"/>
                      <w14:textFill>
                        <w14:solidFill>
                          <w14:schemeClr w14:val="tx1"/>
                        </w14:solidFill>
                      </w14:textFill>
                    </w:rPr>
                    <w:t>名称</w:t>
                  </w:r>
                </w:p>
              </w:tc>
              <w:tc>
                <w:tcPr>
                  <w:tcW w:w="4288" w:type="pct"/>
                  <w:gridSpan w:val="3"/>
                  <w:vAlign w:val="center"/>
                </w:tcPr>
                <w:p w14:paraId="2110699E">
                  <w:pPr>
                    <w:pStyle w:val="57"/>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年</w:t>
                  </w:r>
                  <w:r>
                    <w:rPr>
                      <w:rFonts w:hint="eastAsia"/>
                      <w:b/>
                      <w:color w:val="000000" w:themeColor="text1"/>
                      <w:sz w:val="21"/>
                      <w:szCs w:val="21"/>
                      <w14:textFill>
                        <w14:solidFill>
                          <w14:schemeClr w14:val="tx1"/>
                        </w14:solidFill>
                      </w14:textFill>
                    </w:rPr>
                    <w:t>产</w:t>
                  </w:r>
                  <w:r>
                    <w:rPr>
                      <w:b/>
                      <w:color w:val="000000" w:themeColor="text1"/>
                      <w:sz w:val="21"/>
                      <w:szCs w:val="21"/>
                      <w14:textFill>
                        <w14:solidFill>
                          <w14:schemeClr w14:val="tx1"/>
                        </w14:solidFill>
                      </w14:textFill>
                    </w:rPr>
                    <w:t>量</w:t>
                  </w:r>
                </w:p>
              </w:tc>
            </w:tr>
            <w:tr w14:paraId="08238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vMerge w:val="restart"/>
                  <w:vAlign w:val="center"/>
                </w:tcPr>
                <w:p w14:paraId="4B512E6A">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会展展示搭建木制品</w:t>
                  </w:r>
                </w:p>
              </w:tc>
              <w:tc>
                <w:tcPr>
                  <w:tcW w:w="442" w:type="pct"/>
                  <w:vAlign w:val="center"/>
                </w:tcPr>
                <w:p w14:paraId="046E67F0">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数量</w:t>
                  </w:r>
                </w:p>
              </w:tc>
              <w:tc>
                <w:tcPr>
                  <w:tcW w:w="3846" w:type="pct"/>
                  <w:gridSpan w:val="2"/>
                  <w:vAlign w:val="center"/>
                </w:tcPr>
                <w:p w14:paraId="1A9603FC">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万件（约28</w:t>
                  </w:r>
                  <w:r>
                    <w:rPr>
                      <w:color w:val="000000" w:themeColor="text1"/>
                      <w14:textFill>
                        <w14:solidFill>
                          <w14:schemeClr w14:val="tx1"/>
                        </w14:solidFill>
                      </w14:textFill>
                    </w:rPr>
                    <w:t>00</w:t>
                  </w:r>
                  <w:r>
                    <w:rPr>
                      <w:rFonts w:hint="eastAsia"/>
                      <w:color w:val="000000" w:themeColor="text1"/>
                      <w14:textFill>
                        <w14:solidFill>
                          <w14:schemeClr w14:val="tx1"/>
                        </w14:solidFill>
                      </w14:textFill>
                    </w:rPr>
                    <w:t>立方米）</w:t>
                  </w:r>
                </w:p>
              </w:tc>
            </w:tr>
            <w:tr w14:paraId="577D2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2" w:type="pct"/>
                  <w:vMerge w:val="continue"/>
                  <w:vAlign w:val="center"/>
                </w:tcPr>
                <w:p w14:paraId="56967327">
                  <w:pPr>
                    <w:jc w:val="center"/>
                    <w:rPr>
                      <w:rFonts w:hint="eastAsia" w:ascii="宋体" w:hAnsi="宋体" w:cs="宋体"/>
                      <w:color w:val="000000" w:themeColor="text1"/>
                      <w14:textFill>
                        <w14:solidFill>
                          <w14:schemeClr w14:val="tx1"/>
                        </w14:solidFill>
                      </w14:textFill>
                    </w:rPr>
                  </w:pPr>
                </w:p>
              </w:tc>
              <w:tc>
                <w:tcPr>
                  <w:tcW w:w="442" w:type="pct"/>
                  <w:vAlign w:val="center"/>
                </w:tcPr>
                <w:p w14:paraId="64CC8811">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规格</w:t>
                  </w:r>
                </w:p>
              </w:tc>
              <w:tc>
                <w:tcPr>
                  <w:tcW w:w="3846" w:type="pct"/>
                  <w:gridSpan w:val="2"/>
                  <w:vAlign w:val="center"/>
                </w:tcPr>
                <w:p w14:paraId="158CD968">
                  <w:pPr>
                    <w:jc w:val="center"/>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产品根据订单定制，尺寸差异较大。</w:t>
                  </w:r>
                  <w:r>
                    <w:rPr>
                      <w:rFonts w:hint="eastAsia"/>
                      <w:color w:val="000000" w:themeColor="text1"/>
                      <w:szCs w:val="21"/>
                      <w14:textFill>
                        <w14:solidFill>
                          <w14:schemeClr w14:val="tx1"/>
                        </w14:solidFill>
                      </w14:textFill>
                    </w:rPr>
                    <w:t>较大尺寸：3m×1m×2.5m，5m×0.6m×2.7m，2m×2.5m×6m。</w:t>
                  </w:r>
                </w:p>
              </w:tc>
            </w:tr>
            <w:tr w14:paraId="3F715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2" w:type="pct"/>
                  <w:vMerge w:val="continue"/>
                  <w:vAlign w:val="center"/>
                </w:tcPr>
                <w:p w14:paraId="78462164">
                  <w:pPr>
                    <w:jc w:val="center"/>
                    <w:rPr>
                      <w:rFonts w:hint="eastAsia" w:ascii="宋体" w:hAnsi="宋体" w:cs="宋体"/>
                      <w:color w:val="000000" w:themeColor="text1"/>
                      <w14:textFill>
                        <w14:solidFill>
                          <w14:schemeClr w14:val="tx1"/>
                        </w14:solidFill>
                      </w14:textFill>
                    </w:rPr>
                  </w:pPr>
                </w:p>
              </w:tc>
              <w:tc>
                <w:tcPr>
                  <w:tcW w:w="442" w:type="pct"/>
                  <w:vAlign w:val="center"/>
                </w:tcPr>
                <w:p w14:paraId="357C0080">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重量</w:t>
                  </w:r>
                </w:p>
              </w:tc>
              <w:tc>
                <w:tcPr>
                  <w:tcW w:w="3846" w:type="pct"/>
                  <w:gridSpan w:val="2"/>
                  <w:vAlign w:val="center"/>
                </w:tcPr>
                <w:p w14:paraId="712BFC0C">
                  <w:pPr>
                    <w:jc w:val="center"/>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产品根据订单定制，</w:t>
                  </w:r>
                  <w:r>
                    <w:rPr>
                      <w:rFonts w:hint="eastAsia"/>
                      <w:color w:val="000000" w:themeColor="text1"/>
                      <w14:textFill>
                        <w14:solidFill>
                          <w14:schemeClr w14:val="tx1"/>
                        </w14:solidFill>
                      </w14:textFill>
                    </w:rPr>
                    <w:t>产品为木板材、亚克力板、铁管组装而成，用料以木板材为主，材料平均密度约为0</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g/cm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，单个产品重量区别较大，较大尺寸的产品重量为，25kg，10kg，7kg，15kg。</w:t>
                  </w:r>
                </w:p>
              </w:tc>
            </w:tr>
            <w:tr w14:paraId="4964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4"/>
                  <w:vAlign w:val="center"/>
                </w:tcPr>
                <w:p w14:paraId="7A5C7E43">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产品照片及尺寸</w:t>
                  </w:r>
                </w:p>
              </w:tc>
            </w:tr>
            <w:tr w14:paraId="399CF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00" w:type="pct"/>
                  <w:gridSpan w:val="3"/>
                  <w:vAlign w:val="center"/>
                </w:tcPr>
                <w:p w14:paraId="3884FA24">
                  <w:pPr>
                    <w:jc w:val="center"/>
                    <w:rPr>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drawing>
                      <wp:inline distT="0" distB="0" distL="0" distR="0">
                        <wp:extent cx="1870710" cy="1403985"/>
                        <wp:effectExtent l="0" t="0" r="0" b="5715"/>
                        <wp:docPr id="1026" name="图片 1" descr="2df1b8510673f835bb82cdf7a7986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图片 1" descr="2df1b8510673f835bb82cdf7a79864f"/>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871123" cy="1404000"/>
                                </a:xfrm>
                                <a:prstGeom prst="rect">
                                  <a:avLst/>
                                </a:prstGeom>
                              </pic:spPr>
                            </pic:pic>
                          </a:graphicData>
                        </a:graphic>
                      </wp:inline>
                    </w:drawing>
                  </w:r>
                </w:p>
              </w:tc>
              <w:tc>
                <w:tcPr>
                  <w:tcW w:w="2500" w:type="pct"/>
                  <w:vAlign w:val="center"/>
                </w:tcPr>
                <w:p w14:paraId="607D1509">
                  <w:pPr>
                    <w:jc w:val="center"/>
                    <w:rPr>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drawing>
                      <wp:inline distT="0" distB="0" distL="0" distR="0">
                        <wp:extent cx="1918970" cy="1439545"/>
                        <wp:effectExtent l="0" t="0" r="5080" b="8255"/>
                        <wp:docPr id="1027" name="图片 3" descr="dc9e75fa9054b6b498c77fe8b9d1a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3" descr="dc9e75fa9054b6b498c77fe8b9d1a1b"/>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919101" cy="1440000"/>
                                </a:xfrm>
                                <a:prstGeom prst="rect">
                                  <a:avLst/>
                                </a:prstGeom>
                              </pic:spPr>
                            </pic:pic>
                          </a:graphicData>
                        </a:graphic>
                      </wp:inline>
                    </w:drawing>
                  </w:r>
                </w:p>
              </w:tc>
            </w:tr>
            <w:tr w14:paraId="3FABF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00" w:type="pct"/>
                  <w:gridSpan w:val="3"/>
                  <w:vAlign w:val="center"/>
                </w:tcPr>
                <w:p w14:paraId="54FA145F">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3m×1m×2.5m</w:t>
                  </w:r>
                </w:p>
              </w:tc>
              <w:tc>
                <w:tcPr>
                  <w:tcW w:w="2500" w:type="pct"/>
                  <w:vAlign w:val="center"/>
                </w:tcPr>
                <w:p w14:paraId="18EC6358">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2m×2.5m×6m</w:t>
                  </w:r>
                </w:p>
              </w:tc>
            </w:tr>
            <w:tr w14:paraId="4AD98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4"/>
                  <w:vAlign w:val="center"/>
                </w:tcPr>
                <w:p w14:paraId="2D91BBAC">
                  <w:pPr>
                    <w:jc w:val="center"/>
                    <w:rPr>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drawing>
                      <wp:inline distT="0" distB="0" distL="0" distR="0">
                        <wp:extent cx="1471930" cy="1439545"/>
                        <wp:effectExtent l="0" t="0" r="0" b="8255"/>
                        <wp:docPr id="1028" name="图片 2" descr="f69d2795d8f871b56d89601f392a1e5"/>
                        <wp:cNvGraphicFramePr/>
                        <a:graphic xmlns:a="http://schemas.openxmlformats.org/drawingml/2006/main">
                          <a:graphicData uri="http://schemas.openxmlformats.org/drawingml/2006/picture">
                            <pic:pic xmlns:pic="http://schemas.openxmlformats.org/drawingml/2006/picture">
                              <pic:nvPicPr>
                                <pic:cNvPr id="1028" name="图片 2" descr="f69d2795d8f871b56d89601f392a1e5"/>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472540" cy="1440000"/>
                                </a:xfrm>
                                <a:prstGeom prst="rect">
                                  <a:avLst/>
                                </a:prstGeom>
                                <a:ln>
                                  <a:noFill/>
                                </a:ln>
                              </pic:spPr>
                            </pic:pic>
                          </a:graphicData>
                        </a:graphic>
                      </wp:inline>
                    </w:drawing>
                  </w:r>
                </w:p>
              </w:tc>
            </w:tr>
            <w:tr w14:paraId="7CED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4"/>
                  <w:vAlign w:val="center"/>
                </w:tcPr>
                <w:p w14:paraId="15230E6F">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5m×0.6m×2.7m</w:t>
                  </w:r>
                </w:p>
              </w:tc>
            </w:tr>
          </w:tbl>
          <w:p w14:paraId="3CC8D813">
            <w:pPr>
              <w:spacing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rFonts w:hint="eastAsia"/>
                <w:b/>
                <w:color w:val="000000" w:themeColor="text1"/>
                <w:sz w:val="24"/>
                <w14:textFill>
                  <w14:solidFill>
                    <w14:schemeClr w14:val="tx1"/>
                  </w14:solidFill>
                </w14:textFill>
              </w:rPr>
              <w:t>主要原辅料</w:t>
            </w:r>
          </w:p>
          <w:p w14:paraId="0016238D">
            <w:pPr>
              <w:spacing w:line="360" w:lineRule="auto"/>
              <w:ind w:firstLine="470" w:firstLineChars="196"/>
              <w:rPr>
                <w:b/>
                <w:bCs/>
                <w:color w:val="000000" w:themeColor="text1"/>
                <w:szCs w:val="21"/>
                <w14:textFill>
                  <w14:solidFill>
                    <w14:schemeClr w14:val="tx1"/>
                  </w14:solidFill>
                </w14:textFill>
              </w:rPr>
            </w:pPr>
            <w:r>
              <w:rPr>
                <w:color w:val="000000" w:themeColor="text1"/>
                <w:sz w:val="24"/>
                <w14:textFill>
                  <w14:solidFill>
                    <w14:schemeClr w14:val="tx1"/>
                  </w14:solidFill>
                </w14:textFill>
              </w:rPr>
              <w:t>本项目主要</w:t>
            </w:r>
            <w:r>
              <w:rPr>
                <w:rFonts w:hint="eastAsia"/>
                <w:color w:val="000000" w:themeColor="text1"/>
                <w:sz w:val="24"/>
                <w14:textFill>
                  <w14:solidFill>
                    <w14:schemeClr w14:val="tx1"/>
                  </w14:solidFill>
                </w14:textFill>
              </w:rPr>
              <w:t>原辅料及使用量详</w:t>
            </w:r>
            <w:r>
              <w:rPr>
                <w:color w:val="000000" w:themeColor="text1"/>
                <w:sz w:val="24"/>
                <w14:textFill>
                  <w14:solidFill>
                    <w14:schemeClr w14:val="tx1"/>
                  </w14:solidFill>
                </w14:textFill>
              </w:rPr>
              <w:t>见表2-3。</w:t>
            </w:r>
          </w:p>
          <w:p w14:paraId="6C5E991C">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 xml:space="preserve">  项目使用的主要原辅料一览表</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45"/>
              <w:gridCol w:w="1362"/>
              <w:gridCol w:w="871"/>
              <w:gridCol w:w="1202"/>
              <w:gridCol w:w="1235"/>
              <w:gridCol w:w="1219"/>
              <w:gridCol w:w="1144"/>
              <w:gridCol w:w="997"/>
            </w:tblGrid>
            <w:tr w14:paraId="19C9A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0424AC8E">
                  <w:pPr>
                    <w:pStyle w:val="57"/>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794" w:type="pct"/>
                  <w:vAlign w:val="center"/>
                </w:tcPr>
                <w:p w14:paraId="0DFC7B90">
                  <w:pPr>
                    <w:pStyle w:val="57"/>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原辅料名称</w:t>
                  </w:r>
                </w:p>
              </w:tc>
              <w:tc>
                <w:tcPr>
                  <w:tcW w:w="508" w:type="pct"/>
                  <w:vAlign w:val="center"/>
                </w:tcPr>
                <w:p w14:paraId="2A1CEABA">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形态</w:t>
                  </w:r>
                </w:p>
              </w:tc>
              <w:tc>
                <w:tcPr>
                  <w:tcW w:w="701" w:type="pct"/>
                  <w:vAlign w:val="center"/>
                </w:tcPr>
                <w:p w14:paraId="3265A9E1">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包装方式</w:t>
                  </w:r>
                </w:p>
              </w:tc>
              <w:tc>
                <w:tcPr>
                  <w:tcW w:w="720" w:type="pct"/>
                  <w:vAlign w:val="center"/>
                </w:tcPr>
                <w:p w14:paraId="0132DB15">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年用量</w:t>
                  </w:r>
                </w:p>
              </w:tc>
              <w:tc>
                <w:tcPr>
                  <w:tcW w:w="711" w:type="pct"/>
                  <w:vAlign w:val="center"/>
                </w:tcPr>
                <w:p w14:paraId="170B6CE7">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最大</w:t>
                  </w:r>
                  <w:r>
                    <w:rPr>
                      <w:b/>
                      <w:color w:val="000000" w:themeColor="text1"/>
                      <w:sz w:val="21"/>
                      <w:szCs w:val="21"/>
                      <w14:textFill>
                        <w14:solidFill>
                          <w14:schemeClr w14:val="tx1"/>
                        </w14:solidFill>
                      </w14:textFill>
                    </w:rPr>
                    <w:t>储存量</w:t>
                  </w:r>
                </w:p>
              </w:tc>
              <w:tc>
                <w:tcPr>
                  <w:tcW w:w="667" w:type="pct"/>
                  <w:vAlign w:val="center"/>
                </w:tcPr>
                <w:p w14:paraId="2C5D9D35">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存放位置</w:t>
                  </w:r>
                </w:p>
              </w:tc>
              <w:tc>
                <w:tcPr>
                  <w:tcW w:w="581" w:type="pct"/>
                  <w:vAlign w:val="center"/>
                </w:tcPr>
                <w:p w14:paraId="1E64BD94">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使用工序</w:t>
                  </w:r>
                </w:p>
              </w:tc>
            </w:tr>
            <w:tr w14:paraId="5E40B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67D57F92">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794" w:type="pct"/>
                  <w:vAlign w:val="center"/>
                </w:tcPr>
                <w:p w14:paraId="048BFB24">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木板材</w:t>
                  </w:r>
                </w:p>
              </w:tc>
              <w:tc>
                <w:tcPr>
                  <w:tcW w:w="508" w:type="pct"/>
                  <w:vAlign w:val="center"/>
                </w:tcPr>
                <w:p w14:paraId="092E4FE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1" w:type="pct"/>
                  <w:vAlign w:val="center"/>
                </w:tcPr>
                <w:p w14:paraId="50BAF5E7">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散装</w:t>
                  </w:r>
                </w:p>
              </w:tc>
              <w:tc>
                <w:tcPr>
                  <w:tcW w:w="720" w:type="pct"/>
                  <w:vAlign w:val="center"/>
                </w:tcPr>
                <w:p w14:paraId="2F787B3B">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2000t</w:t>
                  </w:r>
                </w:p>
              </w:tc>
              <w:tc>
                <w:tcPr>
                  <w:tcW w:w="711" w:type="pct"/>
                  <w:vAlign w:val="center"/>
                </w:tcPr>
                <w:p w14:paraId="3C1C57E2">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w:t>
                  </w:r>
                  <w:r>
                    <w:rPr>
                      <w:rFonts w:hint="eastAsia"/>
                      <w:color w:val="000000" w:themeColor="text1"/>
                      <w:sz w:val="21"/>
                      <w:szCs w:val="21"/>
                      <w14:textFill>
                        <w14:solidFill>
                          <w14:schemeClr w14:val="tx1"/>
                        </w14:solidFill>
                      </w14:textFill>
                    </w:rPr>
                    <w:t>t</w:t>
                  </w:r>
                </w:p>
              </w:tc>
              <w:tc>
                <w:tcPr>
                  <w:tcW w:w="667" w:type="pct"/>
                  <w:vAlign w:val="center"/>
                </w:tcPr>
                <w:p w14:paraId="26643D97">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仓库</w:t>
                  </w:r>
                </w:p>
              </w:tc>
              <w:tc>
                <w:tcPr>
                  <w:tcW w:w="581" w:type="pct"/>
                  <w:vAlign w:val="center"/>
                </w:tcPr>
                <w:p w14:paraId="6E9B7E14">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全过程</w:t>
                  </w:r>
                </w:p>
              </w:tc>
            </w:tr>
            <w:tr w14:paraId="7E045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739CD884">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94" w:type="pct"/>
                  <w:vAlign w:val="center"/>
                </w:tcPr>
                <w:p w14:paraId="632B3849">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亚克力板</w:t>
                  </w:r>
                </w:p>
              </w:tc>
              <w:tc>
                <w:tcPr>
                  <w:tcW w:w="508" w:type="pct"/>
                  <w:vAlign w:val="center"/>
                </w:tcPr>
                <w:p w14:paraId="0C1B3DF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1" w:type="pct"/>
                  <w:vAlign w:val="center"/>
                </w:tcPr>
                <w:p w14:paraId="0C23C581">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散装</w:t>
                  </w:r>
                </w:p>
              </w:tc>
              <w:tc>
                <w:tcPr>
                  <w:tcW w:w="720" w:type="pct"/>
                  <w:vAlign w:val="center"/>
                </w:tcPr>
                <w:p w14:paraId="535CAADF">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20t</w:t>
                  </w:r>
                </w:p>
              </w:tc>
              <w:tc>
                <w:tcPr>
                  <w:tcW w:w="711" w:type="pct"/>
                  <w:vAlign w:val="center"/>
                </w:tcPr>
                <w:p w14:paraId="25141204">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.5</w:t>
                  </w:r>
                  <w:r>
                    <w:rPr>
                      <w:rFonts w:hint="eastAsia"/>
                      <w:color w:val="000000" w:themeColor="text1"/>
                      <w:sz w:val="21"/>
                      <w:szCs w:val="21"/>
                      <w14:textFill>
                        <w14:solidFill>
                          <w14:schemeClr w14:val="tx1"/>
                        </w14:solidFill>
                      </w14:textFill>
                    </w:rPr>
                    <w:t>t</w:t>
                  </w:r>
                </w:p>
              </w:tc>
              <w:tc>
                <w:tcPr>
                  <w:tcW w:w="667" w:type="pct"/>
                  <w:vAlign w:val="center"/>
                </w:tcPr>
                <w:p w14:paraId="0E03F79A">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仓库</w:t>
                  </w:r>
                </w:p>
              </w:tc>
              <w:tc>
                <w:tcPr>
                  <w:tcW w:w="581" w:type="pct"/>
                  <w:vAlign w:val="center"/>
                </w:tcPr>
                <w:p w14:paraId="493E81BF">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组装</w:t>
                  </w:r>
                </w:p>
              </w:tc>
            </w:tr>
            <w:tr w14:paraId="07060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084CF6A9">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794" w:type="pct"/>
                  <w:vAlign w:val="center"/>
                </w:tcPr>
                <w:p w14:paraId="0B9F55E3">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水性油漆</w:t>
                  </w:r>
                </w:p>
              </w:tc>
              <w:tc>
                <w:tcPr>
                  <w:tcW w:w="508" w:type="pct"/>
                  <w:vAlign w:val="center"/>
                </w:tcPr>
                <w:p w14:paraId="7AAEAA8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701" w:type="pct"/>
                  <w:vAlign w:val="center"/>
                </w:tcPr>
                <w:p w14:paraId="19D1A8D5">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w:t>
                  </w:r>
                  <w:r>
                    <w:rPr>
                      <w:color w:val="000000" w:themeColor="text1"/>
                      <w:sz w:val="21"/>
                      <w:szCs w:val="21"/>
                      <w14:textFill>
                        <w14:solidFill>
                          <w14:schemeClr w14:val="tx1"/>
                        </w14:solidFill>
                      </w14:textFill>
                    </w:rPr>
                    <w:t>kg/</w:t>
                  </w:r>
                  <w:r>
                    <w:rPr>
                      <w:rFonts w:hint="eastAsia"/>
                      <w:color w:val="000000" w:themeColor="text1"/>
                      <w:sz w:val="21"/>
                      <w:szCs w:val="21"/>
                      <w14:textFill>
                        <w14:solidFill>
                          <w14:schemeClr w14:val="tx1"/>
                        </w14:solidFill>
                      </w14:textFill>
                    </w:rPr>
                    <w:t>桶</w:t>
                  </w:r>
                </w:p>
              </w:tc>
              <w:tc>
                <w:tcPr>
                  <w:tcW w:w="720" w:type="pct"/>
                  <w:vAlign w:val="center"/>
                </w:tcPr>
                <w:p w14:paraId="1B46C37B">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16.97</w:t>
                  </w:r>
                  <w:r>
                    <w:rPr>
                      <w:color w:val="000000" w:themeColor="text1"/>
                      <w:sz w:val="21"/>
                      <w:szCs w:val="21"/>
                      <w14:textFill>
                        <w14:solidFill>
                          <w14:schemeClr w14:val="tx1"/>
                        </w14:solidFill>
                      </w14:textFill>
                    </w:rPr>
                    <w:t>t</w:t>
                  </w:r>
                </w:p>
              </w:tc>
              <w:tc>
                <w:tcPr>
                  <w:tcW w:w="711" w:type="pct"/>
                  <w:vAlign w:val="center"/>
                </w:tcPr>
                <w:p w14:paraId="04C5FFD5">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5t</w:t>
                  </w:r>
                </w:p>
              </w:tc>
              <w:tc>
                <w:tcPr>
                  <w:tcW w:w="667" w:type="pct"/>
                  <w:vAlign w:val="center"/>
                </w:tcPr>
                <w:p w14:paraId="3AF4400F">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仓库</w:t>
                  </w:r>
                </w:p>
              </w:tc>
              <w:tc>
                <w:tcPr>
                  <w:tcW w:w="581" w:type="pct"/>
                  <w:vAlign w:val="center"/>
                </w:tcPr>
                <w:p w14:paraId="474A4356">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喷涂</w:t>
                  </w:r>
                </w:p>
              </w:tc>
            </w:tr>
            <w:tr w14:paraId="390E4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0CBF1804">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794" w:type="pct"/>
                  <w:vAlign w:val="center"/>
                </w:tcPr>
                <w:p w14:paraId="1A08FEA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无锡焊丝</w:t>
                  </w:r>
                </w:p>
              </w:tc>
              <w:tc>
                <w:tcPr>
                  <w:tcW w:w="508" w:type="pct"/>
                  <w:vAlign w:val="center"/>
                </w:tcPr>
                <w:p w14:paraId="661D7AF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1" w:type="pct"/>
                  <w:vAlign w:val="center"/>
                </w:tcPr>
                <w:p w14:paraId="140462EE">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kg/</w:t>
                  </w:r>
                  <w:r>
                    <w:rPr>
                      <w:rFonts w:hint="eastAsia"/>
                      <w:color w:val="000000" w:themeColor="text1"/>
                      <w:sz w:val="21"/>
                      <w:szCs w:val="21"/>
                      <w14:textFill>
                        <w14:solidFill>
                          <w14:schemeClr w14:val="tx1"/>
                        </w14:solidFill>
                      </w14:textFill>
                    </w:rPr>
                    <w:t>包</w:t>
                  </w:r>
                </w:p>
              </w:tc>
              <w:tc>
                <w:tcPr>
                  <w:tcW w:w="720" w:type="pct"/>
                  <w:vAlign w:val="center"/>
                </w:tcPr>
                <w:p w14:paraId="0753F338">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.5</w:t>
                  </w:r>
                  <w:r>
                    <w:rPr>
                      <w:rFonts w:hint="eastAsia"/>
                      <w:color w:val="000000" w:themeColor="text1"/>
                      <w:sz w:val="21"/>
                      <w:szCs w:val="21"/>
                      <w14:textFill>
                        <w14:solidFill>
                          <w14:schemeClr w14:val="tx1"/>
                        </w14:solidFill>
                      </w14:textFill>
                    </w:rPr>
                    <w:t>t</w:t>
                  </w:r>
                </w:p>
              </w:tc>
              <w:tc>
                <w:tcPr>
                  <w:tcW w:w="711" w:type="pct"/>
                  <w:vAlign w:val="center"/>
                </w:tcPr>
                <w:p w14:paraId="3AA66C02">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t</w:t>
                  </w:r>
                </w:p>
              </w:tc>
              <w:tc>
                <w:tcPr>
                  <w:tcW w:w="667" w:type="pct"/>
                  <w:vAlign w:val="center"/>
                </w:tcPr>
                <w:p w14:paraId="1D8A5934">
                  <w:pPr>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仓库</w:t>
                  </w:r>
                </w:p>
              </w:tc>
              <w:tc>
                <w:tcPr>
                  <w:tcW w:w="581" w:type="pct"/>
                  <w:vAlign w:val="center"/>
                </w:tcPr>
                <w:p w14:paraId="5F8CD683">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焊接</w:t>
                  </w:r>
                </w:p>
              </w:tc>
            </w:tr>
            <w:tr w14:paraId="506E5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74224715">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794" w:type="pct"/>
                  <w:vAlign w:val="center"/>
                </w:tcPr>
                <w:p w14:paraId="620DF4F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铁管</w:t>
                  </w:r>
                </w:p>
              </w:tc>
              <w:tc>
                <w:tcPr>
                  <w:tcW w:w="508" w:type="pct"/>
                  <w:vAlign w:val="center"/>
                </w:tcPr>
                <w:p w14:paraId="4C7B061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1" w:type="pct"/>
                  <w:vAlign w:val="center"/>
                </w:tcPr>
                <w:p w14:paraId="26A564D8">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散装</w:t>
                  </w:r>
                </w:p>
              </w:tc>
              <w:tc>
                <w:tcPr>
                  <w:tcW w:w="720" w:type="pct"/>
                  <w:vAlign w:val="center"/>
                </w:tcPr>
                <w:p w14:paraId="321A66B2">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r>
                    <w:rPr>
                      <w:color w:val="000000" w:themeColor="text1"/>
                      <w:sz w:val="21"/>
                      <w:szCs w:val="21"/>
                      <w14:textFill>
                        <w14:solidFill>
                          <w14:schemeClr w14:val="tx1"/>
                        </w14:solidFill>
                      </w14:textFill>
                    </w:rPr>
                    <w:t>0</w:t>
                  </w:r>
                  <w:r>
                    <w:rPr>
                      <w:rFonts w:hint="eastAsia"/>
                      <w:color w:val="000000" w:themeColor="text1"/>
                      <w:sz w:val="21"/>
                      <w:szCs w:val="21"/>
                      <w14:textFill>
                        <w14:solidFill>
                          <w14:schemeClr w14:val="tx1"/>
                        </w14:solidFill>
                      </w14:textFill>
                    </w:rPr>
                    <w:t>t</w:t>
                  </w:r>
                  <w:r>
                    <w:rPr>
                      <w:color w:val="000000" w:themeColor="text1"/>
                      <w:sz w:val="21"/>
                      <w:szCs w:val="21"/>
                      <w14:textFill>
                        <w14:solidFill>
                          <w14:schemeClr w14:val="tx1"/>
                        </w14:solidFill>
                      </w14:textFill>
                    </w:rPr>
                    <w:t xml:space="preserve"> </w:t>
                  </w:r>
                </w:p>
              </w:tc>
              <w:tc>
                <w:tcPr>
                  <w:tcW w:w="711" w:type="pct"/>
                  <w:vAlign w:val="center"/>
                </w:tcPr>
                <w:p w14:paraId="39E2854B">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r>
                    <w:rPr>
                      <w:rFonts w:hint="eastAsia"/>
                      <w:color w:val="000000" w:themeColor="text1"/>
                      <w:sz w:val="21"/>
                      <w:szCs w:val="21"/>
                      <w14:textFill>
                        <w14:solidFill>
                          <w14:schemeClr w14:val="tx1"/>
                        </w14:solidFill>
                      </w14:textFill>
                    </w:rPr>
                    <w:t>t</w:t>
                  </w:r>
                </w:p>
              </w:tc>
              <w:tc>
                <w:tcPr>
                  <w:tcW w:w="667" w:type="pct"/>
                  <w:vAlign w:val="center"/>
                </w:tcPr>
                <w:p w14:paraId="422064C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仓库</w:t>
                  </w:r>
                </w:p>
              </w:tc>
              <w:tc>
                <w:tcPr>
                  <w:tcW w:w="581" w:type="pct"/>
                  <w:vAlign w:val="center"/>
                </w:tcPr>
                <w:p w14:paraId="6FC76B5A">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切割</w:t>
                  </w:r>
                </w:p>
              </w:tc>
            </w:tr>
            <w:tr w14:paraId="2688C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3324AB2F">
                  <w:pPr>
                    <w:pStyle w:val="57"/>
                    <w:snapToGrid w:val="0"/>
                    <w:jc w:val="center"/>
                    <w:rPr>
                      <w:color w:val="FF0000"/>
                      <w:sz w:val="21"/>
                      <w:szCs w:val="21"/>
                    </w:rPr>
                  </w:pPr>
                  <w:r>
                    <w:rPr>
                      <w:rFonts w:hint="eastAsia"/>
                      <w:color w:val="000000" w:themeColor="text1"/>
                      <w:sz w:val="21"/>
                      <w:szCs w:val="21"/>
                      <w14:textFill>
                        <w14:solidFill>
                          <w14:schemeClr w14:val="tx1"/>
                        </w14:solidFill>
                      </w14:textFill>
                    </w:rPr>
                    <w:t>6</w:t>
                  </w:r>
                </w:p>
              </w:tc>
              <w:tc>
                <w:tcPr>
                  <w:tcW w:w="794" w:type="pct"/>
                  <w:vAlign w:val="center"/>
                </w:tcPr>
                <w:p w14:paraId="20C7FE4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包装材料</w:t>
                  </w:r>
                </w:p>
              </w:tc>
              <w:tc>
                <w:tcPr>
                  <w:tcW w:w="508" w:type="pct"/>
                  <w:vAlign w:val="center"/>
                </w:tcPr>
                <w:p w14:paraId="3373636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1" w:type="pct"/>
                  <w:vAlign w:val="center"/>
                </w:tcPr>
                <w:p w14:paraId="6CB85BCC">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散装</w:t>
                  </w:r>
                </w:p>
              </w:tc>
              <w:tc>
                <w:tcPr>
                  <w:tcW w:w="720" w:type="pct"/>
                  <w:vAlign w:val="center"/>
                </w:tcPr>
                <w:p w14:paraId="77A69FF6">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w:t>
                  </w:r>
                  <w:r>
                    <w:rPr>
                      <w:rFonts w:hint="eastAsia"/>
                      <w:color w:val="000000" w:themeColor="text1"/>
                      <w:sz w:val="21"/>
                      <w:szCs w:val="21"/>
                      <w14:textFill>
                        <w14:solidFill>
                          <w14:schemeClr w14:val="tx1"/>
                        </w14:solidFill>
                      </w14:textFill>
                    </w:rPr>
                    <w:t>t</w:t>
                  </w:r>
                </w:p>
              </w:tc>
              <w:tc>
                <w:tcPr>
                  <w:tcW w:w="711" w:type="pct"/>
                  <w:vAlign w:val="center"/>
                </w:tcPr>
                <w:p w14:paraId="4E538E23">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r>
                    <w:rPr>
                      <w:rFonts w:hint="eastAsia"/>
                      <w:color w:val="000000" w:themeColor="text1"/>
                      <w:sz w:val="21"/>
                      <w:szCs w:val="21"/>
                      <w14:textFill>
                        <w14:solidFill>
                          <w14:schemeClr w14:val="tx1"/>
                        </w14:solidFill>
                      </w14:textFill>
                    </w:rPr>
                    <w:t>t</w:t>
                  </w:r>
                </w:p>
              </w:tc>
              <w:tc>
                <w:tcPr>
                  <w:tcW w:w="667" w:type="pct"/>
                  <w:vAlign w:val="center"/>
                </w:tcPr>
                <w:p w14:paraId="7680B29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仓库</w:t>
                  </w:r>
                </w:p>
              </w:tc>
              <w:tc>
                <w:tcPr>
                  <w:tcW w:w="581" w:type="pct"/>
                  <w:vAlign w:val="center"/>
                </w:tcPr>
                <w:p w14:paraId="42508846">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包装</w:t>
                  </w:r>
                </w:p>
              </w:tc>
            </w:tr>
            <w:tr w14:paraId="2B985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68327F52">
                  <w:pPr>
                    <w:pStyle w:val="57"/>
                    <w:snapToGrid w:val="0"/>
                    <w:jc w:val="center"/>
                    <w:rPr>
                      <w:color w:val="FF0000"/>
                      <w:sz w:val="21"/>
                      <w:szCs w:val="21"/>
                    </w:rPr>
                  </w:pPr>
                  <w:r>
                    <w:rPr>
                      <w:rFonts w:hint="eastAsia"/>
                      <w:color w:val="000000" w:themeColor="text1"/>
                      <w:sz w:val="21"/>
                      <w:szCs w:val="21"/>
                      <w14:textFill>
                        <w14:solidFill>
                          <w14:schemeClr w14:val="tx1"/>
                        </w14:solidFill>
                      </w14:textFill>
                    </w:rPr>
                    <w:t>7</w:t>
                  </w:r>
                </w:p>
              </w:tc>
              <w:tc>
                <w:tcPr>
                  <w:tcW w:w="794" w:type="pct"/>
                  <w:vAlign w:val="center"/>
                </w:tcPr>
                <w:p w14:paraId="744B608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机油</w:t>
                  </w:r>
                </w:p>
              </w:tc>
              <w:tc>
                <w:tcPr>
                  <w:tcW w:w="508" w:type="pct"/>
                  <w:vAlign w:val="center"/>
                </w:tcPr>
                <w:p w14:paraId="0AC3F36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701" w:type="pct"/>
                  <w:vAlign w:val="center"/>
                </w:tcPr>
                <w:p w14:paraId="1A5DFC75">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kg/</w:t>
                  </w:r>
                  <w:r>
                    <w:rPr>
                      <w:rFonts w:hint="eastAsia"/>
                      <w:color w:val="000000" w:themeColor="text1"/>
                      <w:sz w:val="21"/>
                      <w:szCs w:val="21"/>
                      <w14:textFill>
                        <w14:solidFill>
                          <w14:schemeClr w14:val="tx1"/>
                        </w14:solidFill>
                      </w14:textFill>
                    </w:rPr>
                    <w:t>桶</w:t>
                  </w:r>
                </w:p>
              </w:tc>
              <w:tc>
                <w:tcPr>
                  <w:tcW w:w="720" w:type="pct"/>
                  <w:vAlign w:val="center"/>
                </w:tcPr>
                <w:p w14:paraId="22AACAE7">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.02</w:t>
                  </w:r>
                  <w:r>
                    <w:rPr>
                      <w:rFonts w:hint="eastAsia"/>
                      <w:color w:val="000000" w:themeColor="text1"/>
                      <w:sz w:val="21"/>
                      <w:szCs w:val="21"/>
                      <w14:textFill>
                        <w14:solidFill>
                          <w14:schemeClr w14:val="tx1"/>
                        </w14:solidFill>
                      </w14:textFill>
                    </w:rPr>
                    <w:t>t</w:t>
                  </w:r>
                </w:p>
              </w:tc>
              <w:tc>
                <w:tcPr>
                  <w:tcW w:w="711" w:type="pct"/>
                  <w:vAlign w:val="center"/>
                </w:tcPr>
                <w:p w14:paraId="0D36D4D1">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.02</w:t>
                  </w:r>
                  <w:r>
                    <w:rPr>
                      <w:rFonts w:hint="eastAsia"/>
                      <w:color w:val="000000" w:themeColor="text1"/>
                      <w:sz w:val="21"/>
                      <w:szCs w:val="21"/>
                      <w14:textFill>
                        <w14:solidFill>
                          <w14:schemeClr w14:val="tx1"/>
                        </w14:solidFill>
                      </w14:textFill>
                    </w:rPr>
                    <w:t>t</w:t>
                  </w:r>
                </w:p>
              </w:tc>
              <w:tc>
                <w:tcPr>
                  <w:tcW w:w="667" w:type="pct"/>
                  <w:vAlign w:val="center"/>
                </w:tcPr>
                <w:p w14:paraId="0B8F01B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仓库</w:t>
                  </w:r>
                </w:p>
              </w:tc>
              <w:tc>
                <w:tcPr>
                  <w:tcW w:w="581" w:type="pct"/>
                  <w:vAlign w:val="center"/>
                </w:tcPr>
                <w:p w14:paraId="0840736A">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设备维修</w:t>
                  </w:r>
                </w:p>
              </w:tc>
            </w:tr>
            <w:tr w14:paraId="3AB9C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8" w:type="pct"/>
                  <w:vAlign w:val="center"/>
                </w:tcPr>
                <w:p w14:paraId="484E11C8">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w:t>
                  </w:r>
                </w:p>
              </w:tc>
              <w:tc>
                <w:tcPr>
                  <w:tcW w:w="794" w:type="pct"/>
                  <w:vAlign w:val="center"/>
                </w:tcPr>
                <w:p w14:paraId="760D138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腻子粉</w:t>
                  </w:r>
                </w:p>
              </w:tc>
              <w:tc>
                <w:tcPr>
                  <w:tcW w:w="508" w:type="pct"/>
                  <w:vAlign w:val="center"/>
                </w:tcPr>
                <w:p w14:paraId="6EB1FA4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1" w:type="pct"/>
                  <w:vAlign w:val="center"/>
                </w:tcPr>
                <w:p w14:paraId="3CDB5B79">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r>
                    <w:rPr>
                      <w:color w:val="000000" w:themeColor="text1"/>
                      <w:sz w:val="21"/>
                      <w:szCs w:val="21"/>
                      <w14:textFill>
                        <w14:solidFill>
                          <w14:schemeClr w14:val="tx1"/>
                        </w14:solidFill>
                      </w14:textFill>
                    </w:rPr>
                    <w:t>kg/</w:t>
                  </w:r>
                  <w:r>
                    <w:rPr>
                      <w:rFonts w:hint="eastAsia"/>
                      <w:color w:val="000000" w:themeColor="text1"/>
                      <w:sz w:val="21"/>
                      <w:szCs w:val="21"/>
                      <w14:textFill>
                        <w14:solidFill>
                          <w14:schemeClr w14:val="tx1"/>
                        </w14:solidFill>
                      </w14:textFill>
                    </w:rPr>
                    <w:t>包</w:t>
                  </w:r>
                </w:p>
              </w:tc>
              <w:tc>
                <w:tcPr>
                  <w:tcW w:w="720" w:type="pct"/>
                  <w:vAlign w:val="center"/>
                </w:tcPr>
                <w:p w14:paraId="4650F72A">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2.4t</w:t>
                  </w:r>
                </w:p>
              </w:tc>
              <w:tc>
                <w:tcPr>
                  <w:tcW w:w="711" w:type="pct"/>
                  <w:vAlign w:val="center"/>
                </w:tcPr>
                <w:p w14:paraId="2B26E7AB">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0.2t</w:t>
                  </w:r>
                </w:p>
              </w:tc>
              <w:tc>
                <w:tcPr>
                  <w:tcW w:w="667" w:type="pct"/>
                  <w:vAlign w:val="center"/>
                </w:tcPr>
                <w:p w14:paraId="0E9243B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仓库</w:t>
                  </w:r>
                </w:p>
              </w:tc>
              <w:tc>
                <w:tcPr>
                  <w:tcW w:w="581" w:type="pct"/>
                  <w:vAlign w:val="center"/>
                </w:tcPr>
                <w:p w14:paraId="1C3BBC76">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批灰</w:t>
                  </w:r>
                </w:p>
              </w:tc>
            </w:tr>
          </w:tbl>
          <w:p w14:paraId="0F819DBB">
            <w:pPr>
              <w:spacing w:line="360" w:lineRule="auto"/>
              <w:jc w:val="center"/>
              <w:rPr>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表</w:t>
            </w:r>
            <w:r>
              <w:rPr>
                <w:rFonts w:hAnsi="宋体"/>
                <w:b/>
                <w:color w:val="000000" w:themeColor="text1"/>
                <w:szCs w:val="21"/>
                <w14:textFill>
                  <w14:solidFill>
                    <w14:schemeClr w14:val="tx1"/>
                  </w14:solidFill>
                </w14:textFill>
              </w:rPr>
              <w:t>2</w:t>
            </w:r>
            <w:r>
              <w:rPr>
                <w:rFonts w:hint="eastAsia" w:hAnsi="宋体"/>
                <w:b/>
                <w:color w:val="000000" w:themeColor="text1"/>
                <w:szCs w:val="21"/>
                <w14:textFill>
                  <w14:solidFill>
                    <w14:schemeClr w14:val="tx1"/>
                  </w14:solidFill>
                </w14:textFill>
              </w:rPr>
              <w:t>-4主要原辅料物化性质一览表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3346"/>
              <w:gridCol w:w="3893"/>
            </w:tblGrid>
            <w:tr w14:paraId="6FC7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blHeader/>
              </w:trPr>
              <w:tc>
                <w:tcPr>
                  <w:tcW w:w="1333" w:type="dxa"/>
                  <w:vAlign w:val="center"/>
                </w:tcPr>
                <w:p w14:paraId="7A8CC5C7">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原辅料名称</w:t>
                  </w:r>
                </w:p>
              </w:tc>
              <w:tc>
                <w:tcPr>
                  <w:tcW w:w="3346" w:type="dxa"/>
                  <w:vAlign w:val="center"/>
                </w:tcPr>
                <w:p w14:paraId="058C6200">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主要成分</w:t>
                  </w:r>
                </w:p>
              </w:tc>
              <w:tc>
                <w:tcPr>
                  <w:tcW w:w="3893" w:type="dxa"/>
                  <w:vAlign w:val="center"/>
                </w:tcPr>
                <w:p w14:paraId="75985378">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物质理化特性</w:t>
                  </w:r>
                </w:p>
              </w:tc>
            </w:tr>
            <w:tr w14:paraId="4912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333" w:type="dxa"/>
                  <w:vAlign w:val="center"/>
                </w:tcPr>
                <w:p w14:paraId="41A38B11">
                  <w:pPr>
                    <w:jc w:val="center"/>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水性油漆</w:t>
                  </w:r>
                </w:p>
              </w:tc>
              <w:tc>
                <w:tcPr>
                  <w:tcW w:w="3346" w:type="dxa"/>
                  <w:vAlign w:val="center"/>
                </w:tcPr>
                <w:p w14:paraId="3A1ADF05">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成分</w:t>
                  </w:r>
                  <w:r>
                    <w:rPr>
                      <w:color w:val="000000" w:themeColor="text1"/>
                      <w:szCs w:val="21"/>
                      <w14:textFill>
                        <w14:solidFill>
                          <w14:schemeClr w14:val="tx1"/>
                        </w14:solidFill>
                      </w14:textFill>
                    </w:rPr>
                    <w:t>：</w:t>
                  </w:r>
                </w:p>
                <w:p w14:paraId="33EAA679">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水性丙烯酸树脂40-60</w:t>
                  </w:r>
                  <w:r>
                    <w:rPr>
                      <w:color w:val="000000" w:themeColor="text1"/>
                      <w:szCs w:val="21"/>
                      <w14:textFill>
                        <w14:solidFill>
                          <w14:schemeClr w14:val="tx1"/>
                        </w14:solidFill>
                      </w14:textFill>
                    </w:rPr>
                    <w:t>%</w:t>
                  </w:r>
                </w:p>
                <w:p w14:paraId="4C0139C3">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颜、填料0~2</w:t>
                  </w:r>
                  <w:r>
                    <w:rPr>
                      <w:color w:val="000000" w:themeColor="text1"/>
                      <w:szCs w:val="21"/>
                      <w14:textFill>
                        <w14:solidFill>
                          <w14:schemeClr w14:val="tx1"/>
                        </w14:solidFill>
                      </w14:textFill>
                    </w:rPr>
                    <w:t>0%</w:t>
                  </w:r>
                </w:p>
                <w:p w14:paraId="6611C474">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表面活性剂5~10</w:t>
                  </w:r>
                  <w:r>
                    <w:rPr>
                      <w:color w:val="000000" w:themeColor="text1"/>
                      <w:szCs w:val="21"/>
                      <w14:textFill>
                        <w14:solidFill>
                          <w14:schemeClr w14:val="tx1"/>
                        </w14:solidFill>
                      </w14:textFill>
                    </w:rPr>
                    <w:t>%</w:t>
                  </w:r>
                </w:p>
                <w:p w14:paraId="52AA9571">
                  <w:pPr>
                    <w:pStyle w:val="49"/>
                    <w:rPr>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去离子水10~45</w:t>
                  </w:r>
                  <w:r>
                    <w:rPr>
                      <w:rFonts w:ascii="Times New Roman"/>
                      <w:color w:val="000000" w:themeColor="text1"/>
                      <w:sz w:val="21"/>
                      <w:szCs w:val="21"/>
                      <w14:textFill>
                        <w14:solidFill>
                          <w14:schemeClr w14:val="tx1"/>
                        </w14:solidFill>
                      </w14:textFill>
                    </w:rPr>
                    <w:t>%</w:t>
                  </w:r>
                </w:p>
              </w:tc>
              <w:tc>
                <w:tcPr>
                  <w:tcW w:w="3893" w:type="dxa"/>
                  <w:vAlign w:val="center"/>
                </w:tcPr>
                <w:p w14:paraId="75340131">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形态：液体，</w:t>
                  </w:r>
                </w:p>
                <w:p w14:paraId="671E9947">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颜色：光油或各色，</w:t>
                  </w:r>
                </w:p>
                <w:p w14:paraId="1BEB28F7">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气味：无明显的刺激气味，</w:t>
                  </w:r>
                </w:p>
                <w:p w14:paraId="278F3BFC">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pH值：6.0~8.0，</w:t>
                  </w:r>
                </w:p>
                <w:p w14:paraId="3CFD0B7D">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固含量：60.78%，</w:t>
                  </w:r>
                </w:p>
                <w:p w14:paraId="52AE8530">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挥发性有机物含量：129</w:t>
                  </w:r>
                  <w:r>
                    <w:rPr>
                      <w:color w:val="000000" w:themeColor="text1"/>
                      <w:szCs w:val="21"/>
                      <w14:textFill>
                        <w14:solidFill>
                          <w14:schemeClr w14:val="tx1"/>
                        </w14:solidFill>
                      </w14:textFill>
                    </w:rPr>
                    <w:t>g/L</w:t>
                  </w:r>
                  <w:r>
                    <w:rPr>
                      <w:rFonts w:hint="eastAsia"/>
                      <w:color w:val="000000" w:themeColor="text1"/>
                      <w:szCs w:val="21"/>
                      <w14:textFill>
                        <w14:solidFill>
                          <w14:schemeClr w14:val="tx1"/>
                        </w14:solidFill>
                      </w14:textFill>
                    </w:rPr>
                    <w:t>，</w:t>
                  </w:r>
                </w:p>
                <w:p w14:paraId="0C3866EB">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熔点：﹤0℃，</w:t>
                  </w:r>
                </w:p>
                <w:p w14:paraId="6AD10F19">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闪点：&gt;100℃，</w:t>
                  </w:r>
                </w:p>
                <w:p w14:paraId="713D2817">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中溶解性：完全混溶，</w:t>
                  </w:r>
                </w:p>
                <w:p w14:paraId="5237FDDB">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密度：1.05~1.20g/cm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w:t>
                  </w:r>
                </w:p>
              </w:tc>
            </w:tr>
            <w:tr w14:paraId="2B964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333" w:type="dxa"/>
                  <w:vAlign w:val="center"/>
                </w:tcPr>
                <w:p w14:paraId="6791ED35">
                  <w:pPr>
                    <w:jc w:val="center"/>
                    <w:rPr>
                      <w:rFonts w:hint="eastAsia" w:ascii="宋体" w:hAnsi="宋体" w:cs="宋体"/>
                      <w:color w:val="7030A0"/>
                      <w:szCs w:val="21"/>
                    </w:rPr>
                  </w:pPr>
                  <w:r>
                    <w:rPr>
                      <w:rFonts w:hint="eastAsia" w:ascii="宋体" w:hAnsi="宋体" w:cs="宋体"/>
                      <w:color w:val="000000" w:themeColor="text1"/>
                      <w:szCs w:val="21"/>
                      <w14:textFill>
                        <w14:solidFill>
                          <w14:schemeClr w14:val="tx1"/>
                        </w14:solidFill>
                      </w14:textFill>
                    </w:rPr>
                    <w:t>无铅焊丝</w:t>
                  </w:r>
                </w:p>
              </w:tc>
              <w:tc>
                <w:tcPr>
                  <w:tcW w:w="3346" w:type="dxa"/>
                  <w:vAlign w:val="center"/>
                </w:tcPr>
                <w:p w14:paraId="64460B34">
                  <w:pPr>
                    <w:jc w:val="left"/>
                    <w:rPr>
                      <w:color w:val="000000" w:themeColor="text1"/>
                      <w:szCs w:val="21"/>
                      <w14:textFill>
                        <w14:solidFill>
                          <w14:schemeClr w14:val="tx1"/>
                        </w14:solidFill>
                      </w14:textFill>
                    </w:rPr>
                  </w:pPr>
                  <w:r>
                    <w:rPr>
                      <w:color w:val="000000" w:themeColor="text1"/>
                      <w:szCs w:val="21"/>
                      <w:shd w:val="clear" w:color="auto" w:fill="FFFFFF"/>
                      <w14:textFill>
                        <w14:solidFill>
                          <w14:schemeClr w14:val="tx1"/>
                        </w14:solidFill>
                      </w14:textFill>
                    </w:rPr>
                    <w:t>主要为金属材料，</w:t>
                  </w:r>
                  <w:r>
                    <w:rPr>
                      <w:color w:val="000000" w:themeColor="text1"/>
                      <w:szCs w:val="21"/>
                      <w14:textFill>
                        <w14:solidFill>
                          <w14:schemeClr w14:val="tx1"/>
                        </w14:solidFill>
                      </w14:textFill>
                    </w:rPr>
                    <w:t>主要成分：C</w:t>
                  </w:r>
                  <w:r>
                    <w:rPr>
                      <w:rFonts w:hint="eastAsia"/>
                      <w:color w:val="000000" w:themeColor="text1"/>
                      <w:szCs w:val="21"/>
                      <w14:textFill>
                        <w14:solidFill>
                          <w14:schemeClr w14:val="tx1"/>
                        </w14:solidFill>
                      </w14:textFill>
                    </w:rPr>
                    <w:t>：0.06~0.15</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Si：0.80~1.15%、</w:t>
                  </w:r>
                  <w:r>
                    <w:rPr>
                      <w:color w:val="000000" w:themeColor="text1"/>
                      <w:szCs w:val="21"/>
                      <w14:textFill>
                        <w14:solidFill>
                          <w14:schemeClr w14:val="tx1"/>
                        </w14:solidFill>
                      </w14:textFill>
                    </w:rPr>
                    <w:t>Mn：</w:t>
                  </w:r>
                  <w:r>
                    <w:rPr>
                      <w:rFonts w:hint="eastAsia"/>
                      <w:color w:val="000000" w:themeColor="text1"/>
                      <w:szCs w:val="21"/>
                      <w14:textFill>
                        <w14:solidFill>
                          <w14:schemeClr w14:val="tx1"/>
                        </w14:solidFill>
                      </w14:textFill>
                    </w:rPr>
                    <w:t>1.40~1.85</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P</w:t>
                  </w:r>
                  <w:r>
                    <w:rPr>
                      <w:rFonts w:hint="eastAsia"/>
                      <w:color w:val="000000" w:themeColor="text1"/>
                      <w:szCs w:val="21"/>
                      <w14:textFill>
                        <w14:solidFill>
                          <w14:schemeClr w14:val="tx1"/>
                        </w14:solidFill>
                      </w14:textFill>
                    </w:rPr>
                    <w:t>：≤0.025</w:t>
                  </w:r>
                  <w:r>
                    <w:rPr>
                      <w:color w:val="000000" w:themeColor="text1"/>
                      <w:szCs w:val="21"/>
                      <w14:textFill>
                        <w14:solidFill>
                          <w14:schemeClr w14:val="tx1"/>
                        </w14:solidFill>
                      </w14:textFill>
                    </w:rPr>
                    <w:t>%、S</w:t>
                  </w:r>
                  <w:r>
                    <w:rPr>
                      <w:rFonts w:hint="eastAsia"/>
                      <w:color w:val="000000" w:themeColor="text1"/>
                      <w:szCs w:val="21"/>
                      <w14:textFill>
                        <w14:solidFill>
                          <w14:schemeClr w14:val="tx1"/>
                        </w14:solidFill>
                      </w14:textFill>
                    </w:rPr>
                    <w:t>：≤0.025</w:t>
                  </w:r>
                  <w:r>
                    <w:rPr>
                      <w:color w:val="000000" w:themeColor="text1"/>
                      <w:szCs w:val="21"/>
                      <w14:textFill>
                        <w14:solidFill>
                          <w14:schemeClr w14:val="tx1"/>
                        </w14:solidFill>
                      </w14:textFill>
                    </w:rPr>
                    <w:t>%、Cu</w:t>
                  </w:r>
                  <w:r>
                    <w:rPr>
                      <w:rFonts w:hint="eastAsia"/>
                      <w:color w:val="000000" w:themeColor="text1"/>
                      <w:szCs w:val="21"/>
                      <w14:textFill>
                        <w14:solidFill>
                          <w14:schemeClr w14:val="tx1"/>
                        </w14:solidFill>
                      </w14:textFill>
                    </w:rPr>
                    <w:t>：0.50</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、Fe余量</w:t>
                  </w:r>
                  <w:r>
                    <w:rPr>
                      <w:color w:val="000000" w:themeColor="text1"/>
                      <w:szCs w:val="21"/>
                      <w14:textFill>
                        <w14:solidFill>
                          <w14:schemeClr w14:val="tx1"/>
                        </w14:solidFill>
                      </w14:textFill>
                    </w:rPr>
                    <w:t>。</w:t>
                  </w:r>
                </w:p>
              </w:tc>
              <w:tc>
                <w:tcPr>
                  <w:tcW w:w="3893" w:type="dxa"/>
                  <w:vAlign w:val="center"/>
                </w:tcPr>
                <w:p w14:paraId="6E28BAE1">
                  <w:pPr>
                    <w:rPr>
                      <w:color w:val="000000" w:themeColor="text1"/>
                      <w:szCs w:val="21"/>
                      <w14:textFill>
                        <w14:solidFill>
                          <w14:schemeClr w14:val="tx1"/>
                        </w14:solidFill>
                      </w14:textFill>
                    </w:rPr>
                  </w:pPr>
                  <w:r>
                    <w:rPr>
                      <w:color w:val="000000" w:themeColor="text1"/>
                      <w:szCs w:val="21"/>
                      <w:shd w:val="clear" w:color="auto" w:fill="FFFFFF"/>
                      <w14:textFill>
                        <w14:solidFill>
                          <w14:schemeClr w14:val="tx1"/>
                        </w14:solidFill>
                      </w14:textFill>
                    </w:rPr>
                    <w:t>灰金属在1300℃以上，熔点1500-1650℃之间，</w:t>
                  </w:r>
                  <w:r>
                    <w:rPr>
                      <w:color w:val="000000" w:themeColor="text1"/>
                      <w:szCs w:val="21"/>
                      <w14:textFill>
                        <w14:solidFill>
                          <w14:schemeClr w14:val="tx1"/>
                        </w14:solidFill>
                      </w14:textFill>
                    </w:rPr>
                    <w:t>焊接过程中作为填充金属或同时作为导电用的金属丝焊接材料。</w:t>
                  </w:r>
                  <w:r>
                    <w:rPr>
                      <w:color w:val="000000" w:themeColor="text1"/>
                      <w:szCs w:val="21"/>
                      <w:shd w:val="clear" w:color="auto" w:fill="FFFFFF"/>
                      <w14:textFill>
                        <w14:solidFill>
                          <w14:schemeClr w14:val="tx1"/>
                        </w14:solidFill>
                      </w14:textFill>
                    </w:rPr>
                    <w:t>色固体，密度：7.85g/cm</w:t>
                  </w:r>
                  <w:r>
                    <w:rPr>
                      <w:color w:val="000000" w:themeColor="text1"/>
                      <w:szCs w:val="21"/>
                      <w:shd w:val="clear" w:color="auto" w:fill="FFFFFF"/>
                      <w:vertAlign w:val="superscript"/>
                      <w14:textFill>
                        <w14:solidFill>
                          <w14:schemeClr w14:val="tx1"/>
                        </w14:solidFill>
                      </w14:textFill>
                    </w:rPr>
                    <w:t>3</w:t>
                  </w:r>
                  <w:r>
                    <w:rPr>
                      <w:rFonts w:hint="eastAsia"/>
                      <w:color w:val="000000" w:themeColor="text1"/>
                      <w:szCs w:val="21"/>
                      <w:shd w:val="clear" w:color="auto" w:fill="FFFFFF"/>
                      <w14:textFill>
                        <w14:solidFill>
                          <w14:schemeClr w14:val="tx1"/>
                        </w14:solidFill>
                      </w14:textFill>
                    </w:rPr>
                    <w:t>。</w:t>
                  </w:r>
                </w:p>
              </w:tc>
            </w:tr>
            <w:tr w14:paraId="6A310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333" w:type="dxa"/>
                  <w:vAlign w:val="center"/>
                </w:tcPr>
                <w:p w14:paraId="3C73A590">
                  <w:pPr>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腻子粉</w:t>
                  </w:r>
                </w:p>
              </w:tc>
              <w:tc>
                <w:tcPr>
                  <w:tcW w:w="3346" w:type="dxa"/>
                  <w:vAlign w:val="center"/>
                </w:tcPr>
                <w:p w14:paraId="3BA353EA">
                  <w:pPr>
                    <w:jc w:val="left"/>
                    <w:rPr>
                      <w:color w:val="000000" w:themeColor="text1"/>
                      <w:szCs w:val="21"/>
                      <w:shd w:val="clear" w:color="auto" w:fill="FFFFFF"/>
                      <w14:textFill>
                        <w14:solidFill>
                          <w14:schemeClr w14:val="tx1"/>
                        </w14:solidFill>
                      </w14:textFill>
                    </w:rPr>
                  </w:pPr>
                  <w:r>
                    <w:rPr>
                      <w:rFonts w:hint="eastAsia"/>
                      <w:color w:val="000000" w:themeColor="text1"/>
                      <w:szCs w:val="21"/>
                      <w:shd w:val="clear" w:color="auto" w:fill="FFFFFF"/>
                      <w14:textFill>
                        <w14:solidFill>
                          <w14:schemeClr w14:val="tx1"/>
                        </w14:solidFill>
                      </w14:textFill>
                    </w:rPr>
                    <w:t>氢氧化钙＜35%、硅酸盐水泥＜50%、滑石粉10~15%、纤维＜3%、乳胶粉＜2%。</w:t>
                  </w:r>
                </w:p>
              </w:tc>
              <w:tc>
                <w:tcPr>
                  <w:tcW w:w="3893" w:type="dxa"/>
                  <w:vAlign w:val="center"/>
                </w:tcPr>
                <w:p w14:paraId="03D7003E">
                  <w:pPr>
                    <w:rPr>
                      <w:color w:val="000000" w:themeColor="text1"/>
                      <w:szCs w:val="21"/>
                      <w:shd w:val="clear" w:color="auto" w:fill="FFFFFF"/>
                      <w14:textFill>
                        <w14:solidFill>
                          <w14:schemeClr w14:val="tx1"/>
                        </w14:solidFill>
                      </w14:textFill>
                    </w:rPr>
                  </w:pPr>
                  <w:r>
                    <w:rPr>
                      <w:rFonts w:hint="eastAsia"/>
                      <w:color w:val="000000" w:themeColor="text1"/>
                      <w:szCs w:val="21"/>
                      <w:shd w:val="clear" w:color="auto" w:fill="FFFFFF"/>
                      <w14:textFill>
                        <w14:solidFill>
                          <w14:schemeClr w14:val="tx1"/>
                        </w14:solidFill>
                      </w14:textFill>
                    </w:rPr>
                    <w:t>白色粉末，细度：腻子粉的细度通常≥</w:t>
                  </w:r>
                  <w:r>
                    <w:rPr>
                      <w:color w:val="000000" w:themeColor="text1"/>
                      <w:szCs w:val="21"/>
                      <w:shd w:val="clear" w:color="auto" w:fill="FFFFFF"/>
                      <w14:textFill>
                        <w14:solidFill>
                          <w14:schemeClr w14:val="tx1"/>
                        </w14:solidFill>
                      </w14:textFill>
                    </w:rPr>
                    <w:t>330</w:t>
                  </w:r>
                  <w:r>
                    <w:rPr>
                      <w:rFonts w:hint="eastAsia"/>
                      <w:color w:val="000000" w:themeColor="text1"/>
                      <w:szCs w:val="21"/>
                      <w:shd w:val="clear" w:color="auto" w:fill="FFFFFF"/>
                      <w14:textFill>
                        <w14:solidFill>
                          <w14:schemeClr w14:val="tx1"/>
                        </w14:solidFill>
                      </w14:textFill>
                    </w:rPr>
                    <w:t>目，确保施工时的均匀性和墙面处理的细腻度。白度：固化后白度可达90%以上，硬度：固化后硬度可达莫氏2.5级，具备基础耐磨性。</w:t>
                  </w:r>
                </w:p>
              </w:tc>
            </w:tr>
            <w:tr w14:paraId="5C0DE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8572" w:type="dxa"/>
                  <w:gridSpan w:val="3"/>
                  <w:vAlign w:val="center"/>
                </w:tcPr>
                <w:p w14:paraId="3F20F9FD">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注</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本项目所用</w:t>
                  </w:r>
                  <w:r>
                    <w:rPr>
                      <w:rFonts w:hint="eastAsia"/>
                      <w:color w:val="000000" w:themeColor="text1"/>
                      <w:szCs w:val="21"/>
                      <w14:textFill>
                        <w14:solidFill>
                          <w14:schemeClr w14:val="tx1"/>
                        </w14:solidFill>
                      </w14:textFill>
                    </w:rPr>
                    <w:t>水性油漆为已混合的成品，可以直接</w:t>
                  </w:r>
                  <w:r>
                    <w:rPr>
                      <w:color w:val="000000" w:themeColor="text1"/>
                      <w:szCs w:val="21"/>
                      <w14:textFill>
                        <w14:solidFill>
                          <w14:schemeClr w14:val="tx1"/>
                        </w14:solidFill>
                      </w14:textFill>
                    </w:rPr>
                    <w:t>使用</w:t>
                  </w:r>
                  <w:r>
                    <w:rPr>
                      <w:rFonts w:hint="eastAsia"/>
                      <w:color w:val="000000" w:themeColor="text1"/>
                      <w:szCs w:val="21"/>
                      <w14:textFill>
                        <w14:solidFill>
                          <w14:schemeClr w14:val="tx1"/>
                        </w14:solidFill>
                      </w14:textFill>
                    </w:rPr>
                    <w:t>；</w:t>
                  </w:r>
                </w:p>
                <w:p w14:paraId="6F2334C7">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2、根据企业提供的水性油漆检测报告（见附件</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-2）可知，</w:t>
                  </w:r>
                  <w:r>
                    <w:rPr>
                      <w:color w:val="000000" w:themeColor="text1"/>
                      <w:szCs w:val="21"/>
                      <w14:textFill>
                        <w14:solidFill>
                          <w14:schemeClr w14:val="tx1"/>
                        </w14:solidFill>
                      </w14:textFill>
                    </w:rPr>
                    <w:t>水性</w:t>
                  </w:r>
                  <w:r>
                    <w:rPr>
                      <w:rFonts w:hint="eastAsia"/>
                      <w:color w:val="000000" w:themeColor="text1"/>
                      <w:szCs w:val="21"/>
                      <w14:textFill>
                        <w14:solidFill>
                          <w14:schemeClr w14:val="tx1"/>
                        </w14:solidFill>
                      </w14:textFill>
                    </w:rPr>
                    <w:t>油漆</w:t>
                  </w:r>
                  <w:r>
                    <w:rPr>
                      <w:color w:val="000000" w:themeColor="text1"/>
                      <w:szCs w:val="21"/>
                      <w14:textFill>
                        <w14:solidFill>
                          <w14:schemeClr w14:val="tx1"/>
                        </w14:solidFill>
                      </w14:textFill>
                    </w:rPr>
                    <w:t>VOCs含量为129g/L</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满足《低挥发性有机化合物含量涂料产品技术要求》（GB/T38597-2020）中表1</w:t>
                  </w:r>
                  <w:r>
                    <w:rPr>
                      <w:rFonts w:hint="eastAsia"/>
                      <w:color w:val="000000" w:themeColor="text1"/>
                      <w:szCs w:val="21"/>
                      <w14:textFill>
                        <w14:solidFill>
                          <w14:schemeClr w14:val="tx1"/>
                        </w14:solidFill>
                      </w14:textFill>
                    </w:rPr>
                    <w:t>木器涂料中色漆</w:t>
                  </w:r>
                  <w:r>
                    <w:rPr>
                      <w:color w:val="000000" w:themeColor="text1"/>
                      <w:szCs w:val="21"/>
                      <w14:textFill>
                        <w14:solidFill>
                          <w14:schemeClr w14:val="tx1"/>
                        </w14:solidFill>
                      </w14:textFill>
                    </w:rPr>
                    <w:t>VOCs含量不高于220g/L的要求。</w:t>
                  </w:r>
                </w:p>
                <w:p w14:paraId="34AC9647">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水性油漆的固含量通过</w:t>
                  </w:r>
                  <w:r>
                    <w:rPr>
                      <w:color w:val="000000" w:themeColor="text1"/>
                      <w:szCs w:val="21"/>
                      <w14:textFill>
                        <w14:solidFill>
                          <w14:schemeClr w14:val="tx1"/>
                        </w14:solidFill>
                      </w14:textFill>
                    </w:rPr>
                    <w:t>VOCs含量129g/L</w:t>
                  </w:r>
                  <w:r>
                    <w:rPr>
                      <w:rFonts w:hint="eastAsia"/>
                      <w:color w:val="000000" w:themeColor="text1"/>
                      <w:szCs w:val="21"/>
                      <w14:textFill>
                        <w14:solidFill>
                          <w14:schemeClr w14:val="tx1"/>
                        </w14:solidFill>
                      </w14:textFill>
                    </w:rPr>
                    <w:t>与密度1.05~1.20g/cm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（本次取1</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 xml:space="preserve"> g/cm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）可知，</w:t>
                  </w:r>
                  <w:r>
                    <w:rPr>
                      <w:color w:val="000000" w:themeColor="text1"/>
                      <w:szCs w:val="21"/>
                      <w14:textFill>
                        <w14:solidFill>
                          <w14:schemeClr w14:val="tx1"/>
                        </w14:solidFill>
                      </w14:textFill>
                    </w:rPr>
                    <w:t>VOCs含量</w:t>
                  </w:r>
                  <w:r>
                    <w:rPr>
                      <w:rFonts w:hint="eastAsia"/>
                      <w:color w:val="000000" w:themeColor="text1"/>
                      <w:szCs w:val="21"/>
                      <w14:textFill>
                        <w14:solidFill>
                          <w14:schemeClr w14:val="tx1"/>
                        </w14:solidFill>
                      </w14:textFill>
                    </w:rPr>
                    <w:t>约117.2g/kg，质量占比为11.72%；再扣除水含量27.50%（水性油漆水含量为10~45</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，本次计算取平均值为27.50%），故</w:t>
                  </w:r>
                  <w:r>
                    <w:rPr>
                      <w:rFonts w:hint="eastAsia" w:ascii="宋体" w:hAnsi="宋体" w:cs="宋体"/>
                      <w:color w:val="000000" w:themeColor="text1"/>
                      <w:szCs w:val="21"/>
                      <w14:textFill>
                        <w14:solidFill>
                          <w14:schemeClr w14:val="tx1"/>
                        </w14:solidFill>
                      </w14:textFill>
                    </w:rPr>
                    <w:t>水性油漆</w:t>
                  </w:r>
                  <w:r>
                    <w:rPr>
                      <w:rFonts w:hint="eastAsia"/>
                      <w:color w:val="000000" w:themeColor="text1"/>
                      <w:szCs w:val="21"/>
                      <w14:textFill>
                        <w14:solidFill>
                          <w14:schemeClr w14:val="tx1"/>
                        </w14:solidFill>
                      </w14:textFill>
                    </w:rPr>
                    <w:t>的固含量为100%-11.72%-27.50%=60.78%。</w:t>
                  </w:r>
                </w:p>
              </w:tc>
            </w:tr>
          </w:tbl>
          <w:p w14:paraId="1DA99C7A">
            <w:pPr>
              <w:pStyle w:val="49"/>
              <w:spacing w:line="360" w:lineRule="auto"/>
              <w:ind w:firstLine="482" w:firstLineChars="200"/>
              <w:rPr>
                <w:rFonts w:ascii="Times New Roman"/>
                <w:b/>
                <w:bCs/>
                <w:color w:val="000000" w:themeColor="text1"/>
                <w14:textFill>
                  <w14:solidFill>
                    <w14:schemeClr w14:val="tx1"/>
                  </w14:solidFill>
                </w14:textFill>
              </w:rPr>
            </w:pPr>
            <w:r>
              <w:rPr>
                <w:rFonts w:ascii="Times New Roman"/>
                <w:b/>
                <w:bCs/>
                <w:color w:val="000000" w:themeColor="text1"/>
                <w14:textFill>
                  <w14:solidFill>
                    <w14:schemeClr w14:val="tx1"/>
                  </w14:solidFill>
                </w14:textFill>
              </w:rPr>
              <w:t>依据喷涂行业对</w:t>
            </w:r>
            <w:r>
              <w:rPr>
                <w:rFonts w:hint="eastAsia" w:ascii="Times New Roman"/>
                <w:b/>
                <w:bCs/>
                <w:color w:val="000000" w:themeColor="text1"/>
                <w14:textFill>
                  <w14:solidFill>
                    <w14:schemeClr w14:val="tx1"/>
                  </w14:solidFill>
                </w14:textFill>
              </w:rPr>
              <w:t>水性涂料</w:t>
            </w:r>
            <w:r>
              <w:rPr>
                <w:rFonts w:ascii="Times New Roman"/>
                <w:b/>
                <w:bCs/>
                <w:color w:val="000000" w:themeColor="text1"/>
                <w14:textFill>
                  <w14:solidFill>
                    <w14:schemeClr w14:val="tx1"/>
                  </w14:solidFill>
                </w14:textFill>
              </w:rPr>
              <w:t>使用量的计算方法：</w:t>
            </w:r>
          </w:p>
          <w:p w14:paraId="165417C4">
            <w:pPr>
              <w:spacing w:line="360" w:lineRule="auto"/>
              <w:ind w:firstLine="482"/>
              <w:jc w:val="center"/>
              <w:rPr>
                <w:b/>
                <w:color w:val="000000" w:themeColor="text1"/>
                <w:szCs w:val="21"/>
                <w14:textFill>
                  <w14:solidFill>
                    <w14:schemeClr w14:val="tx1"/>
                  </w14:solidFill>
                </w14:textFill>
              </w:rPr>
            </w:pPr>
            <w:r>
              <w:rPr>
                <w:bCs/>
                <w:color w:val="000000" w:themeColor="text1"/>
                <w:sz w:val="24"/>
                <w14:textFill>
                  <w14:solidFill>
                    <w14:schemeClr w14:val="tx1"/>
                  </w14:solidFill>
                </w14:textFill>
              </w:rPr>
              <w:t>油漆用量=</w:t>
            </w:r>
            <w:r>
              <w:rPr>
                <w:bCs/>
                <w:color w:val="000000" w:themeColor="text1"/>
                <w:position w:val="-26"/>
                <w:sz w:val="24"/>
                <w14:textFill>
                  <w14:solidFill>
                    <w14:schemeClr w14:val="tx1"/>
                  </w14:solidFill>
                </w14:textFill>
              </w:rPr>
              <w:object>
                <v:shape id="_x0000_i1025" o:spt="75" type="#_x0000_t75" style="height:33.2pt;width:224.25pt;" o:ole="t" filled="f" o:preferrelative="t" stroked="f" coordsize="21600,21600">
                  <v:path/>
                  <v:fill on="f" focussize="0,0"/>
                  <v:stroke on="f" joinstyle="miter"/>
                  <v:imagedata r:id="rId20" o:title=""/>
                  <o:lock v:ext="edit" aspectratio="t"/>
                  <w10:wrap type="none"/>
                  <w10:anchorlock/>
                </v:shape>
                <o:OLEObject Type="Embed" ProgID="Equation.KSEE3" ShapeID="_x0000_i1025" DrawAspect="Content" ObjectID="_1468075725" r:id="rId19">
                  <o:LockedField>false</o:LockedField>
                </o:OLEObject>
              </w:object>
            </w:r>
          </w:p>
          <w:p w14:paraId="0298A01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5</w:t>
            </w:r>
            <w:r>
              <w:rPr>
                <w:b/>
                <w:bCs/>
                <w:color w:val="000000" w:themeColor="text1"/>
                <w:szCs w:val="21"/>
                <w14:textFill>
                  <w14:solidFill>
                    <w14:schemeClr w14:val="tx1"/>
                  </w14:solidFill>
                </w14:textFill>
              </w:rPr>
              <w:t xml:space="preserve"> 项目</w:t>
            </w:r>
            <w:r>
              <w:rPr>
                <w:rFonts w:hint="eastAsia"/>
                <w:b/>
                <w:bCs/>
                <w:color w:val="000000" w:themeColor="text1"/>
                <w:szCs w:val="21"/>
                <w14:textFill>
                  <w14:solidFill>
                    <w14:schemeClr w14:val="tx1"/>
                  </w14:solidFill>
                </w14:textFill>
              </w:rPr>
              <w:t>水性油漆用量</w:t>
            </w:r>
            <w:r>
              <w:rPr>
                <w:b/>
                <w:bCs/>
                <w:color w:val="000000" w:themeColor="text1"/>
                <w:szCs w:val="21"/>
                <w14:textFill>
                  <w14:solidFill>
                    <w14:schemeClr w14:val="tx1"/>
                  </w14:solidFill>
                </w14:textFill>
              </w:rPr>
              <w:t>分析</w:t>
            </w:r>
          </w:p>
          <w:tbl>
            <w:tblPr>
              <w:tblStyle w:val="40"/>
              <w:tblW w:w="85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1329"/>
              <w:gridCol w:w="941"/>
              <w:gridCol w:w="1188"/>
              <w:gridCol w:w="1368"/>
              <w:gridCol w:w="844"/>
              <w:gridCol w:w="992"/>
              <w:gridCol w:w="926"/>
            </w:tblGrid>
            <w:tr w14:paraId="24B3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7" w:type="dxa"/>
                  <w:vAlign w:val="center"/>
                </w:tcPr>
                <w:p w14:paraId="344232BA">
                  <w:pPr>
                    <w:pStyle w:val="49"/>
                    <w:adjustRightInd/>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项目</w:t>
                  </w:r>
                </w:p>
              </w:tc>
              <w:tc>
                <w:tcPr>
                  <w:tcW w:w="1329" w:type="dxa"/>
                  <w:vAlign w:val="center"/>
                </w:tcPr>
                <w:p w14:paraId="6AA0CF07">
                  <w:pPr>
                    <w:pStyle w:val="49"/>
                    <w:adjustRightInd/>
                    <w:ind w:left="-105" w:leftChars="-50" w:right="-105" w:rightChars="-50"/>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产品名称</w:t>
                  </w:r>
                </w:p>
              </w:tc>
              <w:tc>
                <w:tcPr>
                  <w:tcW w:w="941" w:type="dxa"/>
                  <w:vAlign w:val="center"/>
                </w:tcPr>
                <w:p w14:paraId="36333EFF">
                  <w:pPr>
                    <w:pStyle w:val="49"/>
                    <w:adjustRightInd/>
                    <w:ind w:left="-105" w:leftChars="-50" w:right="-105" w:rightChars="-50"/>
                    <w:jc w:val="center"/>
                    <w:rPr>
                      <w:rFonts w:ascii="Times New Roman"/>
                      <w:b/>
                      <w:bCs/>
                      <w:color w:val="000000" w:themeColor="text1"/>
                      <w:sz w:val="21"/>
                      <w:szCs w:val="2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喷涂</w:t>
                  </w:r>
                  <w:r>
                    <w:rPr>
                      <w:rFonts w:ascii="Times New Roman"/>
                      <w:b/>
                      <w:bCs/>
                      <w:color w:val="000000" w:themeColor="text1"/>
                      <w:sz w:val="21"/>
                      <w:szCs w:val="21"/>
                      <w14:textFill>
                        <w14:solidFill>
                          <w14:schemeClr w14:val="tx1"/>
                        </w14:solidFill>
                      </w14:textFill>
                    </w:rPr>
                    <w:t>面积（m</w:t>
                  </w:r>
                  <w:r>
                    <w:rPr>
                      <w:rFonts w:ascii="Times New Roman"/>
                      <w:b/>
                      <w:bCs/>
                      <w:color w:val="000000" w:themeColor="text1"/>
                      <w:sz w:val="21"/>
                      <w:szCs w:val="21"/>
                      <w:vertAlign w:val="superscript"/>
                      <w14:textFill>
                        <w14:solidFill>
                          <w14:schemeClr w14:val="tx1"/>
                        </w14:solidFill>
                      </w14:textFill>
                    </w:rPr>
                    <w:t>2</w:t>
                  </w:r>
                  <w:r>
                    <w:rPr>
                      <w:rFonts w:ascii="Times New Roman"/>
                      <w:b/>
                      <w:bCs/>
                      <w:color w:val="000000" w:themeColor="text1"/>
                      <w:sz w:val="21"/>
                      <w:szCs w:val="21"/>
                      <w14:textFill>
                        <w14:solidFill>
                          <w14:schemeClr w14:val="tx1"/>
                        </w14:solidFill>
                      </w14:textFill>
                    </w:rPr>
                    <w:t>/a）</w:t>
                  </w:r>
                </w:p>
              </w:tc>
              <w:tc>
                <w:tcPr>
                  <w:tcW w:w="1188" w:type="dxa"/>
                  <w:vAlign w:val="center"/>
                </w:tcPr>
                <w:p w14:paraId="6704955A">
                  <w:pPr>
                    <w:pStyle w:val="49"/>
                    <w:adjustRightInd/>
                    <w:ind w:left="-105" w:leftChars="-50" w:right="-105" w:rightChars="-50"/>
                    <w:jc w:val="center"/>
                    <w:rPr>
                      <w:rFonts w:ascii="Times New Roman"/>
                      <w:b/>
                      <w:bCs/>
                      <w:color w:val="7030A0"/>
                      <w:sz w:val="21"/>
                      <w:szCs w:val="21"/>
                    </w:rPr>
                  </w:pPr>
                  <w:r>
                    <w:rPr>
                      <w:rFonts w:hint="eastAsia" w:ascii="Times New Roman"/>
                      <w:b/>
                      <w:bCs/>
                      <w:color w:val="000000" w:themeColor="text1"/>
                      <w:sz w:val="21"/>
                      <w:szCs w:val="21"/>
                      <w14:textFill>
                        <w14:solidFill>
                          <w14:schemeClr w14:val="tx1"/>
                        </w14:solidFill>
                      </w14:textFill>
                    </w:rPr>
                    <w:t>油漆</w:t>
                  </w:r>
                  <w:r>
                    <w:rPr>
                      <w:rFonts w:ascii="Times New Roman"/>
                      <w:b/>
                      <w:bCs/>
                      <w:color w:val="000000" w:themeColor="text1"/>
                      <w:sz w:val="21"/>
                      <w:szCs w:val="21"/>
                      <w14:textFill>
                        <w14:solidFill>
                          <w14:schemeClr w14:val="tx1"/>
                        </w14:solidFill>
                      </w14:textFill>
                    </w:rPr>
                    <w:t>密度（</w:t>
                  </w:r>
                  <w:r>
                    <w:rPr>
                      <w:rFonts w:hint="eastAsia" w:ascii="Times New Roman"/>
                      <w:b/>
                      <w:bCs/>
                      <w:color w:val="000000" w:themeColor="text1"/>
                      <w:sz w:val="21"/>
                      <w:szCs w:val="21"/>
                      <w14:textFill>
                        <w14:solidFill>
                          <w14:schemeClr w14:val="tx1"/>
                        </w14:solidFill>
                      </w14:textFill>
                    </w:rPr>
                    <w:t>kg</w:t>
                  </w:r>
                  <w:r>
                    <w:rPr>
                      <w:rFonts w:ascii="Times New Roman"/>
                      <w:b/>
                      <w:bCs/>
                      <w:color w:val="000000" w:themeColor="text1"/>
                      <w:sz w:val="21"/>
                      <w:szCs w:val="21"/>
                      <w14:textFill>
                        <w14:solidFill>
                          <w14:schemeClr w14:val="tx1"/>
                        </w14:solidFill>
                      </w14:textFill>
                    </w:rPr>
                    <w:t>/L）</w:t>
                  </w:r>
                </w:p>
              </w:tc>
              <w:tc>
                <w:tcPr>
                  <w:tcW w:w="1368" w:type="dxa"/>
                  <w:vAlign w:val="center"/>
                </w:tcPr>
                <w:p w14:paraId="35E279EF">
                  <w:pPr>
                    <w:pStyle w:val="49"/>
                    <w:adjustRightInd/>
                    <w:ind w:left="-105" w:leftChars="-50" w:right="-105" w:rightChars="-50"/>
                    <w:jc w:val="center"/>
                    <w:rPr>
                      <w:rFonts w:ascii="Times New Roman"/>
                      <w:b/>
                      <w:bCs/>
                      <w:color w:val="000000" w:themeColor="text1"/>
                      <w:sz w:val="21"/>
                      <w:szCs w:val="2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湿膜</w:t>
                  </w:r>
                  <w:r>
                    <w:rPr>
                      <w:rFonts w:ascii="Times New Roman"/>
                      <w:b/>
                      <w:bCs/>
                      <w:color w:val="000000" w:themeColor="text1"/>
                      <w:sz w:val="21"/>
                      <w:szCs w:val="21"/>
                      <w14:textFill>
                        <w14:solidFill>
                          <w14:schemeClr w14:val="tx1"/>
                        </w14:solidFill>
                      </w14:textFill>
                    </w:rPr>
                    <w:t>厚度（mm）</w:t>
                  </w:r>
                </w:p>
              </w:tc>
              <w:tc>
                <w:tcPr>
                  <w:tcW w:w="844" w:type="dxa"/>
                  <w:vAlign w:val="center"/>
                </w:tcPr>
                <w:p w14:paraId="7BE8C8F0">
                  <w:pPr>
                    <w:pStyle w:val="49"/>
                    <w:adjustRightInd/>
                    <w:ind w:left="-105" w:leftChars="-50" w:right="-105" w:rightChars="-50"/>
                    <w:jc w:val="center"/>
                    <w:rPr>
                      <w:rFonts w:ascii="Times New Roman"/>
                      <w:b/>
                      <w:bCs/>
                      <w:color w:val="000000" w:themeColor="text1"/>
                      <w:sz w:val="21"/>
                      <w:szCs w:val="2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喷涂次数</w:t>
                  </w:r>
                </w:p>
              </w:tc>
              <w:tc>
                <w:tcPr>
                  <w:tcW w:w="992" w:type="dxa"/>
                  <w:vAlign w:val="center"/>
                </w:tcPr>
                <w:p w14:paraId="2C719FC4">
                  <w:pPr>
                    <w:pStyle w:val="49"/>
                    <w:adjustRightInd/>
                    <w:ind w:left="-105" w:leftChars="-50" w:right="-105" w:rightChars="-50"/>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附着率</w:t>
                  </w:r>
                  <w:r>
                    <w:rPr>
                      <w:rFonts w:hint="eastAsia" w:ascii="Times New Roman"/>
                      <w:b/>
                      <w:bCs/>
                      <w:color w:val="000000" w:themeColor="text1"/>
                      <w:sz w:val="21"/>
                      <w:szCs w:val="21"/>
                      <w14:textFill>
                        <w14:solidFill>
                          <w14:schemeClr w14:val="tx1"/>
                        </w14:solidFill>
                      </w14:textFill>
                    </w:rPr>
                    <w:t>%</w:t>
                  </w:r>
                </w:p>
              </w:tc>
              <w:tc>
                <w:tcPr>
                  <w:tcW w:w="926" w:type="dxa"/>
                  <w:vAlign w:val="center"/>
                </w:tcPr>
                <w:p w14:paraId="1E0AF05B">
                  <w:pPr>
                    <w:pStyle w:val="49"/>
                    <w:adjustRightInd/>
                    <w:ind w:left="-105" w:leftChars="-50" w:right="-105" w:rightChars="-50"/>
                    <w:jc w:val="center"/>
                    <w:rPr>
                      <w:rFonts w:ascii="Times New Roman"/>
                      <w:b/>
                      <w:bCs/>
                      <w:color w:val="000000" w:themeColor="text1"/>
                      <w:sz w:val="21"/>
                      <w:szCs w:val="2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涂料</w:t>
                  </w:r>
                  <w:r>
                    <w:rPr>
                      <w:rFonts w:ascii="Times New Roman"/>
                      <w:b/>
                      <w:bCs/>
                      <w:color w:val="000000" w:themeColor="text1"/>
                      <w:sz w:val="21"/>
                      <w:szCs w:val="21"/>
                      <w14:textFill>
                        <w14:solidFill>
                          <w14:schemeClr w14:val="tx1"/>
                        </w14:solidFill>
                      </w14:textFill>
                    </w:rPr>
                    <w:t>用量（t/a）</w:t>
                  </w:r>
                </w:p>
              </w:tc>
            </w:tr>
            <w:tr w14:paraId="02A6D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7" w:type="dxa"/>
                  <w:vAlign w:val="center"/>
                </w:tcPr>
                <w:p w14:paraId="18D50992">
                  <w:pPr>
                    <w:pStyle w:val="49"/>
                    <w:adjustRightInd/>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水性油漆</w:t>
                  </w:r>
                </w:p>
              </w:tc>
              <w:tc>
                <w:tcPr>
                  <w:tcW w:w="1329" w:type="dxa"/>
                  <w:vAlign w:val="center"/>
                </w:tcPr>
                <w:p w14:paraId="3FDCE02F">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会展展示搭建木制品</w:t>
                  </w:r>
                </w:p>
              </w:tc>
              <w:tc>
                <w:tcPr>
                  <w:tcW w:w="941" w:type="dxa"/>
                  <w:vAlign w:val="center"/>
                </w:tcPr>
                <w:p w14:paraId="1791431E">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115733</w:t>
                  </w:r>
                </w:p>
              </w:tc>
              <w:tc>
                <w:tcPr>
                  <w:tcW w:w="1188" w:type="dxa"/>
                  <w:vAlign w:val="center"/>
                </w:tcPr>
                <w:p w14:paraId="3AC899C9">
                  <w:pPr>
                    <w:widowControl/>
                    <w:jc w:val="center"/>
                    <w:textAlignment w:val="center"/>
                    <w:rPr>
                      <w:color w:val="7030A0"/>
                      <w:kern w:val="0"/>
                      <w:szCs w:val="21"/>
                    </w:rPr>
                  </w:pPr>
                  <w:r>
                    <w:rPr>
                      <w:rFonts w:hint="eastAsia"/>
                      <w:color w:val="000000" w:themeColor="text1"/>
                      <w:kern w:val="0"/>
                      <w:szCs w:val="21"/>
                      <w14:textFill>
                        <w14:solidFill>
                          <w14:schemeClr w14:val="tx1"/>
                        </w14:solidFill>
                      </w14:textFill>
                    </w:rPr>
                    <w:t>1.</w:t>
                  </w:r>
                  <w:r>
                    <w:rPr>
                      <w:color w:val="000000" w:themeColor="text1"/>
                      <w:kern w:val="0"/>
                      <w:szCs w:val="21"/>
                      <w14:textFill>
                        <w14:solidFill>
                          <w14:schemeClr w14:val="tx1"/>
                        </w14:solidFill>
                      </w14:textFill>
                    </w:rPr>
                    <w:t>1</w:t>
                  </w:r>
                </w:p>
              </w:tc>
              <w:tc>
                <w:tcPr>
                  <w:tcW w:w="1368" w:type="dxa"/>
                  <w:vAlign w:val="center"/>
                </w:tcPr>
                <w:p w14:paraId="3CC07D3A">
                  <w:pPr>
                    <w:pStyle w:val="49"/>
                    <w:adjustRightInd/>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0.08</w:t>
                  </w:r>
                </w:p>
              </w:tc>
              <w:tc>
                <w:tcPr>
                  <w:tcW w:w="844" w:type="dxa"/>
                  <w:vAlign w:val="center"/>
                </w:tcPr>
                <w:p w14:paraId="33D386E2">
                  <w:pPr>
                    <w:pStyle w:val="49"/>
                    <w:adjustRightInd/>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1</w:t>
                  </w:r>
                </w:p>
              </w:tc>
              <w:tc>
                <w:tcPr>
                  <w:tcW w:w="992" w:type="dxa"/>
                  <w:vAlign w:val="center"/>
                </w:tcPr>
                <w:p w14:paraId="54EA53E2">
                  <w:pPr>
                    <w:pStyle w:val="49"/>
                    <w:adjustRightInd/>
                    <w:jc w:val="center"/>
                    <w:rPr>
                      <w:rFonts w:ascii="Times New Roman"/>
                      <w:color w:val="0070C0"/>
                      <w:sz w:val="21"/>
                      <w:szCs w:val="21"/>
                    </w:rPr>
                  </w:pPr>
                  <w:r>
                    <w:rPr>
                      <w:rFonts w:hint="eastAsia" w:ascii="Times New Roman"/>
                      <w:color w:val="000000" w:themeColor="text1"/>
                      <w:sz w:val="21"/>
                      <w:szCs w:val="21"/>
                      <w14:textFill>
                        <w14:solidFill>
                          <w14:schemeClr w14:val="tx1"/>
                        </w14:solidFill>
                      </w14:textFill>
                    </w:rPr>
                    <w:t>60.0</w:t>
                  </w:r>
                </w:p>
              </w:tc>
              <w:tc>
                <w:tcPr>
                  <w:tcW w:w="926" w:type="dxa"/>
                  <w:vAlign w:val="center"/>
                </w:tcPr>
                <w:p w14:paraId="3CA0DF64">
                  <w:pPr>
                    <w:pStyle w:val="49"/>
                    <w:adjustRightInd/>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16.97</w:t>
                  </w:r>
                </w:p>
              </w:tc>
            </w:tr>
            <w:tr w14:paraId="6FC26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75" w:type="dxa"/>
                  <w:gridSpan w:val="8"/>
                </w:tcPr>
                <w:p w14:paraId="55310071">
                  <w:pPr>
                    <w:pStyle w:val="49"/>
                    <w:adjustRightInd/>
                    <w:ind w:firstLine="422" w:firstLineChars="200"/>
                    <w:rPr>
                      <w:color w:val="000000" w:themeColor="text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备注：</w:t>
                  </w:r>
                  <w:r>
                    <w:rPr>
                      <w:rFonts w:hint="eastAsia" w:ascii="Times New Roman"/>
                      <w:color w:val="000000" w:themeColor="text1"/>
                      <w:kern w:val="18"/>
                      <w:sz w:val="21"/>
                      <w:szCs w:val="21"/>
                      <w14:textFill>
                        <w14:solidFill>
                          <w14:schemeClr w14:val="tx1"/>
                        </w14:solidFill>
                      </w14:textFill>
                    </w:rPr>
                    <w:t>1、根据业主提供资料项目年产木制品产品120万件，约28</w:t>
                  </w:r>
                  <w:r>
                    <w:rPr>
                      <w:rFonts w:ascii="Times New Roman"/>
                      <w:color w:val="000000" w:themeColor="text1"/>
                      <w:kern w:val="18"/>
                      <w:sz w:val="21"/>
                      <w:szCs w:val="21"/>
                      <w14:textFill>
                        <w14:solidFill>
                          <w14:schemeClr w14:val="tx1"/>
                        </w14:solidFill>
                      </w14:textFill>
                    </w:rPr>
                    <w:t>00</w:t>
                  </w:r>
                  <w:r>
                    <w:rPr>
                      <w:rFonts w:hint="eastAsia" w:ascii="Times New Roman"/>
                      <w:color w:val="000000" w:themeColor="text1"/>
                      <w:kern w:val="18"/>
                      <w:sz w:val="21"/>
                      <w:szCs w:val="21"/>
                      <w14:textFill>
                        <w14:solidFill>
                          <w14:schemeClr w14:val="tx1"/>
                        </w14:solidFill>
                      </w14:textFill>
                    </w:rPr>
                    <w:t>m</w:t>
                  </w:r>
                  <w:r>
                    <w:rPr>
                      <w:rFonts w:ascii="Times New Roman"/>
                      <w:color w:val="000000" w:themeColor="text1"/>
                      <w:kern w:val="18"/>
                      <w:sz w:val="21"/>
                      <w:szCs w:val="21"/>
                      <w:vertAlign w:val="superscript"/>
                      <w14:textFill>
                        <w14:solidFill>
                          <w14:schemeClr w14:val="tx1"/>
                        </w14:solidFill>
                      </w14:textFill>
                    </w:rPr>
                    <w:t>3</w:t>
                  </w:r>
                  <w:r>
                    <w:rPr>
                      <w:rFonts w:hint="eastAsia" w:ascii="Times New Roman"/>
                      <w:color w:val="000000" w:themeColor="text1"/>
                      <w:kern w:val="18"/>
                      <w:sz w:val="21"/>
                      <w:szCs w:val="21"/>
                      <w14:textFill>
                        <w14:solidFill>
                          <w14:schemeClr w14:val="tx1"/>
                        </w14:solidFill>
                      </w14:textFill>
                    </w:rPr>
                    <w:t>，使用的木材板厚度为0</w:t>
                  </w:r>
                  <w:r>
                    <w:rPr>
                      <w:rFonts w:ascii="Times New Roman"/>
                      <w:color w:val="000000" w:themeColor="text1"/>
                      <w:kern w:val="18"/>
                      <w:sz w:val="21"/>
                      <w:szCs w:val="21"/>
                      <w14:textFill>
                        <w14:solidFill>
                          <w14:schemeClr w14:val="tx1"/>
                        </w14:solidFill>
                      </w14:textFill>
                    </w:rPr>
                    <w:t>.06</w:t>
                  </w:r>
                  <w:r>
                    <w:rPr>
                      <w:rFonts w:hint="eastAsia" w:ascii="Times New Roman"/>
                      <w:color w:val="000000" w:themeColor="text1"/>
                      <w:kern w:val="18"/>
                      <w:sz w:val="21"/>
                      <w:szCs w:val="21"/>
                      <w14:textFill>
                        <w14:solidFill>
                          <w14:schemeClr w14:val="tx1"/>
                        </w14:solidFill>
                      </w14:textFill>
                    </w:rPr>
                    <w:t>m，木板材双面表面积为93333m</w:t>
                  </w:r>
                  <w:r>
                    <w:rPr>
                      <w:rFonts w:hint="eastAsia" w:ascii="Times New Roman"/>
                      <w:color w:val="000000" w:themeColor="text1"/>
                      <w:kern w:val="18"/>
                      <w:sz w:val="21"/>
                      <w:szCs w:val="21"/>
                      <w:vertAlign w:val="superscript"/>
                      <w14:textFill>
                        <w14:solidFill>
                          <w14:schemeClr w14:val="tx1"/>
                        </w14:solidFill>
                      </w14:textFill>
                    </w:rPr>
                    <w:t>2</w:t>
                  </w:r>
                  <w:r>
                    <w:rPr>
                      <w:rFonts w:hint="eastAsia" w:ascii="Times New Roman"/>
                      <w:color w:val="000000" w:themeColor="text1"/>
                      <w:kern w:val="18"/>
                      <w:sz w:val="21"/>
                      <w:szCs w:val="21"/>
                      <w14:textFill>
                        <w14:solidFill>
                          <w14:schemeClr w14:val="tx1"/>
                        </w14:solidFill>
                      </w14:textFill>
                    </w:rPr>
                    <w:t>，根据产品尺寸，每块木板材以0</w:t>
                  </w:r>
                  <w:r>
                    <w:rPr>
                      <w:rFonts w:ascii="Times New Roman"/>
                      <w:color w:val="000000" w:themeColor="text1"/>
                      <w:kern w:val="18"/>
                      <w:sz w:val="21"/>
                      <w:szCs w:val="21"/>
                      <w14:textFill>
                        <w14:solidFill>
                          <w14:schemeClr w14:val="tx1"/>
                        </w14:solidFill>
                      </w14:textFill>
                    </w:rPr>
                    <w:t>.5</w:t>
                  </w:r>
                  <w:r>
                    <w:rPr>
                      <w:rFonts w:hint="eastAsia" w:ascii="Times New Roman"/>
                      <w:color w:val="000000" w:themeColor="text1"/>
                      <w:kern w:val="18"/>
                      <w:sz w:val="21"/>
                      <w:szCs w:val="21"/>
                      <w14:textFill>
                        <w14:solidFill>
                          <w14:schemeClr w14:val="tx1"/>
                        </w14:solidFill>
                      </w14:textFill>
                    </w:rPr>
                    <w:t>m的正方形估算木材板侧面（木材板厚度的四面）的面积为224</w:t>
                  </w:r>
                  <w:r>
                    <w:rPr>
                      <w:rFonts w:ascii="Times New Roman"/>
                      <w:color w:val="000000" w:themeColor="text1"/>
                      <w:kern w:val="18"/>
                      <w:sz w:val="21"/>
                      <w:szCs w:val="21"/>
                      <w14:textFill>
                        <w14:solidFill>
                          <w14:schemeClr w14:val="tx1"/>
                        </w14:solidFill>
                      </w14:textFill>
                    </w:rPr>
                    <w:t>00</w:t>
                  </w:r>
                  <w:r>
                    <w:rPr>
                      <w:rFonts w:hint="eastAsia" w:ascii="Times New Roman"/>
                      <w:color w:val="000000" w:themeColor="text1"/>
                      <w:kern w:val="18"/>
                      <w:sz w:val="21"/>
                      <w:szCs w:val="21"/>
                      <w14:textFill>
                        <w14:solidFill>
                          <w14:schemeClr w14:val="tx1"/>
                        </w14:solidFill>
                      </w14:textFill>
                    </w:rPr>
                    <w:t xml:space="preserve"> m</w:t>
                  </w:r>
                  <w:r>
                    <w:rPr>
                      <w:rFonts w:hint="eastAsia" w:ascii="Times New Roman"/>
                      <w:color w:val="000000" w:themeColor="text1"/>
                      <w:kern w:val="18"/>
                      <w:sz w:val="21"/>
                      <w:szCs w:val="21"/>
                      <w:vertAlign w:val="superscript"/>
                      <w14:textFill>
                        <w14:solidFill>
                          <w14:schemeClr w14:val="tx1"/>
                        </w14:solidFill>
                      </w14:textFill>
                    </w:rPr>
                    <w:t>2</w:t>
                  </w:r>
                  <w:r>
                    <w:rPr>
                      <w:rFonts w:hint="eastAsia" w:ascii="Times New Roman"/>
                      <w:color w:val="000000" w:themeColor="text1"/>
                      <w:kern w:val="18"/>
                      <w:sz w:val="21"/>
                      <w:szCs w:val="21"/>
                      <w14:textFill>
                        <w14:solidFill>
                          <w14:schemeClr w14:val="tx1"/>
                        </w14:solidFill>
                      </w14:textFill>
                    </w:rPr>
                    <w:t>，取木板材表面全部喷涂计项目喷涂面积，因此项目喷涂总面积为115733 m</w:t>
                  </w:r>
                  <w:r>
                    <w:rPr>
                      <w:rFonts w:hint="eastAsia" w:ascii="Times New Roman"/>
                      <w:color w:val="000000" w:themeColor="text1"/>
                      <w:kern w:val="18"/>
                      <w:sz w:val="21"/>
                      <w:szCs w:val="21"/>
                      <w:vertAlign w:val="superscript"/>
                      <w14:textFill>
                        <w14:solidFill>
                          <w14:schemeClr w14:val="tx1"/>
                        </w14:solidFill>
                      </w14:textFill>
                    </w:rPr>
                    <w:t>2</w:t>
                  </w:r>
                  <w:r>
                    <w:rPr>
                      <w:rFonts w:hint="eastAsia" w:ascii="Times New Roman"/>
                      <w:color w:val="000000" w:themeColor="text1"/>
                      <w:kern w:val="18"/>
                      <w:sz w:val="21"/>
                      <w:szCs w:val="21"/>
                      <w14:textFill>
                        <w14:solidFill>
                          <w14:schemeClr w14:val="tx1"/>
                        </w14:solidFill>
                      </w14:textFill>
                    </w:rPr>
                    <w:t>。</w:t>
                  </w:r>
                </w:p>
                <w:p w14:paraId="53EABF86">
                  <w:pPr>
                    <w:pStyle w:val="49"/>
                    <w:adjustRightInd/>
                    <w:ind w:firstLine="420" w:firstLineChars="200"/>
                    <w:rPr>
                      <w:rFonts w:ascii="Times New Roman"/>
                      <w:color w:val="000000" w:themeColor="text1"/>
                      <w:sz w:val="21"/>
                      <w:szCs w:val="21"/>
                      <w14:textFill>
                        <w14:solidFill>
                          <w14:schemeClr w14:val="tx1"/>
                        </w14:solidFill>
                      </w14:textFill>
                    </w:rPr>
                  </w:pPr>
                  <w:r>
                    <w:rPr>
                      <w:rFonts w:hint="eastAsia" w:ascii="Times New Roman"/>
                      <w:color w:val="000000" w:themeColor="text1"/>
                      <w:kern w:val="18"/>
                      <w:sz w:val="21"/>
                      <w:szCs w:val="21"/>
                      <w14:textFill>
                        <w14:solidFill>
                          <w14:schemeClr w14:val="tx1"/>
                        </w14:solidFill>
                      </w14:textFill>
                    </w:rPr>
                    <w:t>2、参考《谈喷漆涂着效率》（Ⅰ）（王锡春，《现代涂料与涂装》2006.9.10.）低压空气喷漆涂着效率为50%-65%，本项目产品形状规则，喷漆附着率较高，取</w:t>
                  </w:r>
                  <w:r>
                    <w:rPr>
                      <w:rFonts w:ascii="Times New Roman"/>
                      <w:color w:val="000000" w:themeColor="text1"/>
                      <w:kern w:val="18"/>
                      <w:sz w:val="21"/>
                      <w:szCs w:val="21"/>
                      <w14:textFill>
                        <w14:solidFill>
                          <w14:schemeClr w14:val="tx1"/>
                        </w14:solidFill>
                      </w14:textFill>
                    </w:rPr>
                    <w:t>60</w:t>
                  </w:r>
                  <w:r>
                    <w:rPr>
                      <w:rFonts w:hint="eastAsia" w:ascii="Times New Roman"/>
                      <w:color w:val="000000" w:themeColor="text1"/>
                      <w:kern w:val="18"/>
                      <w:sz w:val="21"/>
                      <w:szCs w:val="21"/>
                      <w14:textFill>
                        <w14:solidFill>
                          <w14:schemeClr w14:val="tx1"/>
                        </w14:solidFill>
                      </w14:textFill>
                    </w:rPr>
                    <w:t>%。</w:t>
                  </w:r>
                </w:p>
              </w:tc>
            </w:tr>
          </w:tbl>
          <w:p w14:paraId="10A95FDB">
            <w:pPr>
              <w:spacing w:line="360" w:lineRule="auto"/>
              <w:ind w:firstLine="482" w:firstLineChars="200"/>
              <w:outlineLvl w:val="0"/>
              <w:rPr>
                <w:b/>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rFonts w:hint="eastAsia"/>
                <w:b/>
                <w:color w:val="000000" w:themeColor="text1"/>
                <w:sz w:val="24"/>
                <w14:textFill>
                  <w14:solidFill>
                    <w14:schemeClr w14:val="tx1"/>
                  </w14:solidFill>
                </w14:textFill>
              </w:rPr>
              <w:t>主要生产设备</w:t>
            </w:r>
          </w:p>
          <w:p w14:paraId="4CCF1B37">
            <w:pPr>
              <w:spacing w:line="360" w:lineRule="auto"/>
              <w:ind w:firstLine="480" w:firstLineChars="200"/>
              <w:outlineLvl w:val="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项目主要生产设备详见下表。</w:t>
            </w:r>
          </w:p>
          <w:p w14:paraId="4053F1D6">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6</w:t>
            </w:r>
            <w:r>
              <w:rPr>
                <w:b/>
                <w:bCs/>
                <w:color w:val="000000" w:themeColor="text1"/>
                <w:szCs w:val="21"/>
                <w14:textFill>
                  <w14:solidFill>
                    <w14:schemeClr w14:val="tx1"/>
                  </w14:solidFill>
                </w14:textFill>
              </w:rPr>
              <w:t xml:space="preserve">  项目使用的主要设备一览表</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576"/>
              <w:gridCol w:w="1281"/>
              <w:gridCol w:w="1063"/>
              <w:gridCol w:w="1038"/>
              <w:gridCol w:w="2024"/>
              <w:gridCol w:w="688"/>
              <w:gridCol w:w="576"/>
              <w:gridCol w:w="753"/>
            </w:tblGrid>
            <w:tr w14:paraId="0B672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6F7164F3">
                  <w:pPr>
                    <w:adjustRightInd w:val="0"/>
                    <w:snapToGrid w:val="0"/>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336" w:type="pct"/>
                  <w:vAlign w:val="center"/>
                </w:tcPr>
                <w:p w14:paraId="6C3A9FAF">
                  <w:pPr>
                    <w:adjustRightInd w:val="0"/>
                    <w:snapToGrid w:val="0"/>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产品</w:t>
                  </w:r>
                </w:p>
              </w:tc>
              <w:tc>
                <w:tcPr>
                  <w:tcW w:w="747" w:type="pct"/>
                </w:tcPr>
                <w:p w14:paraId="200CDB83">
                  <w:pPr>
                    <w:adjustRightInd w:val="0"/>
                    <w:snapToGrid w:val="0"/>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主要生产单元名称</w:t>
                  </w:r>
                </w:p>
              </w:tc>
              <w:tc>
                <w:tcPr>
                  <w:tcW w:w="620" w:type="pct"/>
                  <w:vAlign w:val="center"/>
                </w:tcPr>
                <w:p w14:paraId="284DE976">
                  <w:pPr>
                    <w:adjustRightInd w:val="0"/>
                    <w:snapToGrid w:val="0"/>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主要工艺名称</w:t>
                  </w:r>
                </w:p>
              </w:tc>
              <w:tc>
                <w:tcPr>
                  <w:tcW w:w="605" w:type="pct"/>
                  <w:vAlign w:val="center"/>
                </w:tcPr>
                <w:p w14:paraId="50022889">
                  <w:pPr>
                    <w:adjustRightInd w:val="0"/>
                    <w:snapToGrid w:val="0"/>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设备</w:t>
                  </w:r>
                  <w:r>
                    <w:rPr>
                      <w:b/>
                      <w:color w:val="000000" w:themeColor="text1"/>
                      <w:szCs w:val="21"/>
                      <w14:textFill>
                        <w14:solidFill>
                          <w14:schemeClr w14:val="tx1"/>
                        </w14:solidFill>
                      </w14:textFill>
                    </w:rPr>
                    <w:t>名称</w:t>
                  </w:r>
                </w:p>
              </w:tc>
              <w:tc>
                <w:tcPr>
                  <w:tcW w:w="1180" w:type="pct"/>
                  <w:vAlign w:val="center"/>
                </w:tcPr>
                <w:p w14:paraId="7DD9F359">
                  <w:pPr>
                    <w:adjustRightInd w:val="0"/>
                    <w:snapToGrid w:val="0"/>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设备参数</w:t>
                  </w:r>
                </w:p>
              </w:tc>
              <w:tc>
                <w:tcPr>
                  <w:tcW w:w="401" w:type="pct"/>
                  <w:vAlign w:val="center"/>
                </w:tcPr>
                <w:p w14:paraId="2D598688">
                  <w:pPr>
                    <w:adjustRightInd w:val="0"/>
                    <w:snapToGrid w:val="0"/>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数量</w:t>
                  </w:r>
                </w:p>
              </w:tc>
              <w:tc>
                <w:tcPr>
                  <w:tcW w:w="336" w:type="pct"/>
                  <w:vAlign w:val="center"/>
                </w:tcPr>
                <w:p w14:paraId="5E8AEA25">
                  <w:pPr>
                    <w:adjustRightInd w:val="0"/>
                    <w:snapToGrid w:val="0"/>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单位</w:t>
                  </w:r>
                </w:p>
              </w:tc>
              <w:tc>
                <w:tcPr>
                  <w:tcW w:w="440" w:type="pct"/>
                  <w:vAlign w:val="center"/>
                </w:tcPr>
                <w:p w14:paraId="12456602">
                  <w:pPr>
                    <w:adjustRightInd w:val="0"/>
                    <w:snapToGrid w:val="0"/>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位置</w:t>
                  </w:r>
                </w:p>
              </w:tc>
            </w:tr>
            <w:tr w14:paraId="038C9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0F9DC444">
                  <w:pPr>
                    <w:widowControl/>
                    <w:numPr>
                      <w:ilvl w:val="0"/>
                      <w:numId w:val="2"/>
                    </w:numPr>
                    <w:adjustRightInd w:val="0"/>
                    <w:snapToGrid w:val="0"/>
                    <w:ind w:left="-105" w:leftChars="-50" w:right="-105" w:rightChars="-50" w:firstLine="0"/>
                    <w:jc w:val="center"/>
                    <w:rPr>
                      <w:color w:val="000000" w:themeColor="text1"/>
                      <w:szCs w:val="21"/>
                      <w14:textFill>
                        <w14:solidFill>
                          <w14:schemeClr w14:val="tx1"/>
                        </w14:solidFill>
                      </w14:textFill>
                    </w:rPr>
                  </w:pPr>
                </w:p>
              </w:tc>
              <w:tc>
                <w:tcPr>
                  <w:tcW w:w="336" w:type="pct"/>
                  <w:vMerge w:val="restart"/>
                  <w:vAlign w:val="center"/>
                </w:tcPr>
                <w:p w14:paraId="327F2C8F">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会展</w:t>
                  </w:r>
                </w:p>
                <w:p w14:paraId="53DD4B35">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展示</w:t>
                  </w:r>
                </w:p>
                <w:p w14:paraId="6B9B0140">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搭建</w:t>
                  </w:r>
                </w:p>
                <w:p w14:paraId="348BDBA7">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木制</w:t>
                  </w:r>
                </w:p>
                <w:p w14:paraId="7476629E">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品</w:t>
                  </w:r>
                </w:p>
              </w:tc>
              <w:tc>
                <w:tcPr>
                  <w:tcW w:w="747" w:type="pct"/>
                  <w:vAlign w:val="center"/>
                </w:tcPr>
                <w:p w14:paraId="7CB23624">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开料</w:t>
                  </w:r>
                </w:p>
              </w:tc>
              <w:tc>
                <w:tcPr>
                  <w:tcW w:w="620" w:type="pct"/>
                  <w:vAlign w:val="center"/>
                </w:tcPr>
                <w:p w14:paraId="5BD3EEE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开料工序</w:t>
                  </w:r>
                </w:p>
              </w:tc>
              <w:tc>
                <w:tcPr>
                  <w:tcW w:w="605" w:type="pct"/>
                  <w:vAlign w:val="center"/>
                </w:tcPr>
                <w:p w14:paraId="6C80D614">
                  <w:pPr>
                    <w:adjustRightInd w:val="0"/>
                    <w:snapToGrid w:val="0"/>
                    <w:ind w:left="-105" w:leftChars="-50" w:right="-105" w:rightChars="-5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开料机</w:t>
                  </w:r>
                </w:p>
              </w:tc>
              <w:tc>
                <w:tcPr>
                  <w:tcW w:w="1180" w:type="pct"/>
                  <w:vAlign w:val="center"/>
                </w:tcPr>
                <w:p w14:paraId="25A1A60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功率：7kw</w:t>
                  </w:r>
                </w:p>
              </w:tc>
              <w:tc>
                <w:tcPr>
                  <w:tcW w:w="401" w:type="pct"/>
                  <w:vAlign w:val="center"/>
                </w:tcPr>
                <w:p w14:paraId="456ABEE5">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p>
              </w:tc>
              <w:tc>
                <w:tcPr>
                  <w:tcW w:w="336" w:type="pct"/>
                  <w:vAlign w:val="center"/>
                </w:tcPr>
                <w:p w14:paraId="2B2A300F">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台</w:t>
                  </w:r>
                </w:p>
              </w:tc>
              <w:tc>
                <w:tcPr>
                  <w:tcW w:w="440" w:type="pct"/>
                  <w:vAlign w:val="center"/>
                </w:tcPr>
                <w:p w14:paraId="0C82734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木工区</w:t>
                  </w:r>
                </w:p>
              </w:tc>
            </w:tr>
            <w:tr w14:paraId="0F3A0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43065E1F">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66559E6E">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p>
              </w:tc>
              <w:tc>
                <w:tcPr>
                  <w:tcW w:w="747" w:type="pct"/>
                  <w:vAlign w:val="center"/>
                </w:tcPr>
                <w:p w14:paraId="7DABD3A0">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切割</w:t>
                  </w:r>
                </w:p>
              </w:tc>
              <w:tc>
                <w:tcPr>
                  <w:tcW w:w="620" w:type="pct"/>
                  <w:vAlign w:val="center"/>
                </w:tcPr>
                <w:p w14:paraId="43E2900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切割工序</w:t>
                  </w:r>
                </w:p>
              </w:tc>
              <w:tc>
                <w:tcPr>
                  <w:tcW w:w="605" w:type="pct"/>
                  <w:vAlign w:val="center"/>
                </w:tcPr>
                <w:p w14:paraId="65BBE30F">
                  <w:pPr>
                    <w:adjustRightInd w:val="0"/>
                    <w:snapToGrid w:val="0"/>
                    <w:ind w:left="-105" w:leftChars="-50" w:right="-105" w:rightChars="-5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切割机</w:t>
                  </w:r>
                </w:p>
              </w:tc>
              <w:tc>
                <w:tcPr>
                  <w:tcW w:w="1180" w:type="pct"/>
                  <w:vAlign w:val="center"/>
                </w:tcPr>
                <w:p w14:paraId="7402AF1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功率：5kw</w:t>
                  </w:r>
                </w:p>
              </w:tc>
              <w:tc>
                <w:tcPr>
                  <w:tcW w:w="401" w:type="pct"/>
                  <w:vAlign w:val="center"/>
                </w:tcPr>
                <w:p w14:paraId="2603A367">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p>
              </w:tc>
              <w:tc>
                <w:tcPr>
                  <w:tcW w:w="336" w:type="pct"/>
                  <w:vAlign w:val="center"/>
                </w:tcPr>
                <w:p w14:paraId="74A07A1C">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台</w:t>
                  </w:r>
                </w:p>
              </w:tc>
              <w:tc>
                <w:tcPr>
                  <w:tcW w:w="440" w:type="pct"/>
                  <w:vAlign w:val="center"/>
                </w:tcPr>
                <w:p w14:paraId="4B79804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木工区</w:t>
                  </w:r>
                </w:p>
              </w:tc>
            </w:tr>
            <w:tr w14:paraId="626A8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41779C43">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24B29653">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p>
              </w:tc>
              <w:tc>
                <w:tcPr>
                  <w:tcW w:w="747" w:type="pct"/>
                  <w:vAlign w:val="center"/>
                </w:tcPr>
                <w:p w14:paraId="723DBBC6">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组装</w:t>
                  </w:r>
                </w:p>
              </w:tc>
              <w:tc>
                <w:tcPr>
                  <w:tcW w:w="620" w:type="pct"/>
                  <w:vAlign w:val="center"/>
                </w:tcPr>
                <w:p w14:paraId="4559A207">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组装工序</w:t>
                  </w:r>
                </w:p>
              </w:tc>
              <w:tc>
                <w:tcPr>
                  <w:tcW w:w="605" w:type="pct"/>
                  <w:vAlign w:val="center"/>
                </w:tcPr>
                <w:p w14:paraId="1AA9AD3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钉枪</w:t>
                  </w:r>
                </w:p>
              </w:tc>
              <w:tc>
                <w:tcPr>
                  <w:tcW w:w="1180" w:type="pct"/>
                  <w:vAlign w:val="center"/>
                </w:tcPr>
                <w:p w14:paraId="7A66626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功率：</w:t>
                  </w:r>
                  <w:r>
                    <w:rPr>
                      <w:color w:val="000000" w:themeColor="text1"/>
                      <w:szCs w:val="21"/>
                      <w14:textFill>
                        <w14:solidFill>
                          <w14:schemeClr w14:val="tx1"/>
                        </w14:solidFill>
                      </w14:textFill>
                    </w:rPr>
                    <w:t>0.5</w:t>
                  </w:r>
                  <w:r>
                    <w:rPr>
                      <w:rFonts w:hint="eastAsia"/>
                      <w:color w:val="000000" w:themeColor="text1"/>
                      <w:szCs w:val="21"/>
                      <w14:textFill>
                        <w14:solidFill>
                          <w14:schemeClr w14:val="tx1"/>
                        </w14:solidFill>
                      </w14:textFill>
                    </w:rPr>
                    <w:t>kw</w:t>
                  </w:r>
                </w:p>
              </w:tc>
              <w:tc>
                <w:tcPr>
                  <w:tcW w:w="401" w:type="pct"/>
                  <w:vAlign w:val="center"/>
                </w:tcPr>
                <w:p w14:paraId="44D90FCF">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50</w:t>
                  </w:r>
                </w:p>
              </w:tc>
              <w:tc>
                <w:tcPr>
                  <w:tcW w:w="336" w:type="pct"/>
                  <w:vAlign w:val="center"/>
                </w:tcPr>
                <w:p w14:paraId="564059AE">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把</w:t>
                  </w:r>
                </w:p>
              </w:tc>
              <w:tc>
                <w:tcPr>
                  <w:tcW w:w="440" w:type="pct"/>
                  <w:vAlign w:val="center"/>
                </w:tcPr>
                <w:p w14:paraId="7DBD4E1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木工区</w:t>
                  </w:r>
                </w:p>
              </w:tc>
            </w:tr>
            <w:tr w14:paraId="107A8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2C2C9A8E">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4631FE5F">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p>
              </w:tc>
              <w:tc>
                <w:tcPr>
                  <w:tcW w:w="747" w:type="pct"/>
                  <w:vAlign w:val="center"/>
                </w:tcPr>
                <w:p w14:paraId="06F8529D">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雕刻</w:t>
                  </w:r>
                </w:p>
              </w:tc>
              <w:tc>
                <w:tcPr>
                  <w:tcW w:w="620" w:type="pct"/>
                  <w:vAlign w:val="center"/>
                </w:tcPr>
                <w:p w14:paraId="7F860B2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雕刻工序</w:t>
                  </w:r>
                </w:p>
              </w:tc>
              <w:tc>
                <w:tcPr>
                  <w:tcW w:w="605" w:type="pct"/>
                  <w:vAlign w:val="center"/>
                </w:tcPr>
                <w:p w14:paraId="5467BBC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雕刻机</w:t>
                  </w:r>
                </w:p>
              </w:tc>
              <w:tc>
                <w:tcPr>
                  <w:tcW w:w="1180" w:type="pct"/>
                  <w:vAlign w:val="center"/>
                </w:tcPr>
                <w:p w14:paraId="2A9A9F1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功率：6kw/10kw</w:t>
                  </w:r>
                </w:p>
              </w:tc>
              <w:tc>
                <w:tcPr>
                  <w:tcW w:w="401" w:type="pct"/>
                  <w:vAlign w:val="center"/>
                </w:tcPr>
                <w:p w14:paraId="08D56C14">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p>
              </w:tc>
              <w:tc>
                <w:tcPr>
                  <w:tcW w:w="336" w:type="pct"/>
                  <w:vAlign w:val="center"/>
                </w:tcPr>
                <w:p w14:paraId="7E9FFC60">
                  <w:pPr>
                    <w:pStyle w:val="159"/>
                    <w:adjustRightInd w:val="0"/>
                    <w:snapToGrid w:val="0"/>
                    <w:ind w:left="-105" w:leftChars="-50" w:right="-105" w:rightChars="-50" w:firstLine="0" w:firstLineChars="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台</w:t>
                  </w:r>
                </w:p>
              </w:tc>
              <w:tc>
                <w:tcPr>
                  <w:tcW w:w="440" w:type="pct"/>
                  <w:vAlign w:val="center"/>
                </w:tcPr>
                <w:p w14:paraId="5AA1E92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木工区</w:t>
                  </w:r>
                </w:p>
              </w:tc>
            </w:tr>
            <w:tr w14:paraId="17797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48AC5A37">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170DC6FA">
                  <w:pPr>
                    <w:adjustRightInd w:val="0"/>
                    <w:snapToGrid w:val="0"/>
                    <w:ind w:left="-105" w:leftChars="-50" w:right="-105" w:rightChars="-50"/>
                    <w:jc w:val="center"/>
                    <w:rPr>
                      <w:color w:val="000000" w:themeColor="text1"/>
                      <w:szCs w:val="21"/>
                      <w14:textFill>
                        <w14:solidFill>
                          <w14:schemeClr w14:val="tx1"/>
                        </w14:solidFill>
                      </w14:textFill>
                    </w:rPr>
                  </w:pPr>
                </w:p>
              </w:tc>
              <w:tc>
                <w:tcPr>
                  <w:tcW w:w="747" w:type="pct"/>
                  <w:vAlign w:val="center"/>
                </w:tcPr>
                <w:p w14:paraId="069713E1">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打磨</w:t>
                  </w:r>
                </w:p>
              </w:tc>
              <w:tc>
                <w:tcPr>
                  <w:tcW w:w="620" w:type="pct"/>
                  <w:vAlign w:val="center"/>
                </w:tcPr>
                <w:p w14:paraId="6CE254E9">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打磨</w:t>
                  </w:r>
                  <w:r>
                    <w:rPr>
                      <w:rFonts w:hint="eastAsia"/>
                      <w:color w:val="000000" w:themeColor="text1"/>
                      <w:szCs w:val="21"/>
                      <w14:textFill>
                        <w14:solidFill>
                          <w14:schemeClr w14:val="tx1"/>
                        </w14:solidFill>
                      </w14:textFill>
                    </w:rPr>
                    <w:t>工序</w:t>
                  </w:r>
                </w:p>
              </w:tc>
              <w:tc>
                <w:tcPr>
                  <w:tcW w:w="605" w:type="pct"/>
                  <w:vAlign w:val="center"/>
                </w:tcPr>
                <w:p w14:paraId="41E054F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打磨机</w:t>
                  </w:r>
                </w:p>
              </w:tc>
              <w:tc>
                <w:tcPr>
                  <w:tcW w:w="1180" w:type="pct"/>
                  <w:vAlign w:val="center"/>
                </w:tcPr>
                <w:p w14:paraId="5629994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功率：</w:t>
                  </w:r>
                  <w:r>
                    <w:rPr>
                      <w:color w:val="000000" w:themeColor="text1"/>
                      <w:szCs w:val="21"/>
                      <w14:textFill>
                        <w14:solidFill>
                          <w14:schemeClr w14:val="tx1"/>
                        </w14:solidFill>
                      </w14:textFill>
                    </w:rPr>
                    <w:t>0.8</w:t>
                  </w:r>
                  <w:r>
                    <w:rPr>
                      <w:rFonts w:hint="eastAsia"/>
                      <w:color w:val="000000" w:themeColor="text1"/>
                      <w:szCs w:val="21"/>
                      <w14:textFill>
                        <w14:solidFill>
                          <w14:schemeClr w14:val="tx1"/>
                        </w14:solidFill>
                      </w14:textFill>
                    </w:rPr>
                    <w:t>kw</w:t>
                  </w:r>
                </w:p>
              </w:tc>
              <w:tc>
                <w:tcPr>
                  <w:tcW w:w="401" w:type="pct"/>
                  <w:vAlign w:val="center"/>
                </w:tcPr>
                <w:p w14:paraId="14E9D5B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336" w:type="pct"/>
                  <w:vAlign w:val="center"/>
                </w:tcPr>
                <w:p w14:paraId="69B8ABAA">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40" w:type="pct"/>
                  <w:vAlign w:val="center"/>
                </w:tcPr>
                <w:p w14:paraId="6C9E7EF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木工区</w:t>
                  </w:r>
                </w:p>
              </w:tc>
            </w:tr>
            <w:tr w14:paraId="2BDD4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2960BC0A">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7F1A91E9">
                  <w:pPr>
                    <w:adjustRightInd w:val="0"/>
                    <w:snapToGrid w:val="0"/>
                    <w:ind w:left="-105" w:leftChars="-50" w:right="-105" w:rightChars="-50"/>
                    <w:jc w:val="center"/>
                    <w:rPr>
                      <w:color w:val="000000" w:themeColor="text1"/>
                      <w:szCs w:val="21"/>
                      <w14:textFill>
                        <w14:solidFill>
                          <w14:schemeClr w14:val="tx1"/>
                        </w14:solidFill>
                      </w14:textFill>
                    </w:rPr>
                  </w:pPr>
                </w:p>
              </w:tc>
              <w:tc>
                <w:tcPr>
                  <w:tcW w:w="747" w:type="pct"/>
                  <w:vAlign w:val="center"/>
                </w:tcPr>
                <w:p w14:paraId="395CA66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w:t>
                  </w:r>
                </w:p>
              </w:tc>
              <w:tc>
                <w:tcPr>
                  <w:tcW w:w="620" w:type="pct"/>
                  <w:vAlign w:val="center"/>
                </w:tcPr>
                <w:p w14:paraId="3267D87E">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焊接工序</w:t>
                  </w:r>
                </w:p>
              </w:tc>
              <w:tc>
                <w:tcPr>
                  <w:tcW w:w="605" w:type="pct"/>
                  <w:vAlign w:val="center"/>
                </w:tcPr>
                <w:p w14:paraId="54E919E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电焊机</w:t>
                  </w:r>
                </w:p>
              </w:tc>
              <w:tc>
                <w:tcPr>
                  <w:tcW w:w="1180" w:type="pct"/>
                  <w:vAlign w:val="center"/>
                </w:tcPr>
                <w:p w14:paraId="0D93EC1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功率：</w:t>
                  </w:r>
                  <w:r>
                    <w:rPr>
                      <w:color w:val="000000" w:themeColor="text1"/>
                      <w:szCs w:val="21"/>
                      <w14:textFill>
                        <w14:solidFill>
                          <w14:schemeClr w14:val="tx1"/>
                        </w14:solidFill>
                      </w14:textFill>
                    </w:rPr>
                    <w:t>15</w:t>
                  </w:r>
                  <w:r>
                    <w:rPr>
                      <w:rFonts w:hint="eastAsia"/>
                      <w:color w:val="000000" w:themeColor="text1"/>
                      <w:szCs w:val="21"/>
                      <w14:textFill>
                        <w14:solidFill>
                          <w14:schemeClr w14:val="tx1"/>
                        </w14:solidFill>
                      </w14:textFill>
                    </w:rPr>
                    <w:t>kw</w:t>
                  </w:r>
                </w:p>
              </w:tc>
              <w:tc>
                <w:tcPr>
                  <w:tcW w:w="401" w:type="pct"/>
                  <w:vAlign w:val="center"/>
                </w:tcPr>
                <w:p w14:paraId="7ED41BA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336" w:type="pct"/>
                  <w:vAlign w:val="center"/>
                </w:tcPr>
                <w:p w14:paraId="2A35701F">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40" w:type="pct"/>
                  <w:vAlign w:val="center"/>
                </w:tcPr>
                <w:p w14:paraId="5F1B0D6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焊接区</w:t>
                  </w:r>
                </w:p>
              </w:tc>
            </w:tr>
            <w:tr w14:paraId="6E907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6292977D">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2CCA7BDD">
                  <w:pPr>
                    <w:adjustRightInd w:val="0"/>
                    <w:snapToGrid w:val="0"/>
                    <w:ind w:left="-105" w:leftChars="-50" w:right="-105" w:rightChars="-50"/>
                    <w:jc w:val="center"/>
                    <w:rPr>
                      <w:color w:val="000000" w:themeColor="text1"/>
                      <w:szCs w:val="21"/>
                      <w14:textFill>
                        <w14:solidFill>
                          <w14:schemeClr w14:val="tx1"/>
                        </w14:solidFill>
                      </w14:textFill>
                    </w:rPr>
                  </w:pPr>
                </w:p>
              </w:tc>
              <w:tc>
                <w:tcPr>
                  <w:tcW w:w="747" w:type="pct"/>
                  <w:vAlign w:val="center"/>
                </w:tcPr>
                <w:p w14:paraId="6EFEA4E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辅助</w:t>
                  </w:r>
                </w:p>
              </w:tc>
              <w:tc>
                <w:tcPr>
                  <w:tcW w:w="620" w:type="pct"/>
                  <w:vAlign w:val="center"/>
                </w:tcPr>
                <w:p w14:paraId="3A080C2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辅助设备</w:t>
                  </w:r>
                </w:p>
              </w:tc>
              <w:tc>
                <w:tcPr>
                  <w:tcW w:w="605" w:type="pct"/>
                  <w:vAlign w:val="center"/>
                </w:tcPr>
                <w:p w14:paraId="61C7FC47">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空压机</w:t>
                  </w:r>
                </w:p>
              </w:tc>
              <w:tc>
                <w:tcPr>
                  <w:tcW w:w="1180" w:type="pct"/>
                  <w:vAlign w:val="center"/>
                </w:tcPr>
                <w:p w14:paraId="5026192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功率：15kw</w:t>
                  </w:r>
                </w:p>
              </w:tc>
              <w:tc>
                <w:tcPr>
                  <w:tcW w:w="401" w:type="pct"/>
                  <w:vAlign w:val="center"/>
                </w:tcPr>
                <w:p w14:paraId="609F62C0">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336" w:type="pct"/>
                  <w:vAlign w:val="center"/>
                </w:tcPr>
                <w:p w14:paraId="5D9C566F">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40" w:type="pct"/>
                  <w:vAlign w:val="center"/>
                </w:tcPr>
                <w:p w14:paraId="51ACD5B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木工区/喷漆区</w:t>
                  </w:r>
                </w:p>
              </w:tc>
            </w:tr>
            <w:tr w14:paraId="234F4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3871F19D">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064EF91E">
                  <w:pPr>
                    <w:adjustRightInd w:val="0"/>
                    <w:snapToGrid w:val="0"/>
                    <w:ind w:left="-105" w:leftChars="-50" w:right="-105" w:rightChars="-50"/>
                    <w:jc w:val="center"/>
                    <w:rPr>
                      <w:color w:val="000000" w:themeColor="text1"/>
                      <w:szCs w:val="21"/>
                      <w14:textFill>
                        <w14:solidFill>
                          <w14:schemeClr w14:val="tx1"/>
                        </w14:solidFill>
                      </w14:textFill>
                    </w:rPr>
                  </w:pPr>
                </w:p>
              </w:tc>
              <w:tc>
                <w:tcPr>
                  <w:tcW w:w="747" w:type="pct"/>
                  <w:vMerge w:val="restart"/>
                  <w:vAlign w:val="center"/>
                </w:tcPr>
                <w:p w14:paraId="1EB7A8A6">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喷漆</w:t>
                  </w:r>
                </w:p>
              </w:tc>
              <w:tc>
                <w:tcPr>
                  <w:tcW w:w="620" w:type="pct"/>
                  <w:vAlign w:val="center"/>
                </w:tcPr>
                <w:p w14:paraId="06CDBD5A">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喷漆</w:t>
                  </w:r>
                  <w:r>
                    <w:rPr>
                      <w:rFonts w:hint="eastAsia"/>
                      <w:color w:val="000000" w:themeColor="text1"/>
                      <w:szCs w:val="21"/>
                      <w14:textFill>
                        <w14:solidFill>
                          <w14:schemeClr w14:val="tx1"/>
                        </w14:solidFill>
                      </w14:textFill>
                    </w:rPr>
                    <w:t>工序</w:t>
                  </w:r>
                </w:p>
              </w:tc>
              <w:tc>
                <w:tcPr>
                  <w:tcW w:w="605" w:type="pct"/>
                  <w:vAlign w:val="center"/>
                </w:tcPr>
                <w:p w14:paraId="1DE5DF64">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水帘柜</w:t>
                  </w:r>
                </w:p>
              </w:tc>
              <w:tc>
                <w:tcPr>
                  <w:tcW w:w="1180" w:type="pct"/>
                  <w:vAlign w:val="center"/>
                </w:tcPr>
                <w:p w14:paraId="16B7D3E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尺寸：</w:t>
                  </w:r>
                  <w:r>
                    <w:rPr>
                      <w:color w:val="000000" w:themeColor="text1"/>
                      <w:szCs w:val="21"/>
                      <w14:textFill>
                        <w14:solidFill>
                          <w14:schemeClr w14:val="tx1"/>
                        </w14:solidFill>
                      </w14:textFill>
                    </w:rPr>
                    <w:t>4.0×1.6×2.0m</w:t>
                  </w:r>
                </w:p>
                <w:p w14:paraId="2549E159">
                  <w:pPr>
                    <w:adjustRightInd w:val="0"/>
                    <w:snapToGrid w:val="0"/>
                    <w:ind w:left="-105" w:leftChars="-50" w:right="-105" w:rightChars="-5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循环水量：1m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h</w:t>
                  </w:r>
                </w:p>
              </w:tc>
              <w:tc>
                <w:tcPr>
                  <w:tcW w:w="401" w:type="pct"/>
                  <w:vAlign w:val="center"/>
                </w:tcPr>
                <w:p w14:paraId="1E56DA4B">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336" w:type="pct"/>
                  <w:vAlign w:val="center"/>
                </w:tcPr>
                <w:p w14:paraId="05012340">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个</w:t>
                  </w:r>
                </w:p>
              </w:tc>
              <w:tc>
                <w:tcPr>
                  <w:tcW w:w="440" w:type="pct"/>
                  <w:vAlign w:val="center"/>
                </w:tcPr>
                <w:p w14:paraId="17B203FA">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喷漆区</w:t>
                  </w:r>
                </w:p>
              </w:tc>
            </w:tr>
            <w:tr w14:paraId="33855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 w:type="pct"/>
                  <w:vAlign w:val="center"/>
                </w:tcPr>
                <w:p w14:paraId="33E4A2A2">
                  <w:pPr>
                    <w:widowControl/>
                    <w:numPr>
                      <w:ilvl w:val="0"/>
                      <w:numId w:val="2"/>
                    </w:numPr>
                    <w:adjustRightInd w:val="0"/>
                    <w:snapToGrid w:val="0"/>
                    <w:ind w:left="-105" w:leftChars="-50" w:right="-105" w:rightChars="-50" w:firstLine="0"/>
                    <w:jc w:val="center"/>
                    <w:rPr>
                      <w:color w:val="7030A0"/>
                      <w:szCs w:val="21"/>
                    </w:rPr>
                  </w:pPr>
                </w:p>
              </w:tc>
              <w:tc>
                <w:tcPr>
                  <w:tcW w:w="336" w:type="pct"/>
                  <w:vMerge w:val="continue"/>
                  <w:vAlign w:val="center"/>
                </w:tcPr>
                <w:p w14:paraId="653FFA50">
                  <w:pPr>
                    <w:adjustRightInd w:val="0"/>
                    <w:snapToGrid w:val="0"/>
                    <w:ind w:left="-105" w:leftChars="-50" w:right="-105" w:rightChars="-50"/>
                    <w:jc w:val="center"/>
                    <w:rPr>
                      <w:color w:val="7030A0"/>
                      <w:szCs w:val="21"/>
                    </w:rPr>
                  </w:pPr>
                </w:p>
              </w:tc>
              <w:tc>
                <w:tcPr>
                  <w:tcW w:w="747" w:type="pct"/>
                  <w:vMerge w:val="continue"/>
                  <w:vAlign w:val="center"/>
                </w:tcPr>
                <w:p w14:paraId="6272CA9E">
                  <w:pPr>
                    <w:adjustRightInd w:val="0"/>
                    <w:snapToGrid w:val="0"/>
                    <w:ind w:left="-105" w:leftChars="-50" w:right="-105" w:rightChars="-50"/>
                    <w:jc w:val="center"/>
                    <w:rPr>
                      <w:color w:val="000000" w:themeColor="text1"/>
                      <w:szCs w:val="21"/>
                      <w14:textFill>
                        <w14:solidFill>
                          <w14:schemeClr w14:val="tx1"/>
                        </w14:solidFill>
                      </w14:textFill>
                    </w:rPr>
                  </w:pPr>
                </w:p>
              </w:tc>
              <w:tc>
                <w:tcPr>
                  <w:tcW w:w="620" w:type="pct"/>
                  <w:vAlign w:val="center"/>
                </w:tcPr>
                <w:p w14:paraId="68D3FD64">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喷漆</w:t>
                  </w:r>
                  <w:r>
                    <w:rPr>
                      <w:rFonts w:hint="eastAsia"/>
                      <w:color w:val="000000" w:themeColor="text1"/>
                      <w:szCs w:val="21"/>
                      <w14:textFill>
                        <w14:solidFill>
                          <w14:schemeClr w14:val="tx1"/>
                        </w14:solidFill>
                      </w14:textFill>
                    </w:rPr>
                    <w:t>工序</w:t>
                  </w:r>
                </w:p>
              </w:tc>
              <w:tc>
                <w:tcPr>
                  <w:tcW w:w="605" w:type="pct"/>
                  <w:vAlign w:val="center"/>
                </w:tcPr>
                <w:p w14:paraId="27ACD80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喷枪</w:t>
                  </w:r>
                </w:p>
              </w:tc>
              <w:tc>
                <w:tcPr>
                  <w:tcW w:w="1180" w:type="pct"/>
                  <w:vAlign w:val="center"/>
                </w:tcPr>
                <w:p w14:paraId="2CE8FB5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涂料喷出量：80m</w:t>
                  </w:r>
                  <w:r>
                    <w:rPr>
                      <w:color w:val="000000" w:themeColor="text1"/>
                      <w:szCs w:val="21"/>
                      <w14:textFill>
                        <w14:solidFill>
                          <w14:schemeClr w14:val="tx1"/>
                        </w14:solidFill>
                      </w14:textFill>
                    </w:rPr>
                    <w:t>L/</w:t>
                  </w:r>
                  <w:r>
                    <w:rPr>
                      <w:rFonts w:hint="eastAsia"/>
                      <w:color w:val="000000" w:themeColor="text1"/>
                      <w:szCs w:val="21"/>
                      <w14:textFill>
                        <w14:solidFill>
                          <w14:schemeClr w14:val="tx1"/>
                        </w14:solidFill>
                      </w14:textFill>
                    </w:rPr>
                    <w:t>mim</w:t>
                  </w:r>
                  <w:r>
                    <w:rPr>
                      <w:color w:val="000000" w:themeColor="text1"/>
                      <w:szCs w:val="21"/>
                      <w14:textFill>
                        <w14:solidFill>
                          <w14:schemeClr w14:val="tx1"/>
                        </w14:solidFill>
                      </w14:textFill>
                    </w:rPr>
                    <w:t xml:space="preserve"> </w:t>
                  </w:r>
                </w:p>
              </w:tc>
              <w:tc>
                <w:tcPr>
                  <w:tcW w:w="401" w:type="pct"/>
                  <w:vAlign w:val="center"/>
                </w:tcPr>
                <w:p w14:paraId="00FFB857">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336" w:type="pct"/>
                  <w:vAlign w:val="center"/>
                </w:tcPr>
                <w:p w14:paraId="6D4F92C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把</w:t>
                  </w:r>
                </w:p>
              </w:tc>
              <w:tc>
                <w:tcPr>
                  <w:tcW w:w="440" w:type="pct"/>
                  <w:vAlign w:val="center"/>
                </w:tcPr>
                <w:p w14:paraId="20BDFC5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喷漆区</w:t>
                  </w:r>
                </w:p>
              </w:tc>
            </w:tr>
          </w:tbl>
          <w:p w14:paraId="1D0262AE">
            <w:pPr>
              <w:spacing w:line="360" w:lineRule="auto"/>
              <w:ind w:firstLine="472" w:firstLineChars="196"/>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喷漆设备产能匹配分析</w:t>
            </w:r>
          </w:p>
          <w:p w14:paraId="7F908074">
            <w:pPr>
              <w:pStyle w:val="2"/>
              <w:spacing w:line="360" w:lineRule="auto"/>
              <w:ind w:firstLine="482"/>
              <w:rPr>
                <w:rFonts w:eastAsia="宋体"/>
                <w:bCs/>
                <w:color w:val="000000" w:themeColor="text1"/>
                <w:sz w:val="24"/>
                <w:szCs w:val="24"/>
                <w14:textFill>
                  <w14:solidFill>
                    <w14:schemeClr w14:val="tx1"/>
                  </w14:solidFill>
                </w14:textFill>
              </w:rPr>
            </w:pPr>
            <w:r>
              <w:rPr>
                <w:rFonts w:hint="eastAsia" w:eastAsia="宋体"/>
                <w:bCs/>
                <w:color w:val="000000" w:themeColor="text1"/>
                <w:sz w:val="24"/>
                <w:szCs w:val="24"/>
                <w14:textFill>
                  <w14:solidFill>
                    <w14:schemeClr w14:val="tx1"/>
                  </w14:solidFill>
                </w14:textFill>
              </w:rPr>
              <w:t>项目水性油漆用量为16.97t</w:t>
            </w:r>
            <w:r>
              <w:rPr>
                <w:rFonts w:eastAsia="宋体"/>
                <w:bCs/>
                <w:color w:val="000000" w:themeColor="text1"/>
                <w:sz w:val="24"/>
                <w:szCs w:val="24"/>
                <w14:textFill>
                  <w14:solidFill>
                    <w14:schemeClr w14:val="tx1"/>
                  </w14:solidFill>
                </w14:textFill>
              </w:rPr>
              <w:t>/</w:t>
            </w:r>
            <w:r>
              <w:rPr>
                <w:rFonts w:hint="eastAsia" w:eastAsia="宋体"/>
                <w:bCs/>
                <w:color w:val="000000" w:themeColor="text1"/>
                <w:sz w:val="24"/>
                <w:szCs w:val="24"/>
                <w14:textFill>
                  <w14:solidFill>
                    <w14:schemeClr w14:val="tx1"/>
                  </w14:solidFill>
                </w14:textFill>
              </w:rPr>
              <w:t>a，本次取水性油漆密度取1</w:t>
            </w:r>
            <w:r>
              <w:rPr>
                <w:rFonts w:eastAsia="宋体"/>
                <w:bCs/>
                <w:color w:val="000000" w:themeColor="text1"/>
                <w:sz w:val="24"/>
                <w:szCs w:val="24"/>
                <w14:textFill>
                  <w14:solidFill>
                    <w14:schemeClr w14:val="tx1"/>
                  </w14:solidFill>
                </w14:textFill>
              </w:rPr>
              <w:t>.1</w:t>
            </w:r>
            <w:r>
              <w:rPr>
                <w:rFonts w:hint="eastAsia" w:eastAsia="宋体"/>
                <w:bCs/>
                <w:color w:val="000000" w:themeColor="text1"/>
                <w:sz w:val="24"/>
                <w:szCs w:val="24"/>
                <w14:textFill>
                  <w14:solidFill>
                    <w14:schemeClr w14:val="tx1"/>
                  </w14:solidFill>
                </w14:textFill>
              </w:rPr>
              <w:t>g/cm</w:t>
            </w:r>
            <w:r>
              <w:rPr>
                <w:rFonts w:hint="eastAsia" w:eastAsia="宋体"/>
                <w:bCs/>
                <w:color w:val="000000" w:themeColor="text1"/>
                <w:sz w:val="24"/>
                <w:szCs w:val="24"/>
                <w:vertAlign w:val="superscript"/>
                <w14:textFill>
                  <w14:solidFill>
                    <w14:schemeClr w14:val="tx1"/>
                  </w14:solidFill>
                </w14:textFill>
              </w:rPr>
              <w:t>3</w:t>
            </w:r>
            <w:r>
              <w:rPr>
                <w:rFonts w:hint="eastAsia" w:eastAsia="宋体"/>
                <w:bCs/>
                <w:color w:val="000000" w:themeColor="text1"/>
                <w:sz w:val="24"/>
                <w:szCs w:val="24"/>
                <w14:textFill>
                  <w14:solidFill>
                    <w14:schemeClr w14:val="tx1"/>
                  </w14:solidFill>
                </w14:textFill>
              </w:rPr>
              <w:t>，因此使用的水性油漆体积为15.43m</w:t>
            </w:r>
            <w:r>
              <w:rPr>
                <w:rFonts w:eastAsia="宋体"/>
                <w:bCs/>
                <w:color w:val="000000" w:themeColor="text1"/>
                <w:sz w:val="24"/>
                <w:szCs w:val="24"/>
                <w:vertAlign w:val="superscript"/>
                <w14:textFill>
                  <w14:solidFill>
                    <w14:schemeClr w14:val="tx1"/>
                  </w14:solidFill>
                </w14:textFill>
              </w:rPr>
              <w:t>3</w:t>
            </w:r>
            <w:r>
              <w:rPr>
                <w:rFonts w:hint="eastAsia" w:eastAsia="宋体"/>
                <w:bCs/>
                <w:color w:val="000000" w:themeColor="text1"/>
                <w:sz w:val="24"/>
                <w:szCs w:val="24"/>
                <w14:textFill>
                  <w14:solidFill>
                    <w14:schemeClr w14:val="tx1"/>
                  </w14:solidFill>
                </w14:textFill>
              </w:rPr>
              <w:t>。项目配置1</w:t>
            </w:r>
            <w:r>
              <w:rPr>
                <w:rFonts w:eastAsia="宋体"/>
                <w:bCs/>
                <w:color w:val="000000" w:themeColor="text1"/>
                <w:sz w:val="24"/>
                <w:szCs w:val="24"/>
                <w14:textFill>
                  <w14:solidFill>
                    <w14:schemeClr w14:val="tx1"/>
                  </w14:solidFill>
                </w14:textFill>
              </w:rPr>
              <w:t>0</w:t>
            </w:r>
            <w:r>
              <w:rPr>
                <w:rFonts w:hint="eastAsia" w:eastAsia="宋体"/>
                <w:bCs/>
                <w:color w:val="000000" w:themeColor="text1"/>
                <w:sz w:val="24"/>
                <w:szCs w:val="24"/>
                <w14:textFill>
                  <w14:solidFill>
                    <w14:schemeClr w14:val="tx1"/>
                  </w14:solidFill>
                </w14:textFill>
              </w:rPr>
              <w:t>把喷枪，喷枪的涂料喷出量为80mL</w:t>
            </w:r>
            <w:r>
              <w:rPr>
                <w:rFonts w:eastAsia="宋体"/>
                <w:bCs/>
                <w:color w:val="000000" w:themeColor="text1"/>
                <w:sz w:val="24"/>
                <w:szCs w:val="24"/>
                <w14:textFill>
                  <w14:solidFill>
                    <w14:schemeClr w14:val="tx1"/>
                  </w14:solidFill>
                </w14:textFill>
              </w:rPr>
              <w:t>/</w:t>
            </w:r>
            <w:r>
              <w:rPr>
                <w:rFonts w:hint="eastAsia" w:eastAsia="宋体"/>
                <w:bCs/>
                <w:color w:val="000000" w:themeColor="text1"/>
                <w:sz w:val="24"/>
                <w:szCs w:val="24"/>
                <w14:textFill>
                  <w14:solidFill>
                    <w14:schemeClr w14:val="tx1"/>
                  </w14:solidFill>
                </w14:textFill>
              </w:rPr>
              <w:t>min，项目年工作时间为2</w:t>
            </w:r>
            <w:r>
              <w:rPr>
                <w:rFonts w:eastAsia="宋体"/>
                <w:bCs/>
                <w:color w:val="000000" w:themeColor="text1"/>
                <w:sz w:val="24"/>
                <w:szCs w:val="24"/>
                <w14:textFill>
                  <w14:solidFill>
                    <w14:schemeClr w14:val="tx1"/>
                  </w14:solidFill>
                </w14:textFill>
              </w:rPr>
              <w:t>400</w:t>
            </w:r>
            <w:r>
              <w:rPr>
                <w:rFonts w:hint="eastAsia" w:eastAsia="宋体"/>
                <w:bCs/>
                <w:color w:val="000000" w:themeColor="text1"/>
                <w:sz w:val="24"/>
                <w:szCs w:val="24"/>
                <w14:textFill>
                  <w14:solidFill>
                    <w14:schemeClr w14:val="tx1"/>
                  </w14:solidFill>
                </w14:textFill>
              </w:rPr>
              <w:t>h，因此可喷涂油漆19.20m</w:t>
            </w:r>
            <w:r>
              <w:rPr>
                <w:rFonts w:eastAsia="宋体"/>
                <w:bCs/>
                <w:color w:val="000000" w:themeColor="text1"/>
                <w:sz w:val="24"/>
                <w:szCs w:val="24"/>
                <w:vertAlign w:val="superscript"/>
                <w14:textFill>
                  <w14:solidFill>
                    <w14:schemeClr w14:val="tx1"/>
                  </w14:solidFill>
                </w14:textFill>
              </w:rPr>
              <w:t>3</w:t>
            </w:r>
            <w:r>
              <w:rPr>
                <w:rFonts w:hint="eastAsia" w:eastAsia="宋体"/>
                <w:bCs/>
                <w:color w:val="000000" w:themeColor="text1"/>
                <w:sz w:val="24"/>
                <w:szCs w:val="24"/>
                <w14:textFill>
                  <w14:solidFill>
                    <w14:schemeClr w14:val="tx1"/>
                  </w14:solidFill>
                </w14:textFill>
              </w:rPr>
              <w:t>（＞15.43m</w:t>
            </w:r>
            <w:r>
              <w:rPr>
                <w:rFonts w:eastAsia="宋体"/>
                <w:bCs/>
                <w:color w:val="000000" w:themeColor="text1"/>
                <w:sz w:val="24"/>
                <w:szCs w:val="24"/>
                <w:vertAlign w:val="superscript"/>
                <w14:textFill>
                  <w14:solidFill>
                    <w14:schemeClr w14:val="tx1"/>
                  </w14:solidFill>
                </w14:textFill>
              </w:rPr>
              <w:t>3</w:t>
            </w:r>
            <w:r>
              <w:rPr>
                <w:rFonts w:hint="eastAsia" w:eastAsia="宋体"/>
                <w:bCs/>
                <w:color w:val="000000" w:themeColor="text1"/>
                <w:sz w:val="24"/>
                <w:szCs w:val="24"/>
                <w14:textFill>
                  <w14:solidFill>
                    <w14:schemeClr w14:val="tx1"/>
                  </w14:solidFill>
                </w14:textFill>
              </w:rPr>
              <w:t>）。因此，企业实际配置的喷漆设备能够满足设计产能需求。</w:t>
            </w:r>
          </w:p>
          <w:p w14:paraId="659CDAC6">
            <w:pPr>
              <w:spacing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rFonts w:hint="eastAsia"/>
                <w:b/>
                <w:color w:val="000000" w:themeColor="text1"/>
                <w:sz w:val="24"/>
                <w14:textFill>
                  <w14:solidFill>
                    <w14:schemeClr w14:val="tx1"/>
                  </w14:solidFill>
                </w14:textFill>
              </w:rPr>
              <w:t>能源消耗</w:t>
            </w:r>
          </w:p>
          <w:p w14:paraId="4D81C8DA">
            <w:pPr>
              <w:tabs>
                <w:tab w:val="left" w:pos="7380"/>
              </w:tabs>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不设发电机</w:t>
            </w:r>
            <w:r>
              <w:rPr>
                <w:color w:val="000000" w:themeColor="text1"/>
                <w:sz w:val="24"/>
                <w14:textFill>
                  <w14:solidFill>
                    <w14:schemeClr w14:val="tx1"/>
                  </w14:solidFill>
                </w14:textFill>
              </w:rPr>
              <w:t>，能源消耗见下表：</w:t>
            </w:r>
          </w:p>
          <w:p w14:paraId="070334C1">
            <w:pPr>
              <w:jc w:val="center"/>
              <w:rPr>
                <w:b/>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7</w:t>
            </w:r>
            <w:r>
              <w:rPr>
                <w:b/>
                <w:bCs/>
                <w:color w:val="000000" w:themeColor="text1"/>
                <w:szCs w:val="21"/>
                <w14:textFill>
                  <w14:solidFill>
                    <w14:schemeClr w14:val="tx1"/>
                  </w14:solidFill>
                </w14:textFill>
              </w:rPr>
              <w:t xml:space="preserve">  项目</w:t>
            </w:r>
            <w:r>
              <w:rPr>
                <w:rFonts w:hint="eastAsia"/>
                <w:b/>
                <w:bCs/>
                <w:color w:val="000000" w:themeColor="text1"/>
                <w:szCs w:val="21"/>
                <w14:textFill>
                  <w14:solidFill>
                    <w14:schemeClr w14:val="tx1"/>
                  </w14:solidFill>
                </w14:textFill>
              </w:rPr>
              <w:t>能源消耗</w:t>
            </w:r>
            <w:r>
              <w:rPr>
                <w:b/>
                <w:bCs/>
                <w:color w:val="000000" w:themeColor="text1"/>
                <w:szCs w:val="21"/>
                <w14:textFill>
                  <w14:solidFill>
                    <w14:schemeClr w14:val="tx1"/>
                  </w14:solidFill>
                </w14:textFill>
              </w:rPr>
              <w:t>一览表</w:t>
            </w:r>
          </w:p>
          <w:tbl>
            <w:tblPr>
              <w:tblStyle w:val="40"/>
              <w:tblW w:w="48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87"/>
              <w:gridCol w:w="2258"/>
              <w:gridCol w:w="1909"/>
              <w:gridCol w:w="1909"/>
              <w:gridCol w:w="1403"/>
            </w:tblGrid>
            <w:tr w14:paraId="06C0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476" w:type="pct"/>
                  <w:vAlign w:val="center"/>
                </w:tcPr>
                <w:p w14:paraId="210B969F">
                  <w:pPr>
                    <w:pStyle w:val="57"/>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366" w:type="pct"/>
                  <w:vAlign w:val="center"/>
                </w:tcPr>
                <w:p w14:paraId="549E28AD">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能源</w:t>
                  </w:r>
                </w:p>
              </w:tc>
              <w:tc>
                <w:tcPr>
                  <w:tcW w:w="1155" w:type="pct"/>
                  <w:vAlign w:val="center"/>
                </w:tcPr>
                <w:p w14:paraId="528B69A9">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年耗量</w:t>
                  </w:r>
                  <w:r>
                    <w:rPr>
                      <w:b/>
                      <w:color w:val="000000" w:themeColor="text1"/>
                      <w:sz w:val="21"/>
                      <w:szCs w:val="21"/>
                      <w14:textFill>
                        <w14:solidFill>
                          <w14:schemeClr w14:val="tx1"/>
                        </w14:solidFill>
                      </w14:textFill>
                    </w:rPr>
                    <w:t>（m</w:t>
                  </w:r>
                  <w:r>
                    <w:rPr>
                      <w:b/>
                      <w:color w:val="000000" w:themeColor="text1"/>
                      <w:sz w:val="21"/>
                      <w:szCs w:val="21"/>
                      <w:vertAlign w:val="superscript"/>
                      <w14:textFill>
                        <w14:solidFill>
                          <w14:schemeClr w14:val="tx1"/>
                        </w14:solidFill>
                      </w14:textFill>
                    </w:rPr>
                    <w:t>3</w:t>
                  </w:r>
                  <w:r>
                    <w:rPr>
                      <w:rFonts w:hint="eastAsia"/>
                      <w:b/>
                      <w:color w:val="000000" w:themeColor="text1"/>
                      <w:sz w:val="21"/>
                      <w:szCs w:val="21"/>
                      <w14:textFill>
                        <w14:solidFill>
                          <w14:schemeClr w14:val="tx1"/>
                        </w14:solidFill>
                      </w14:textFill>
                    </w:rPr>
                    <w:t>/a</w:t>
                  </w:r>
                  <w:r>
                    <w:rPr>
                      <w:b/>
                      <w:color w:val="000000" w:themeColor="text1"/>
                      <w:sz w:val="21"/>
                      <w:szCs w:val="21"/>
                      <w14:textFill>
                        <w14:solidFill>
                          <w14:schemeClr w14:val="tx1"/>
                        </w14:solidFill>
                      </w14:textFill>
                    </w:rPr>
                    <w:t>）</w:t>
                  </w:r>
                </w:p>
              </w:tc>
              <w:tc>
                <w:tcPr>
                  <w:tcW w:w="1155" w:type="pct"/>
                  <w:vAlign w:val="center"/>
                </w:tcPr>
                <w:p w14:paraId="4961590D">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用途</w:t>
                  </w:r>
                </w:p>
              </w:tc>
              <w:tc>
                <w:tcPr>
                  <w:tcW w:w="849" w:type="pct"/>
                  <w:vAlign w:val="center"/>
                </w:tcPr>
                <w:p w14:paraId="36A22DB3">
                  <w:pPr>
                    <w:pStyle w:val="57"/>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来源</w:t>
                  </w:r>
                </w:p>
              </w:tc>
            </w:tr>
            <w:tr w14:paraId="3583C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476" w:type="pct"/>
                  <w:vAlign w:val="center"/>
                </w:tcPr>
                <w:p w14:paraId="10E7393A">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366" w:type="pct"/>
                  <w:vAlign w:val="center"/>
                </w:tcPr>
                <w:p w14:paraId="118B2444">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生产用水</w:t>
                  </w:r>
                </w:p>
              </w:tc>
              <w:tc>
                <w:tcPr>
                  <w:tcW w:w="1155" w:type="pct"/>
                  <w:vAlign w:val="center"/>
                </w:tcPr>
                <w:p w14:paraId="21FAEF0A">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2555.44</w:t>
                  </w:r>
                </w:p>
              </w:tc>
              <w:tc>
                <w:tcPr>
                  <w:tcW w:w="1155" w:type="pct"/>
                  <w:vAlign w:val="center"/>
                </w:tcPr>
                <w:p w14:paraId="32B11E29">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生产用水</w:t>
                  </w:r>
                </w:p>
              </w:tc>
              <w:tc>
                <w:tcPr>
                  <w:tcW w:w="849" w:type="pct"/>
                  <w:vAlign w:val="center"/>
                </w:tcPr>
                <w:p w14:paraId="4FDEE854">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市政供水</w:t>
                  </w:r>
                </w:p>
              </w:tc>
            </w:tr>
            <w:tr w14:paraId="2B05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476" w:type="pct"/>
                  <w:vAlign w:val="center"/>
                </w:tcPr>
                <w:p w14:paraId="1C2CCB3D">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1366" w:type="pct"/>
                  <w:vAlign w:val="center"/>
                </w:tcPr>
                <w:p w14:paraId="7D7D9D00">
                  <w:pPr>
                    <w:pStyle w:val="57"/>
                    <w:snapToGrid w:val="0"/>
                    <w:jc w:val="center"/>
                    <w:rPr>
                      <w:color w:val="7030A0"/>
                      <w:sz w:val="21"/>
                      <w:szCs w:val="21"/>
                    </w:rPr>
                  </w:pPr>
                  <w:r>
                    <w:rPr>
                      <w:rFonts w:hint="eastAsia"/>
                      <w:color w:val="000000" w:themeColor="text1"/>
                      <w:sz w:val="21"/>
                      <w:szCs w:val="21"/>
                      <w14:textFill>
                        <w14:solidFill>
                          <w14:schemeClr w14:val="tx1"/>
                        </w14:solidFill>
                      </w14:textFill>
                    </w:rPr>
                    <w:t>生活用水</w:t>
                  </w:r>
                </w:p>
              </w:tc>
              <w:tc>
                <w:tcPr>
                  <w:tcW w:w="1155" w:type="pct"/>
                  <w:vAlign w:val="center"/>
                </w:tcPr>
                <w:p w14:paraId="56FD11E5">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840.00</w:t>
                  </w:r>
                </w:p>
              </w:tc>
              <w:tc>
                <w:tcPr>
                  <w:tcW w:w="1155" w:type="pct"/>
                  <w:vAlign w:val="center"/>
                </w:tcPr>
                <w:p w14:paraId="45A452A3">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生活用水</w:t>
                  </w:r>
                </w:p>
              </w:tc>
              <w:tc>
                <w:tcPr>
                  <w:tcW w:w="849" w:type="pct"/>
                  <w:vAlign w:val="center"/>
                </w:tcPr>
                <w:p w14:paraId="4C0305E4">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市政供水</w:t>
                  </w:r>
                </w:p>
              </w:tc>
            </w:tr>
            <w:tr w14:paraId="20C65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476" w:type="pct"/>
                  <w:vAlign w:val="center"/>
                </w:tcPr>
                <w:p w14:paraId="184AA529">
                  <w:pPr>
                    <w:pStyle w:val="57"/>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366" w:type="pct"/>
                  <w:vAlign w:val="center"/>
                </w:tcPr>
                <w:p w14:paraId="02AED2AA">
                  <w:pPr>
                    <w:pStyle w:val="57"/>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电能（万</w:t>
                  </w:r>
                  <w:r>
                    <w:rPr>
                      <w:color w:val="000000" w:themeColor="text1"/>
                      <w:sz w:val="21"/>
                      <w:szCs w:val="21"/>
                      <w14:textFill>
                        <w14:solidFill>
                          <w14:schemeClr w14:val="tx1"/>
                        </w14:solidFill>
                      </w14:textFill>
                    </w:rPr>
                    <w:t>kW·h/a</w:t>
                  </w:r>
                  <w:r>
                    <w:rPr>
                      <w:rFonts w:hint="eastAsia"/>
                      <w:color w:val="000000" w:themeColor="text1"/>
                      <w:sz w:val="21"/>
                      <w:szCs w:val="21"/>
                      <w14:textFill>
                        <w14:solidFill>
                          <w14:schemeClr w14:val="tx1"/>
                        </w14:solidFill>
                      </w14:textFill>
                    </w:rPr>
                    <w:t>）</w:t>
                  </w:r>
                </w:p>
              </w:tc>
              <w:tc>
                <w:tcPr>
                  <w:tcW w:w="1155" w:type="pct"/>
                  <w:vAlign w:val="center"/>
                </w:tcPr>
                <w:p w14:paraId="07D48327">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1155" w:type="pct"/>
                  <w:vAlign w:val="center"/>
                </w:tcPr>
                <w:p w14:paraId="7EB815E8">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生产用电</w:t>
                  </w:r>
                </w:p>
              </w:tc>
              <w:tc>
                <w:tcPr>
                  <w:tcW w:w="849" w:type="pct"/>
                  <w:vAlign w:val="center"/>
                </w:tcPr>
                <w:p w14:paraId="772D5297">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市政供电</w:t>
                  </w:r>
                </w:p>
              </w:tc>
            </w:tr>
          </w:tbl>
          <w:p w14:paraId="74D2898A">
            <w:pPr>
              <w:numPr>
                <w:ilvl w:val="0"/>
                <w:numId w:val="3"/>
              </w:numPr>
              <w:spacing w:line="360" w:lineRule="auto"/>
              <w:ind w:left="630" w:hanging="42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劳动定员与工作制度</w:t>
            </w:r>
          </w:p>
          <w:p w14:paraId="4BF37BF4">
            <w:pPr>
              <w:pStyle w:val="2"/>
              <w:spacing w:line="360" w:lineRule="auto"/>
              <w:ind w:firstLine="482"/>
              <w:rPr>
                <w:rFonts w:eastAsia="宋体"/>
                <w:bCs/>
                <w:color w:val="000000" w:themeColor="text1"/>
                <w:sz w:val="24"/>
                <w:szCs w:val="24"/>
                <w14:textFill>
                  <w14:solidFill>
                    <w14:schemeClr w14:val="tx1"/>
                  </w14:solidFill>
                </w14:textFill>
              </w:rPr>
            </w:pPr>
            <w:r>
              <w:rPr>
                <w:rFonts w:hint="eastAsia" w:eastAsia="宋体"/>
                <w:bCs/>
                <w:color w:val="000000" w:themeColor="text1"/>
                <w:sz w:val="24"/>
                <w:szCs w:val="24"/>
                <w14:textFill>
                  <w14:solidFill>
                    <w14:schemeClr w14:val="tx1"/>
                  </w14:solidFill>
                </w14:textFill>
              </w:rPr>
              <w:t>本项目员工16人，厂区内设宿舍和食堂</w:t>
            </w:r>
            <w:r>
              <w:rPr>
                <w:rFonts w:eastAsia="宋体"/>
                <w:bCs/>
                <w:color w:val="000000" w:themeColor="text1"/>
                <w:sz w:val="24"/>
                <w:szCs w:val="24"/>
                <w14:textFill>
                  <w14:solidFill>
                    <w14:schemeClr w14:val="tx1"/>
                  </w14:solidFill>
                </w14:textFill>
              </w:rPr>
              <w:t>。</w:t>
            </w:r>
            <w:r>
              <w:rPr>
                <w:rFonts w:hint="eastAsia" w:eastAsia="宋体"/>
                <w:bCs/>
                <w:color w:val="000000" w:themeColor="text1"/>
                <w:sz w:val="24"/>
                <w:szCs w:val="24"/>
                <w14:textFill>
                  <w14:solidFill>
                    <w14:schemeClr w14:val="tx1"/>
                  </w14:solidFill>
                </w14:textFill>
              </w:rPr>
              <w:t>年工作</w:t>
            </w:r>
            <w:r>
              <w:rPr>
                <w:rFonts w:eastAsia="宋体"/>
                <w:bCs/>
                <w:color w:val="000000" w:themeColor="text1"/>
                <w:sz w:val="24"/>
                <w:szCs w:val="24"/>
                <w14:textFill>
                  <w14:solidFill>
                    <w14:schemeClr w14:val="tx1"/>
                  </w14:solidFill>
                </w14:textFill>
              </w:rPr>
              <w:t>300</w:t>
            </w:r>
            <w:r>
              <w:rPr>
                <w:rFonts w:hint="eastAsia" w:eastAsia="宋体"/>
                <w:bCs/>
                <w:color w:val="000000" w:themeColor="text1"/>
                <w:sz w:val="24"/>
                <w:szCs w:val="24"/>
                <w14:textFill>
                  <w14:solidFill>
                    <w14:schemeClr w14:val="tx1"/>
                  </w14:solidFill>
                </w14:textFill>
              </w:rPr>
              <w:t>天，每天工作8小时。</w:t>
            </w:r>
          </w:p>
          <w:p w14:paraId="56E70D31">
            <w:pPr>
              <w:numPr>
                <w:ilvl w:val="0"/>
                <w:numId w:val="3"/>
              </w:numPr>
              <w:spacing w:line="360" w:lineRule="auto"/>
              <w:ind w:left="630" w:hanging="42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公用工程及辅助设施</w:t>
            </w:r>
          </w:p>
          <w:p w14:paraId="78F1EA90">
            <w:pPr>
              <w:pStyle w:val="2"/>
              <w:spacing w:line="360" w:lineRule="auto"/>
              <w:ind w:firstLine="482" w:firstLineChars="200"/>
              <w:rPr>
                <w:rFonts w:eastAsia="宋体"/>
                <w:b/>
                <w:color w:val="000000" w:themeColor="text1"/>
                <w:sz w:val="24"/>
                <w:szCs w:val="24"/>
                <w14:textFill>
                  <w14:solidFill>
                    <w14:schemeClr w14:val="tx1"/>
                  </w14:solidFill>
                </w14:textFill>
              </w:rPr>
            </w:pPr>
            <w:r>
              <w:rPr>
                <w:rFonts w:hint="eastAsia" w:eastAsia="宋体"/>
                <w:b/>
                <w:color w:val="000000" w:themeColor="text1"/>
                <w:sz w:val="24"/>
                <w:szCs w:val="24"/>
                <w14:textFill>
                  <w14:solidFill>
                    <w14:schemeClr w14:val="tx1"/>
                  </w14:solidFill>
                </w14:textFill>
              </w:rPr>
              <w:t xml:space="preserve">① </w:t>
            </w:r>
            <w:r>
              <w:rPr>
                <w:rFonts w:eastAsia="宋体"/>
                <w:b/>
                <w:color w:val="000000" w:themeColor="text1"/>
                <w:sz w:val="24"/>
                <w:szCs w:val="24"/>
                <w14:textFill>
                  <w14:solidFill>
                    <w14:schemeClr w14:val="tx1"/>
                  </w14:solidFill>
                </w14:textFill>
              </w:rPr>
              <w:t>能源使用</w:t>
            </w:r>
          </w:p>
          <w:p w14:paraId="73C08760">
            <w:pPr>
              <w:pStyle w:val="2"/>
              <w:spacing w:line="360" w:lineRule="auto"/>
              <w:ind w:firstLine="482"/>
              <w:rPr>
                <w:rFonts w:eastAsia="宋体"/>
                <w:bCs/>
                <w:color w:val="000000" w:themeColor="text1"/>
                <w:sz w:val="24"/>
                <w:szCs w:val="24"/>
                <w14:textFill>
                  <w14:solidFill>
                    <w14:schemeClr w14:val="tx1"/>
                  </w14:solidFill>
                </w14:textFill>
              </w:rPr>
            </w:pPr>
            <w:r>
              <w:rPr>
                <w:rFonts w:eastAsia="宋体"/>
                <w:bCs/>
                <w:color w:val="000000" w:themeColor="text1"/>
                <w:sz w:val="24"/>
                <w:szCs w:val="24"/>
                <w14:textFill>
                  <w14:solidFill>
                    <w14:schemeClr w14:val="tx1"/>
                  </w14:solidFill>
                </w14:textFill>
              </w:rPr>
              <w:t>项目所有设备均使用电能，依托</w:t>
            </w:r>
            <w:r>
              <w:rPr>
                <w:rFonts w:hint="eastAsia" w:eastAsia="宋体"/>
                <w:bCs/>
                <w:color w:val="000000" w:themeColor="text1"/>
                <w:sz w:val="24"/>
                <w:szCs w:val="24"/>
                <w14:textFill>
                  <w14:solidFill>
                    <w14:schemeClr w14:val="tx1"/>
                  </w14:solidFill>
                </w14:textFill>
              </w:rPr>
              <w:t>市政</w:t>
            </w:r>
            <w:r>
              <w:rPr>
                <w:rFonts w:eastAsia="宋体"/>
                <w:bCs/>
                <w:color w:val="000000" w:themeColor="text1"/>
                <w:sz w:val="24"/>
                <w:szCs w:val="24"/>
                <w14:textFill>
                  <w14:solidFill>
                    <w14:schemeClr w14:val="tx1"/>
                  </w14:solidFill>
                </w14:textFill>
              </w:rPr>
              <w:t>电网供电。项目不设置备用发电机。</w:t>
            </w:r>
          </w:p>
          <w:p w14:paraId="3C1671D3">
            <w:pPr>
              <w:pStyle w:val="2"/>
              <w:spacing w:line="360" w:lineRule="auto"/>
              <w:ind w:firstLine="482" w:firstLineChars="200"/>
              <w:rPr>
                <w:rFonts w:eastAsia="宋体"/>
                <w:b/>
                <w:color w:val="000000" w:themeColor="text1"/>
                <w:sz w:val="24"/>
                <w:szCs w:val="24"/>
                <w14:textFill>
                  <w14:solidFill>
                    <w14:schemeClr w14:val="tx1"/>
                  </w14:solidFill>
                </w14:textFill>
              </w:rPr>
            </w:pPr>
            <w:r>
              <w:rPr>
                <w:rFonts w:hint="eastAsia" w:eastAsia="宋体"/>
                <w:b/>
                <w:color w:val="000000" w:themeColor="text1"/>
                <w:sz w:val="24"/>
                <w:szCs w:val="24"/>
                <w14:textFill>
                  <w14:solidFill>
                    <w14:schemeClr w14:val="tx1"/>
                  </w14:solidFill>
                </w14:textFill>
              </w:rPr>
              <w:t xml:space="preserve">② </w:t>
            </w:r>
            <w:r>
              <w:rPr>
                <w:rFonts w:eastAsia="宋体"/>
                <w:b/>
                <w:color w:val="000000" w:themeColor="text1"/>
                <w:sz w:val="24"/>
                <w:szCs w:val="24"/>
                <w14:textFill>
                  <w14:solidFill>
                    <w14:schemeClr w14:val="tx1"/>
                  </w14:solidFill>
                </w14:textFill>
              </w:rPr>
              <w:t>给水</w:t>
            </w:r>
          </w:p>
          <w:p w14:paraId="4419808C">
            <w:pPr>
              <w:pStyle w:val="2"/>
              <w:spacing w:line="360" w:lineRule="auto"/>
              <w:ind w:firstLine="482"/>
              <w:rPr>
                <w:rFonts w:eastAsia="宋体"/>
                <w:bCs/>
                <w:color w:val="000000" w:themeColor="text1"/>
                <w:sz w:val="24"/>
                <w:szCs w:val="24"/>
                <w14:textFill>
                  <w14:solidFill>
                    <w14:schemeClr w14:val="tx1"/>
                  </w14:solidFill>
                </w14:textFill>
              </w:rPr>
            </w:pPr>
            <w:r>
              <w:rPr>
                <w:rFonts w:eastAsia="宋体"/>
                <w:bCs/>
                <w:color w:val="000000" w:themeColor="text1"/>
                <w:sz w:val="24"/>
                <w:szCs w:val="24"/>
                <w14:textFill>
                  <w14:solidFill>
                    <w14:schemeClr w14:val="tx1"/>
                  </w14:solidFill>
                </w14:textFill>
              </w:rPr>
              <w:t>项目用水</w:t>
            </w:r>
            <w:r>
              <w:rPr>
                <w:rFonts w:hint="eastAsia" w:eastAsia="宋体"/>
                <w:bCs/>
                <w:color w:val="000000" w:themeColor="text1"/>
                <w:sz w:val="24"/>
                <w:szCs w:val="24"/>
                <w14:textFill>
                  <w14:solidFill>
                    <w14:schemeClr w14:val="tx1"/>
                  </w14:solidFill>
                </w14:textFill>
              </w:rPr>
              <w:t>包含生产用水、</w:t>
            </w:r>
            <w:r>
              <w:rPr>
                <w:rFonts w:eastAsia="宋体"/>
                <w:bCs/>
                <w:color w:val="000000" w:themeColor="text1"/>
                <w:sz w:val="24"/>
                <w:szCs w:val="24"/>
                <w14:textFill>
                  <w14:solidFill>
                    <w14:schemeClr w14:val="tx1"/>
                  </w14:solidFill>
                </w14:textFill>
              </w:rPr>
              <w:t>生活用水。</w:t>
            </w:r>
          </w:p>
          <w:p w14:paraId="21654CFC">
            <w:pPr>
              <w:numPr>
                <w:ilvl w:val="0"/>
                <w:numId w:val="4"/>
              </w:numPr>
              <w:autoSpaceDE w:val="0"/>
              <w:autoSpaceDN w:val="0"/>
              <w:adjustRightInd w:val="0"/>
              <w:spacing w:line="360" w:lineRule="auto"/>
              <w:ind w:left="0" w:firstLine="4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生产用水</w:t>
            </w:r>
          </w:p>
          <w:p w14:paraId="46471605">
            <w:pPr>
              <w:numPr>
                <w:ilvl w:val="0"/>
                <w:numId w:val="5"/>
              </w:numPr>
              <w:autoSpaceDE w:val="0"/>
              <w:autoSpaceDN w:val="0"/>
              <w:adjustRightInd w:val="0"/>
              <w:spacing w:line="360" w:lineRule="auto"/>
              <w:ind w:left="0" w:firstLine="482"/>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喷枪清洗用水：</w:t>
            </w:r>
            <w:r>
              <w:rPr>
                <w:rFonts w:hint="eastAsia"/>
                <w:color w:val="000000" w:themeColor="text1"/>
                <w:sz w:val="24"/>
                <w14:textFill>
                  <w14:solidFill>
                    <w14:schemeClr w14:val="tx1"/>
                  </w14:solidFill>
                </w14:textFill>
              </w:rPr>
              <w:t>本项目喷枪采用清水冲洗方式清洗，冲洗过程为将油漆喷枪倒置，用温水冲虹吸管，使之从喷嘴流出，将残留于喷枪内的油漆冲洗干净，清洗后将所有配件吹干即可。根据建设单位提供的资料，项目喷枪清洗频率为每天清洗一次，每次使用完毕后立即清洗，清洗水流量为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08</w:t>
            </w: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min，喷枪清洗过程约需要3min，因此，项目使用的喷枪清洗水用量为0.08L/min×3min/次×</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把=2.4</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L/d，约0.72m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w:t>
            </w:r>
          </w:p>
          <w:p w14:paraId="302499AE">
            <w:pPr>
              <w:numPr>
                <w:ilvl w:val="0"/>
                <w:numId w:val="5"/>
              </w:numPr>
              <w:autoSpaceDE w:val="0"/>
              <w:autoSpaceDN w:val="0"/>
              <w:adjustRightInd w:val="0"/>
              <w:spacing w:line="360" w:lineRule="auto"/>
              <w:ind w:left="0" w:firstLine="482"/>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喷漆水帘柜用</w:t>
            </w:r>
            <w:r>
              <w:rPr>
                <w:b/>
                <w:bCs/>
                <w:color w:val="000000" w:themeColor="text1"/>
                <w:sz w:val="24"/>
                <w14:textFill>
                  <w14:solidFill>
                    <w14:schemeClr w14:val="tx1"/>
                  </w14:solidFill>
                </w14:textFill>
              </w:rPr>
              <w:t>水</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设有3个水帘柜，水帘柜大小均为水4</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m（长×宽×高）（有效水深</w:t>
            </w:r>
            <w:r>
              <w:rPr>
                <w:color w:val="000000" w:themeColor="text1"/>
                <w:sz w:val="24"/>
                <w14:textFill>
                  <w14:solidFill>
                    <w14:schemeClr w14:val="tx1"/>
                  </w14:solidFill>
                </w14:textFill>
              </w:rPr>
              <w:t>0.3</w:t>
            </w:r>
            <w:r>
              <w:rPr>
                <w:rFonts w:hint="eastAsia"/>
                <w:color w:val="000000" w:themeColor="text1"/>
                <w:sz w:val="24"/>
                <w14:textFill>
                  <w14:solidFill>
                    <w14:schemeClr w14:val="tx1"/>
                  </w14:solidFill>
                </w14:textFill>
              </w:rPr>
              <w:t>m），有效容积合计约5.76</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。水帘柜内用水循环使用，根据企业提供的资料，更换周期为每</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个月一次，则水帘柜废水的产生量为23.04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8m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w:t>
            </w:r>
          </w:p>
          <w:p w14:paraId="07287637">
            <w:pPr>
              <w:autoSpaceDE w:val="0"/>
              <w:autoSpaceDN w:val="0"/>
              <w:adjustRightInd w:val="0"/>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根据《简明通风设计手册》（孙一坚主编）第527页表10-48“各种吸收装置的技术经济比较”，水帘柜的液气比0.1~1.0L/m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，项目水帘柜喷淋用水参考液气比1</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0L/m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计算，喷漆房设计风量为35</w:t>
            </w:r>
            <w:r>
              <w:rPr>
                <w:color w:val="000000" w:themeColor="text1"/>
                <w:sz w:val="24"/>
                <w14:textFill>
                  <w14:solidFill>
                    <w14:schemeClr w14:val="tx1"/>
                  </w14:solidFill>
                </w14:textFill>
              </w:rPr>
              <w:t>000</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h，则水帘柜的循环水量为35m</w:t>
            </w:r>
            <w:r>
              <w:rPr>
                <w:rFonts w:hint="eastAsia"/>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h，即280.00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d，即840</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。根据《涂装车间设计手册》，喷淋式每小时耗水量的百分比系数取</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，则喷漆房水帘柜水损耗量为4.20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d（1260.00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），则需要</w:t>
            </w:r>
            <w:r>
              <w:rPr>
                <w:color w:val="000000" w:themeColor="text1"/>
                <w:sz w:val="24"/>
                <w14:textFill>
                  <w14:solidFill>
                    <w14:schemeClr w14:val="tx1"/>
                  </w14:solidFill>
                </w14:textFill>
              </w:rPr>
              <w:t>补充新鲜水</w:t>
            </w:r>
            <w:r>
              <w:rPr>
                <w:rFonts w:hint="eastAsia"/>
                <w:color w:val="000000" w:themeColor="text1"/>
                <w:sz w:val="24"/>
                <w14:textFill>
                  <w14:solidFill>
                    <w14:schemeClr w14:val="tx1"/>
                  </w14:solidFill>
                </w14:textFill>
              </w:rPr>
              <w:t>为4.20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，即1260.00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。在统计水帘柜更换废水量后，水帘柜补充水量合计为4.28</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（1283.04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w:t>
            </w:r>
          </w:p>
          <w:p w14:paraId="364BD2D4">
            <w:pPr>
              <w:numPr>
                <w:ilvl w:val="0"/>
                <w:numId w:val="5"/>
              </w:numPr>
              <w:autoSpaceDE w:val="0"/>
              <w:autoSpaceDN w:val="0"/>
              <w:adjustRightInd w:val="0"/>
              <w:spacing w:line="360" w:lineRule="auto"/>
              <w:ind w:left="0" w:firstLine="482"/>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喷漆、晾干废气处理装置水喷淋塔用</w:t>
            </w:r>
            <w:r>
              <w:rPr>
                <w:b/>
                <w:bCs/>
                <w:color w:val="000000" w:themeColor="text1"/>
                <w:sz w:val="24"/>
                <w14:textFill>
                  <w14:solidFill>
                    <w14:schemeClr w14:val="tx1"/>
                  </w14:solidFill>
                </w14:textFill>
              </w:rPr>
              <w:t>水：</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喷漆、晾干废气</w:t>
            </w:r>
            <w:r>
              <w:rPr>
                <w:color w:val="000000" w:themeColor="text1"/>
                <w:sz w:val="24"/>
                <w14:textFill>
                  <w14:solidFill>
                    <w14:schemeClr w14:val="tx1"/>
                  </w14:solidFill>
                </w14:textFill>
              </w:rPr>
              <w:t>进入喷淋塔处理，根据《简明通风设计手册》（孙一坚主编）第527页表10-48</w:t>
            </w:r>
            <w:r>
              <w:rPr>
                <w:rFonts w:hint="eastAsia" w:ascii="宋体" w:hAnsi="宋体" w:cs="宋体"/>
                <w:color w:val="000000" w:themeColor="text1"/>
                <w:sz w:val="24"/>
                <w14:textFill>
                  <w14:solidFill>
                    <w14:schemeClr w14:val="tx1"/>
                  </w14:solidFill>
                </w14:textFill>
              </w:rPr>
              <w:t>“各种吸收装置的技术经济比较”，</w:t>
            </w:r>
            <w:r>
              <w:rPr>
                <w:color w:val="000000" w:themeColor="text1"/>
                <w:sz w:val="24"/>
                <w14:textFill>
                  <w14:solidFill>
                    <w14:schemeClr w14:val="tx1"/>
                  </w14:solidFill>
                </w14:textFill>
              </w:rPr>
              <w:t>喷淋塔气液比为0.1~1.0L/m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，项目喷淋塔循环水量根据气液比1L/m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计算，</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废气处理设施</w:t>
            </w:r>
            <w:r>
              <w:rPr>
                <w:color w:val="000000" w:themeColor="text1"/>
                <w:sz w:val="24"/>
                <w14:textFill>
                  <w14:solidFill>
                    <w14:schemeClr w14:val="tx1"/>
                  </w14:solidFill>
                </w14:textFill>
              </w:rPr>
              <w:t>风量</w:t>
            </w:r>
            <w:r>
              <w:rPr>
                <w:rFonts w:hint="eastAsia"/>
                <w:color w:val="000000" w:themeColor="text1"/>
                <w:sz w:val="24"/>
                <w14:textFill>
                  <w14:solidFill>
                    <w14:schemeClr w14:val="tx1"/>
                  </w14:solidFill>
                </w14:textFill>
              </w:rPr>
              <w:t>均为35</w:t>
            </w:r>
            <w:r>
              <w:rPr>
                <w:color w:val="000000" w:themeColor="text1"/>
                <w:sz w:val="24"/>
                <w14:textFill>
                  <w14:solidFill>
                    <w14:schemeClr w14:val="tx1"/>
                  </w14:solidFill>
                </w14:textFill>
              </w:rPr>
              <w:t>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/h，每天工作8h，年工作300天，则循环用水量</w:t>
            </w:r>
            <w:r>
              <w:rPr>
                <w:rFonts w:hint="eastAsia"/>
                <w:color w:val="000000" w:themeColor="text1"/>
                <w:sz w:val="24"/>
                <w14:textFill>
                  <w14:solidFill>
                    <w14:schemeClr w14:val="tx1"/>
                  </w14:solidFill>
                </w14:textFill>
              </w:rPr>
              <w:t>均</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280</w:t>
            </w:r>
            <w:r>
              <w:rPr>
                <w:color w:val="000000" w:themeColor="text1"/>
                <w:sz w:val="24"/>
                <w14:textFill>
                  <w14:solidFill>
                    <w14:schemeClr w14:val="tx1"/>
                  </w14:solidFill>
                </w14:textFill>
              </w:rPr>
              <w:t>.00m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d（84000.00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，循环水塔储水量按照</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分钟的循环水量核算，则喷淋塔储水量</w:t>
            </w:r>
            <w:r>
              <w:rPr>
                <w:rFonts w:hint="eastAsia"/>
                <w:color w:val="000000" w:themeColor="text1"/>
                <w:sz w:val="24"/>
                <w14:textFill>
                  <w14:solidFill>
                    <w14:schemeClr w14:val="tx1"/>
                  </w14:solidFill>
                </w14:textFill>
              </w:rPr>
              <w:t>约</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2.92</w:t>
            </w:r>
            <w:r>
              <w:rPr>
                <w:color w:val="000000" w:themeColor="text1"/>
                <w:sz w:val="24"/>
                <w14:textFill>
                  <w14:solidFill>
                    <w14:schemeClr w14:val="tx1"/>
                  </w14:solidFill>
                </w14:textFill>
              </w:rPr>
              <w:t>t，参考《建设给水排水设计规范》（GB50015-2019）中对于补充水量，一般按循环水量的1%~2%确定，本项目喷淋塔损耗量约占循环水量的</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%，则损耗水量为</w:t>
            </w:r>
            <w:r>
              <w:rPr>
                <w:rFonts w:hint="eastAsia"/>
                <w:color w:val="000000" w:themeColor="text1"/>
                <w:sz w:val="24"/>
                <w14:textFill>
                  <w14:solidFill>
                    <w14:schemeClr w14:val="tx1"/>
                  </w14:solidFill>
                </w14:textFill>
              </w:rPr>
              <w:t>4.20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，即1260.00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则需要</w:t>
            </w:r>
            <w:r>
              <w:rPr>
                <w:color w:val="000000" w:themeColor="text1"/>
                <w:sz w:val="24"/>
                <w14:textFill>
                  <w14:solidFill>
                    <w14:schemeClr w14:val="tx1"/>
                  </w14:solidFill>
                </w14:textFill>
              </w:rPr>
              <w:t>补充新鲜水</w:t>
            </w:r>
            <w:r>
              <w:rPr>
                <w:rFonts w:hint="eastAsia"/>
                <w:color w:val="000000" w:themeColor="text1"/>
                <w:sz w:val="24"/>
                <w14:textFill>
                  <w14:solidFill>
                    <w14:schemeClr w14:val="tx1"/>
                  </w14:solidFill>
                </w14:textFill>
              </w:rPr>
              <w:t>为4.20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，即1260.00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a。循环水箱中的水平均一年更换4次，则更换水量为11.68</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a（0</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d），则喷淋塔用水量为1271.68</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a（4.24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p>
          <w:p w14:paraId="68CDC268">
            <w:pPr>
              <w:numPr>
                <w:ilvl w:val="0"/>
                <w:numId w:val="5"/>
              </w:numPr>
              <w:autoSpaceDE w:val="0"/>
              <w:autoSpaceDN w:val="0"/>
              <w:adjustRightInd w:val="0"/>
              <w:spacing w:line="360" w:lineRule="auto"/>
              <w:ind w:left="0" w:firstLine="482"/>
              <w:rPr>
                <w:color w:val="000000" w:themeColor="text1"/>
                <w14:textFill>
                  <w14:solidFill>
                    <w14:schemeClr w14:val="tx1"/>
                  </w14:solidFill>
                </w14:textFill>
              </w:rPr>
            </w:pPr>
            <w:r>
              <w:rPr>
                <w:rFonts w:hint="eastAsia"/>
                <w:b/>
                <w:bCs/>
                <w:color w:val="000000" w:themeColor="text1"/>
                <w:sz w:val="24"/>
                <w14:textFill>
                  <w14:solidFill>
                    <w14:schemeClr w14:val="tx1"/>
                  </w14:solidFill>
                </w14:textFill>
              </w:rPr>
              <w:t>腻子粉调配用水：</w:t>
            </w:r>
            <w:r>
              <w:rPr>
                <w:rFonts w:hint="eastAsia"/>
                <w:color w:val="000000" w:themeColor="text1"/>
                <w:sz w:val="24"/>
                <w14:textFill>
                  <w14:solidFill>
                    <w14:schemeClr w14:val="tx1"/>
                  </w14:solidFill>
                </w14:textFill>
              </w:rPr>
              <w:t>项目批灰工序是使用腻子粉，腻子粉与水的调配比例为1:0.5，搅拌均匀后使用，项目腻子粉使用量为2.4t/a，则调配需要加水1.2m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/a，即0.004 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/d，腻子干燥后水分蒸发进入大气。</w:t>
            </w:r>
          </w:p>
          <w:p w14:paraId="173E7C9E">
            <w:pPr>
              <w:numPr>
                <w:ilvl w:val="0"/>
                <w:numId w:val="4"/>
              </w:numPr>
              <w:autoSpaceDE w:val="0"/>
              <w:autoSpaceDN w:val="0"/>
              <w:adjustRightInd w:val="0"/>
              <w:spacing w:line="360" w:lineRule="auto"/>
              <w:ind w:left="0" w:firstLine="400"/>
              <w:rPr>
                <w:b/>
                <w:color w:val="000000" w:themeColor="text1"/>
                <w:sz w:val="24"/>
                <w14:textFill>
                  <w14:solidFill>
                    <w14:schemeClr w14:val="tx1"/>
                  </w14:solidFill>
                </w14:textFill>
              </w:rPr>
            </w:pPr>
            <w:r>
              <w:rPr>
                <w:b/>
                <w:bCs/>
                <w:color w:val="000000" w:themeColor="text1"/>
                <w:sz w:val="24"/>
                <w14:textFill>
                  <w14:solidFill>
                    <w14:schemeClr w14:val="tx1"/>
                  </w14:solidFill>
                </w14:textFill>
              </w:rPr>
              <w:t>生活用水：</w:t>
            </w:r>
            <w:r>
              <w:rPr>
                <w:color w:val="000000" w:themeColor="text1"/>
                <w:sz w:val="24"/>
                <w14:textFill>
                  <w14:solidFill>
                    <w14:schemeClr w14:val="tx1"/>
                  </w14:solidFill>
                </w14:textFill>
              </w:rPr>
              <w:t>本项目员工</w:t>
            </w:r>
            <w:r>
              <w:rPr>
                <w:rFonts w:hint="eastAsia"/>
                <w:color w:val="000000" w:themeColor="text1"/>
                <w:sz w:val="24"/>
                <w14:textFill>
                  <w14:solidFill>
                    <w14:schemeClr w14:val="tx1"/>
                  </w14:solidFill>
                </w14:textFill>
              </w:rPr>
              <w:t>16</w:t>
            </w:r>
            <w:r>
              <w:rPr>
                <w:color w:val="000000" w:themeColor="text1"/>
                <w:sz w:val="24"/>
                <w14:textFill>
                  <w14:solidFill>
                    <w14:schemeClr w14:val="tx1"/>
                  </w14:solidFill>
                </w14:textFill>
              </w:rPr>
              <w:t>人，</w:t>
            </w:r>
            <w:r>
              <w:rPr>
                <w:rFonts w:hint="eastAsia"/>
                <w:color w:val="000000" w:themeColor="text1"/>
                <w:sz w:val="24"/>
                <w14:textFill>
                  <w14:solidFill>
                    <w14:schemeClr w14:val="tx1"/>
                  </w14:solidFill>
                </w14:textFill>
              </w:rPr>
              <w:t>厂区内设宿舍和食堂，</w:t>
            </w:r>
            <w:r>
              <w:rPr>
                <w:color w:val="000000" w:themeColor="text1"/>
                <w:sz w:val="24"/>
                <w14:textFill>
                  <w14:solidFill>
                    <w14:schemeClr w14:val="tx1"/>
                  </w14:solidFill>
                </w14:textFill>
              </w:rPr>
              <w:t>年工作300天。</w:t>
            </w:r>
            <w:r>
              <w:rPr>
                <w:rFonts w:hint="eastAsia"/>
                <w:color w:val="000000" w:themeColor="text1"/>
                <w:sz w:val="24"/>
                <w14:textFill>
                  <w14:solidFill>
                    <w14:schemeClr w14:val="tx1"/>
                  </w14:solidFill>
                </w14:textFill>
              </w:rPr>
              <w:t>参照广东省《用水定额 第3部分：生活》（DB44/T1461.3-2021）中“居民生活用水定额表-特大城镇”用水定额为 175L/（人·d），</w:t>
            </w:r>
            <w:r>
              <w:rPr>
                <w:color w:val="000000" w:themeColor="text1"/>
                <w:sz w:val="24"/>
                <w14:textFill>
                  <w14:solidFill>
                    <w14:schemeClr w14:val="tx1"/>
                  </w14:solidFill>
                </w14:textFill>
              </w:rPr>
              <w:t>则员工生活用水量为</w:t>
            </w:r>
            <w:r>
              <w:rPr>
                <w:rFonts w:hint="eastAsia"/>
                <w:color w:val="000000" w:themeColor="text1"/>
                <w:sz w:val="24"/>
                <w14:textFill>
                  <w14:solidFill>
                    <w14:schemeClr w14:val="tx1"/>
                  </w14:solidFill>
                </w14:textFill>
              </w:rPr>
              <w:t>2.80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d，即840.00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w:t>
            </w:r>
          </w:p>
          <w:p w14:paraId="632F6DD1">
            <w:pPr>
              <w:numPr>
                <w:ilvl w:val="0"/>
                <w:numId w:val="4"/>
              </w:numPr>
              <w:autoSpaceDE w:val="0"/>
              <w:autoSpaceDN w:val="0"/>
              <w:adjustRightInd w:val="0"/>
              <w:spacing w:line="360" w:lineRule="auto"/>
              <w:ind w:left="0" w:firstLine="400"/>
              <w:rPr>
                <w:b/>
                <w:color w:val="000000" w:themeColor="text1"/>
                <w:sz w:val="24"/>
                <w14:textFill>
                  <w14:solidFill>
                    <w14:schemeClr w14:val="tx1"/>
                  </w14:solidFill>
                </w14:textFill>
              </w:rPr>
            </w:pPr>
            <w:r>
              <w:rPr>
                <w:b/>
                <w:color w:val="000000" w:themeColor="text1"/>
                <w:sz w:val="24"/>
                <w14:textFill>
                  <w14:solidFill>
                    <w14:schemeClr w14:val="tx1"/>
                  </w14:solidFill>
                </w14:textFill>
              </w:rPr>
              <w:t>排水情况</w:t>
            </w:r>
          </w:p>
          <w:p w14:paraId="2D94CA03">
            <w:pPr>
              <w:pStyle w:val="2"/>
              <w:spacing w:line="360" w:lineRule="auto"/>
              <w:ind w:firstLine="480" w:firstLineChars="200"/>
              <w:rPr>
                <w:bCs/>
                <w:color w:val="000000" w:themeColor="text1"/>
                <w:sz w:val="24"/>
                <w:szCs w:val="24"/>
                <w14:textFill>
                  <w14:solidFill>
                    <w14:schemeClr w14:val="tx1"/>
                  </w14:solidFill>
                </w14:textFill>
              </w:rPr>
            </w:pPr>
            <w:r>
              <w:rPr>
                <w:rFonts w:eastAsia="宋体"/>
                <w:color w:val="000000" w:themeColor="text1"/>
                <w:sz w:val="24"/>
                <w:szCs w:val="24"/>
                <w14:textFill>
                  <w14:solidFill>
                    <w14:schemeClr w14:val="tx1"/>
                  </w14:solidFill>
                </w14:textFill>
              </w:rPr>
              <w:t>厂区采取雨污分流制。</w:t>
            </w:r>
          </w:p>
          <w:p w14:paraId="40169BD3">
            <w:pPr>
              <w:numPr>
                <w:ilvl w:val="0"/>
                <w:numId w:val="6"/>
              </w:numPr>
              <w:adjustRightInd w:val="0"/>
              <w:snapToGrid w:val="0"/>
              <w:ind w:firstLine="482"/>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生产废水：</w:t>
            </w:r>
          </w:p>
          <w:p w14:paraId="3E64B31C">
            <w:pPr>
              <w:numPr>
                <w:ilvl w:val="0"/>
                <w:numId w:val="7"/>
              </w:numPr>
              <w:autoSpaceDE w:val="0"/>
              <w:autoSpaceDN w:val="0"/>
              <w:adjustRightInd w:val="0"/>
              <w:spacing w:line="360" w:lineRule="auto"/>
              <w:ind w:left="0"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喷枪清洗废水：</w:t>
            </w:r>
            <w:r>
              <w:rPr>
                <w:rFonts w:hint="eastAsia"/>
                <w:color w:val="000000" w:themeColor="text1"/>
                <w:sz w:val="24"/>
                <w14:textFill>
                  <w14:solidFill>
                    <w14:schemeClr w14:val="tx1"/>
                  </w14:solidFill>
                </w14:textFill>
              </w:rPr>
              <w:t>项目使用的喷枪清洗水用量为喷枪流量0.08L/min×3min/次×</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把=2.4</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L/d，约0.72</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/a，项目废水排污系数为0.9，则喷枪清洗废水产生量约为2.16L/d（0.65</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/a），废水交由有危险废物处理资质的单位处理。</w:t>
            </w:r>
          </w:p>
          <w:p w14:paraId="3838219F">
            <w:pPr>
              <w:numPr>
                <w:ilvl w:val="0"/>
                <w:numId w:val="7"/>
              </w:numPr>
              <w:autoSpaceDE w:val="0"/>
              <w:autoSpaceDN w:val="0"/>
              <w:adjustRightInd w:val="0"/>
              <w:spacing w:line="360" w:lineRule="auto"/>
              <w:ind w:left="0" w:firstLine="482" w:firstLineChars="200"/>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喷涂水帘柜更换废水：</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水帘柜用水循环使用，每个水帘柜有效容积合计约</w:t>
            </w:r>
            <w:r>
              <w:rPr>
                <w:color w:val="000000" w:themeColor="text1"/>
                <w:sz w:val="24"/>
                <w14:textFill>
                  <w14:solidFill>
                    <w14:schemeClr w14:val="tx1"/>
                  </w14:solidFill>
                </w14:textFill>
              </w:rPr>
              <w:t>1.92m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，水帘柜内用水循环使用，根据企业提供的资料，企业有3个水帘柜，更换周期为每</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个月一次，则水帘柜废水的产生量为23.04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8m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w:t>
            </w:r>
          </w:p>
          <w:p w14:paraId="5C6EB28B">
            <w:pPr>
              <w:numPr>
                <w:ilvl w:val="0"/>
                <w:numId w:val="7"/>
              </w:numPr>
              <w:autoSpaceDE w:val="0"/>
              <w:autoSpaceDN w:val="0"/>
              <w:adjustRightInd w:val="0"/>
              <w:spacing w:line="360" w:lineRule="auto"/>
              <w:ind w:left="0" w:firstLine="482" w:firstLineChars="200"/>
              <w:jc w:val="left"/>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喷漆、晾干废气处理装置喷淋塔</w:t>
            </w:r>
            <w:r>
              <w:rPr>
                <w:b/>
                <w:bCs/>
                <w:color w:val="000000" w:themeColor="text1"/>
                <w:sz w:val="24"/>
                <w14:textFill>
                  <w14:solidFill>
                    <w14:schemeClr w14:val="tx1"/>
                  </w14:solidFill>
                </w14:textFill>
              </w:rPr>
              <w:t>废水：</w:t>
            </w:r>
            <w:r>
              <w:rPr>
                <w:rFonts w:hint="eastAsia"/>
                <w:color w:val="000000" w:themeColor="text1"/>
                <w:sz w:val="24"/>
                <w14:textFill>
                  <w14:solidFill>
                    <w14:schemeClr w14:val="tx1"/>
                  </w14:solidFill>
                </w14:textFill>
              </w:rPr>
              <w:t>喷漆、晾干废气处理装置</w:t>
            </w:r>
            <w:r>
              <w:rPr>
                <w:color w:val="000000" w:themeColor="text1"/>
                <w:sz w:val="24"/>
                <w14:textFill>
                  <w14:solidFill>
                    <w14:schemeClr w14:val="tx1"/>
                  </w14:solidFill>
                </w14:textFill>
              </w:rPr>
              <w:t>喷淋塔储水量</w:t>
            </w:r>
            <w:r>
              <w:rPr>
                <w:rFonts w:hint="eastAsia"/>
                <w:color w:val="000000" w:themeColor="text1"/>
                <w:sz w:val="24"/>
                <w14:textFill>
                  <w14:solidFill>
                    <w14:schemeClr w14:val="tx1"/>
                  </w14:solidFill>
                </w14:textFill>
              </w:rPr>
              <w:t>约</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2.92</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。喷淋塔水每年更换</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次</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喷淋塔废水产生量为</w:t>
            </w:r>
            <w:r>
              <w:rPr>
                <w:rFonts w:hint="eastAsia"/>
                <w:color w:val="000000" w:themeColor="text1"/>
                <w:sz w:val="24"/>
                <w14:textFill>
                  <w14:solidFill>
                    <w14:schemeClr w14:val="tx1"/>
                  </w14:solidFill>
                </w14:textFill>
              </w:rPr>
              <w:t>11.68</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a，（0</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，更换后的废水委托有资质单位处理</w:t>
            </w:r>
            <w:r>
              <w:rPr>
                <w:rFonts w:hint="eastAsia"/>
                <w:color w:val="000000" w:themeColor="text1"/>
                <w:sz w:val="24"/>
                <w14:textFill>
                  <w14:solidFill>
                    <w14:schemeClr w14:val="tx1"/>
                  </w14:solidFill>
                </w14:textFill>
              </w:rPr>
              <w:t>。</w:t>
            </w:r>
          </w:p>
          <w:p w14:paraId="10BA0A34">
            <w:pPr>
              <w:numPr>
                <w:ilvl w:val="0"/>
                <w:numId w:val="6"/>
              </w:numPr>
              <w:adjustRightInd w:val="0"/>
              <w:snapToGrid w:val="0"/>
              <w:spacing w:line="360" w:lineRule="auto"/>
              <w:ind w:left="0"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生活污水：</w:t>
            </w:r>
            <w:r>
              <w:rPr>
                <w:color w:val="000000" w:themeColor="text1"/>
                <w:sz w:val="24"/>
                <w14:textFill>
                  <w14:solidFill>
                    <w14:schemeClr w14:val="tx1"/>
                  </w14:solidFill>
                </w14:textFill>
              </w:rPr>
              <w:t>项目生活用水量为</w:t>
            </w:r>
            <w:r>
              <w:rPr>
                <w:rFonts w:hint="eastAsia"/>
                <w:color w:val="000000" w:themeColor="text1"/>
                <w:sz w:val="24"/>
                <w14:textFill>
                  <w14:solidFill>
                    <w14:schemeClr w14:val="tx1"/>
                  </w14:solidFill>
                </w14:textFill>
              </w:rPr>
              <w:t>2.80m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，即840.00m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，根据《排放源统计调查产排污核算方法和系数手册》中生活源产排污系数手册</w:t>
            </w:r>
            <w:r>
              <w:rPr>
                <w:rFonts w:hint="eastAsia"/>
                <w:color w:val="000000" w:themeColor="text1"/>
                <w:sz w:val="24"/>
                <w14:textFill>
                  <w14:solidFill>
                    <w14:schemeClr w14:val="tx1"/>
                  </w14:solidFill>
                </w14:textFill>
              </w:rPr>
              <w:t>：人均日生活用水量介于</w:t>
            </w:r>
            <w:r>
              <w:rPr>
                <w:color w:val="000000" w:themeColor="text1"/>
                <w:sz w:val="24"/>
                <w14:textFill>
                  <w14:solidFill>
                    <w14:schemeClr w14:val="tx1"/>
                  </w14:solidFill>
                </w14:textFill>
              </w:rPr>
              <w:t>150</w:t>
            </w:r>
            <w:r>
              <w:rPr>
                <w:rFonts w:hint="eastAsia"/>
                <w:color w:val="000000" w:themeColor="text1"/>
                <w:sz w:val="24"/>
                <w14:textFill>
                  <w14:solidFill>
                    <w14:schemeClr w14:val="tx1"/>
                  </w14:solidFill>
                </w14:textFill>
              </w:rPr>
              <w:t>升</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人</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天和</w:t>
            </w:r>
            <w:r>
              <w:rPr>
                <w:color w:val="000000" w:themeColor="text1"/>
                <w:sz w:val="24"/>
                <w14:textFill>
                  <w14:solidFill>
                    <w14:schemeClr w14:val="tx1"/>
                  </w14:solidFill>
                </w14:textFill>
              </w:rPr>
              <w:t>250</w:t>
            </w:r>
            <w:r>
              <w:rPr>
                <w:rFonts w:hint="eastAsia"/>
                <w:color w:val="000000" w:themeColor="text1"/>
                <w:sz w:val="24"/>
                <w14:textFill>
                  <w14:solidFill>
                    <w14:schemeClr w14:val="tx1"/>
                  </w14:solidFill>
                </w14:textFill>
              </w:rPr>
              <w:t>升</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人</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天间时，采用插值法确定，</w:t>
            </w:r>
            <w:r>
              <w:rPr>
                <w:rFonts w:hint="eastAsia"/>
                <w:snapToGrid w:val="0"/>
                <w:color w:val="000000" w:themeColor="text1"/>
                <w:sz w:val="24"/>
                <w14:textFill>
                  <w14:solidFill>
                    <w14:schemeClr w14:val="tx1"/>
                  </w14:solidFill>
                </w14:textFill>
              </w:rPr>
              <w:t>折污系数取0.83，</w:t>
            </w:r>
            <w:r>
              <w:rPr>
                <w:color w:val="000000" w:themeColor="text1"/>
                <w:sz w:val="24"/>
                <w14:textFill>
                  <w14:solidFill>
                    <w14:schemeClr w14:val="tx1"/>
                  </w14:solidFill>
                </w14:textFill>
              </w:rPr>
              <w:t>则生活污水产生量为</w:t>
            </w:r>
            <w:r>
              <w:rPr>
                <w:rFonts w:hint="eastAsia"/>
                <w:color w:val="000000" w:themeColor="text1"/>
                <w:sz w:val="24"/>
                <w14:textFill>
                  <w14:solidFill>
                    <w14:schemeClr w14:val="tx1"/>
                  </w14:solidFill>
                </w14:textFill>
              </w:rPr>
              <w:t>2.302m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697.20m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项目员工生活污水经“隔油隔渣+三级化粪池”预处理后经市政污水管网排入博罗县福田镇生活污水处理厂进行深度处理，最终排入福田河。项目水平衡图详见图2</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p>
          <w:p w14:paraId="4C26161A">
            <w:pPr>
              <w:pStyle w:val="49"/>
              <w:spacing w:line="360" w:lineRule="auto"/>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mc:AlternateContent>
                <mc:Choice Requires="wpc">
                  <w:drawing>
                    <wp:inline distT="0" distB="0" distL="0" distR="0">
                      <wp:extent cx="5201285" cy="3524250"/>
                      <wp:effectExtent l="0" t="0" r="0" b="0"/>
                      <wp:docPr id="113" name="画布 113"/>
                      <wp:cNvGraphicFramePr/>
                      <a:graphic xmlns:a="http://schemas.openxmlformats.org/drawingml/2006/main">
                        <a:graphicData uri="http://schemas.microsoft.com/office/word/2010/wordprocessingCanvas">
                          <wpc:wpc>
                            <wpc:bg/>
                            <wpc:whole>
                              <a:ln>
                                <a:noFill/>
                              </a:ln>
                            </wpc:whole>
                            <wps:wsp>
                              <wps:cNvPr id="52" name="矩形 1"/>
                              <wps:cNvSpPr/>
                              <wps:spPr>
                                <a:xfrm>
                                  <a:off x="159562" y="1225706"/>
                                  <a:ext cx="305435" cy="876300"/>
                                </a:xfrm>
                                <a:prstGeom prst="rect">
                                  <a:avLst/>
                                </a:prstGeom>
                                <a:gradFill flip="none" rotWithShape="0">
                                  <a:gsLst>
                                    <a:gs pos="0">
                                      <a:srgbClr val="FFFFFF"/>
                                    </a:gs>
                                    <a:gs pos="100000">
                                      <a:srgbClr val="FFFFFF"/>
                                    </a:gs>
                                  </a:gsLst>
                                  <a:lin ang="0" scaled="0"/>
                                </a:gradFill>
                                <a:ln>
                                  <a:noFill/>
                                </a:ln>
                              </wps:spPr>
                              <wps:txbx>
                                <w:txbxContent>
                                  <w:p w14:paraId="21274BE4">
                                    <w:r>
                                      <w:rPr>
                                        <w:rFonts w:hint="eastAsia"/>
                                      </w:rPr>
                                      <w:t>市政供水</w:t>
                                    </w:r>
                                  </w:p>
                                </w:txbxContent>
                              </wps:txbx>
                              <wps:bodyPr upright="1"/>
                            </wps:wsp>
                            <wps:wsp>
                              <wps:cNvPr id="54" name="直接连接符 2"/>
                              <wps:cNvCnPr/>
                              <wps:spPr>
                                <a:xfrm>
                                  <a:off x="1123268" y="614549"/>
                                  <a:ext cx="31859" cy="2770564"/>
                                </a:xfrm>
                                <a:prstGeom prst="line">
                                  <a:avLst/>
                                </a:prstGeom>
                                <a:ln w="15875" cap="flat" cmpd="sng">
                                  <a:solidFill>
                                    <a:srgbClr val="000000"/>
                                  </a:solidFill>
                                  <a:prstDash val="solid"/>
                                  <a:round/>
                                  <a:headEnd type="none" w="med" len="med"/>
                                  <a:tailEnd type="none" w="med" len="med"/>
                                </a:ln>
                              </wps:spPr>
                              <wps:bodyPr/>
                            </wps:wsp>
                            <wps:wsp>
                              <wps:cNvPr id="58" name="直接连接符 3"/>
                              <wps:cNvCnPr/>
                              <wps:spPr>
                                <a:xfrm>
                                  <a:off x="1158418" y="2681126"/>
                                  <a:ext cx="431800" cy="0"/>
                                </a:xfrm>
                                <a:prstGeom prst="line">
                                  <a:avLst/>
                                </a:prstGeom>
                                <a:ln w="15875" cap="flat" cmpd="sng">
                                  <a:solidFill>
                                    <a:srgbClr val="000000"/>
                                  </a:solidFill>
                                  <a:prstDash val="solid"/>
                                  <a:round/>
                                  <a:headEnd type="none" w="med" len="med"/>
                                  <a:tailEnd type="triangle" w="med" len="med"/>
                                </a:ln>
                              </wps:spPr>
                              <wps:bodyPr/>
                            </wps:wsp>
                            <wps:wsp>
                              <wps:cNvPr id="59" name="矩形 4"/>
                              <wps:cNvSpPr/>
                              <wps:spPr>
                                <a:xfrm>
                                  <a:off x="3501597" y="508764"/>
                                  <a:ext cx="1417954" cy="276225"/>
                                </a:xfrm>
                                <a:prstGeom prst="rect">
                                  <a:avLst/>
                                </a:prstGeom>
                                <a:gradFill flip="none" rotWithShape="0">
                                  <a:gsLst>
                                    <a:gs pos="0">
                                      <a:srgbClr val="FFFFFF"/>
                                    </a:gs>
                                    <a:gs pos="100000">
                                      <a:srgbClr val="FFFFFF"/>
                                    </a:gs>
                                  </a:gsLst>
                                  <a:lin ang="0" scaled="0"/>
                                </a:gradFill>
                                <a:ln>
                                  <a:noFill/>
                                </a:ln>
                              </wps:spPr>
                              <wps:txbx>
                                <w:txbxContent>
                                  <w:p w14:paraId="4B372095">
                                    <w:r>
                                      <w:rPr>
                                        <w:rFonts w:hint="eastAsia"/>
                                      </w:rPr>
                                      <w:t>交由有资质单位处置</w:t>
                                    </w:r>
                                  </w:p>
                                </w:txbxContent>
                              </wps:txbx>
                              <wps:bodyPr upright="1"/>
                            </wps:wsp>
                            <wps:wsp>
                              <wps:cNvPr id="60" name="矩形 5"/>
                              <wps:cNvSpPr/>
                              <wps:spPr>
                                <a:xfrm>
                                  <a:off x="1633852" y="365526"/>
                                  <a:ext cx="1485445" cy="49838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14:paraId="3E00B9A9">
                                    <w:pPr>
                                      <w:jc w:val="center"/>
                                    </w:pPr>
                                    <w:r>
                                      <w:rPr>
                                        <w:rFonts w:hint="eastAsia"/>
                                      </w:rPr>
                                      <w:t>喷漆、晾干废气处理装置喷淋塔用水</w:t>
                                    </w:r>
                                  </w:p>
                                </w:txbxContent>
                              </wps:txbx>
                              <wps:bodyPr upright="1"/>
                            </wps:wsp>
                            <wps:wsp>
                              <wps:cNvPr id="61" name="直接连接符 6"/>
                              <wps:cNvCnPr/>
                              <wps:spPr>
                                <a:xfrm>
                                  <a:off x="1123268" y="614622"/>
                                  <a:ext cx="495363" cy="0"/>
                                </a:xfrm>
                                <a:prstGeom prst="line">
                                  <a:avLst/>
                                </a:prstGeom>
                                <a:ln w="15875" cap="flat" cmpd="sng">
                                  <a:solidFill>
                                    <a:srgbClr val="000000"/>
                                  </a:solidFill>
                                  <a:prstDash val="solid"/>
                                  <a:round/>
                                  <a:headEnd type="none" w="med" len="med"/>
                                  <a:tailEnd type="triangle" w="med" len="med"/>
                                </a:ln>
                              </wps:spPr>
                              <wps:bodyPr/>
                            </wps:wsp>
                            <wps:wsp>
                              <wps:cNvPr id="62" name="矩形 7"/>
                              <wps:cNvSpPr/>
                              <wps:spPr>
                                <a:xfrm>
                                  <a:off x="1590217" y="1190662"/>
                                  <a:ext cx="780415" cy="285750"/>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14:paraId="1393E63F">
                                    <w:r>
                                      <w:rPr>
                                        <w:rFonts w:hint="eastAsia"/>
                                      </w:rPr>
                                      <w:t>生活用水</w:t>
                                    </w:r>
                                  </w:p>
                                </w:txbxContent>
                              </wps:txbx>
                              <wps:bodyPr upright="1"/>
                            </wps:wsp>
                            <wps:wsp>
                              <wps:cNvPr id="65" name="曲线连接符 9"/>
                              <wps:cNvCnPr/>
                              <wps:spPr>
                                <a:xfrm flipV="1">
                                  <a:off x="1875127" y="1063037"/>
                                  <a:ext cx="230505" cy="118110"/>
                                </a:xfrm>
                                <a:prstGeom prst="curvedConnector3">
                                  <a:avLst>
                                    <a:gd name="adj1" fmla="val 50139"/>
                                  </a:avLst>
                                </a:prstGeom>
                                <a:ln w="15875" cap="flat" cmpd="sng">
                                  <a:solidFill>
                                    <a:srgbClr val="000000"/>
                                  </a:solidFill>
                                  <a:prstDash val="dash"/>
                                  <a:round/>
                                  <a:headEnd type="none" w="med" len="med"/>
                                  <a:tailEnd type="triangle" w="med" len="med"/>
                                </a:ln>
                              </wps:spPr>
                              <wps:bodyPr/>
                            </wps:wsp>
                            <wps:wsp>
                              <wps:cNvPr id="66" name="矩形 10"/>
                              <wps:cNvSpPr/>
                              <wps:spPr>
                                <a:xfrm>
                                  <a:off x="2105632" y="911381"/>
                                  <a:ext cx="547370" cy="314325"/>
                                </a:xfrm>
                                <a:prstGeom prst="rect">
                                  <a:avLst/>
                                </a:prstGeom>
                                <a:ln>
                                  <a:noFill/>
                                </a:ln>
                              </wps:spPr>
                              <wps:txbx>
                                <w:txbxContent>
                                  <w:p w14:paraId="37AC43EC">
                                    <w:pPr>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48</w:t>
                                    </w:r>
                                  </w:p>
                                </w:txbxContent>
                              </wps:txbx>
                              <wps:bodyPr upright="1"/>
                            </wps:wsp>
                            <wps:wsp>
                              <wps:cNvPr id="67" name="矩形 11"/>
                              <wps:cNvSpPr/>
                              <wps:spPr>
                                <a:xfrm>
                                  <a:off x="479602" y="1341911"/>
                                  <a:ext cx="911225" cy="328295"/>
                                </a:xfrm>
                                <a:prstGeom prst="rect">
                                  <a:avLst/>
                                </a:prstGeom>
                                <a:ln>
                                  <a:noFill/>
                                </a:ln>
                              </wps:spPr>
                              <wps:txbx>
                                <w:txbxContent>
                                  <w:p w14:paraId="0B18EE0B">
                                    <w:pPr>
                                      <w:rPr>
                                        <w:color w:val="000000" w:themeColor="text1"/>
                                        <w14:textFill>
                                          <w14:solidFill>
                                            <w14:schemeClr w14:val="tx1"/>
                                          </w14:solidFill>
                                        </w14:textFill>
                                      </w:rPr>
                                    </w:pPr>
                                    <w:r>
                                      <w:rPr>
                                        <w:rFonts w:hint="eastAsia"/>
                                        <w:color w:val="000000" w:themeColor="text1"/>
                                        <w14:textFill>
                                          <w14:solidFill>
                                            <w14:schemeClr w14:val="tx1"/>
                                          </w14:solidFill>
                                        </w14:textFill>
                                      </w:rPr>
                                      <w:t>11.3264</w:t>
                                    </w:r>
                                  </w:p>
                                </w:txbxContent>
                              </wps:txbx>
                              <wps:bodyPr upright="1"/>
                            </wps:wsp>
                            <wps:wsp>
                              <wps:cNvPr id="68" name="直接连接符 12"/>
                              <wps:cNvCnPr/>
                              <wps:spPr>
                                <a:xfrm>
                                  <a:off x="2374206" y="1322917"/>
                                  <a:ext cx="247886" cy="0"/>
                                </a:xfrm>
                                <a:prstGeom prst="line">
                                  <a:avLst/>
                                </a:prstGeom>
                                <a:ln w="15875" cap="flat" cmpd="sng">
                                  <a:solidFill>
                                    <a:srgbClr val="000000"/>
                                  </a:solidFill>
                                  <a:prstDash val="solid"/>
                                  <a:round/>
                                  <a:headEnd type="none" w="med" len="med"/>
                                  <a:tailEnd type="triangle" w="med" len="med"/>
                                </a:ln>
                              </wps:spPr>
                              <wps:bodyPr/>
                            </wps:wsp>
                            <wps:wsp>
                              <wps:cNvPr id="69" name="直接连接符 13"/>
                              <wps:cNvCnPr/>
                              <wps:spPr>
                                <a:xfrm flipV="1">
                                  <a:off x="416737" y="1624486"/>
                                  <a:ext cx="706755" cy="635"/>
                                </a:xfrm>
                                <a:prstGeom prst="line">
                                  <a:avLst/>
                                </a:prstGeom>
                                <a:ln w="15875" cap="flat" cmpd="sng">
                                  <a:solidFill>
                                    <a:srgbClr val="000000"/>
                                  </a:solidFill>
                                  <a:prstDash val="solid"/>
                                  <a:round/>
                                  <a:headEnd type="none" w="med" len="med"/>
                                  <a:tailEnd type="triangle" w="med" len="med"/>
                                </a:ln>
                              </wps:spPr>
                              <wps:bodyPr/>
                            </wps:wsp>
                            <wps:wsp>
                              <wps:cNvPr id="70" name="曲线连接符 14"/>
                              <wps:cNvCnPr/>
                              <wps:spPr>
                                <a:xfrm flipV="1">
                                  <a:off x="1902303" y="162335"/>
                                  <a:ext cx="241300" cy="203199"/>
                                </a:xfrm>
                                <a:prstGeom prst="curvedConnector3">
                                  <a:avLst>
                                    <a:gd name="adj1" fmla="val 50130"/>
                                  </a:avLst>
                                </a:prstGeom>
                                <a:ln w="15875" cap="flat" cmpd="sng">
                                  <a:solidFill>
                                    <a:srgbClr val="000000"/>
                                  </a:solidFill>
                                  <a:prstDash val="dash"/>
                                  <a:round/>
                                  <a:headEnd type="none" w="med" len="med"/>
                                  <a:tailEnd type="triangle" w="med" len="med"/>
                                </a:ln>
                              </wps:spPr>
                              <wps:bodyPr/>
                            </wps:wsp>
                            <wps:wsp>
                              <wps:cNvPr id="71" name="矩形 15"/>
                              <wps:cNvSpPr/>
                              <wps:spPr>
                                <a:xfrm>
                                  <a:off x="2082468" y="36810"/>
                                  <a:ext cx="1231900" cy="276225"/>
                                </a:xfrm>
                                <a:prstGeom prst="rect">
                                  <a:avLst/>
                                </a:prstGeom>
                                <a:ln>
                                  <a:noFill/>
                                </a:ln>
                              </wps:spPr>
                              <wps:txbx>
                                <w:txbxContent>
                                  <w:p w14:paraId="2006FE95">
                                    <w:r>
                                      <w:rPr>
                                        <w:rFonts w:hint="eastAsia"/>
                                      </w:rPr>
                                      <w:t>蒸发损耗4.20</w:t>
                                    </w:r>
                                  </w:p>
                                </w:txbxContent>
                              </wps:txbx>
                              <wps:bodyPr upright="1"/>
                            </wps:wsp>
                            <wps:wsp>
                              <wps:cNvPr id="74" name="矩形 16"/>
                              <wps:cNvSpPr/>
                              <wps:spPr>
                                <a:xfrm>
                                  <a:off x="3121352" y="365526"/>
                                  <a:ext cx="514985" cy="309244"/>
                                </a:xfrm>
                                <a:prstGeom prst="rect">
                                  <a:avLst/>
                                </a:prstGeom>
                                <a:ln>
                                  <a:noFill/>
                                </a:ln>
                              </wps:spPr>
                              <wps:txbx>
                                <w:txbxContent>
                                  <w:p w14:paraId="5039A70C">
                                    <w:r>
                                      <w:rPr>
                                        <w:rFonts w:hint="eastAsia"/>
                                      </w:rPr>
                                      <w:t>0.04</w:t>
                                    </w:r>
                                  </w:p>
                                </w:txbxContent>
                              </wps:txbx>
                              <wps:bodyPr upright="1"/>
                            </wps:wsp>
                            <wps:wsp>
                              <wps:cNvPr id="75" name="直接连接符 17"/>
                              <wps:cNvCnPr/>
                              <wps:spPr>
                                <a:xfrm>
                                  <a:off x="1141906" y="1341911"/>
                                  <a:ext cx="448311" cy="0"/>
                                </a:xfrm>
                                <a:prstGeom prst="line">
                                  <a:avLst/>
                                </a:prstGeom>
                                <a:ln w="15875" cap="flat" cmpd="sng">
                                  <a:solidFill>
                                    <a:srgbClr val="000000"/>
                                  </a:solidFill>
                                  <a:prstDash val="solid"/>
                                  <a:round/>
                                  <a:headEnd type="none" w="med" len="med"/>
                                  <a:tailEnd type="triangle" w="med" len="med"/>
                                </a:ln>
                              </wps:spPr>
                              <wps:bodyPr/>
                            </wps:wsp>
                            <wps:wsp>
                              <wps:cNvPr id="78" name="矩形 18"/>
                              <wps:cNvSpPr/>
                              <wps:spPr>
                                <a:xfrm>
                                  <a:off x="2638603" y="988829"/>
                                  <a:ext cx="949147" cy="487583"/>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14:paraId="18C8281C">
                                    <w:pPr>
                                      <w:jc w:val="center"/>
                                    </w:pPr>
                                    <w:r>
                                      <w:rPr>
                                        <w:rFonts w:hint="eastAsia"/>
                                      </w:rPr>
                                      <w:t>隔油隔渣+三级化粪池</w:t>
                                    </w:r>
                                  </w:p>
                                </w:txbxContent>
                              </wps:txbx>
                              <wps:bodyPr lIns="36000" tIns="36000" rIns="36000" bIns="36000" upright="1"/>
                            </wps:wsp>
                            <wps:wsp>
                              <wps:cNvPr id="81" name="直接连接符 19"/>
                              <wps:cNvCnPr/>
                              <wps:spPr>
                                <a:xfrm flipV="1">
                                  <a:off x="3119297" y="652158"/>
                                  <a:ext cx="419880" cy="5500"/>
                                </a:xfrm>
                                <a:prstGeom prst="line">
                                  <a:avLst/>
                                </a:prstGeom>
                                <a:ln w="15875" cap="flat" cmpd="sng">
                                  <a:solidFill>
                                    <a:srgbClr val="000000"/>
                                  </a:solidFill>
                                  <a:prstDash val="solid"/>
                                  <a:round/>
                                  <a:headEnd type="none" w="med" len="med"/>
                                  <a:tailEnd type="triangle" w="med" len="med"/>
                                </a:ln>
                              </wps:spPr>
                              <wps:bodyPr/>
                            </wps:wsp>
                            <wps:wsp>
                              <wps:cNvPr id="87" name="矩形 21"/>
                              <wps:cNvSpPr/>
                              <wps:spPr>
                                <a:xfrm>
                                  <a:off x="1620062" y="1861950"/>
                                  <a:ext cx="920930" cy="27622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14:paraId="7788151A">
                                    <w:r>
                                      <w:rPr>
                                        <w:rFonts w:hint="eastAsia"/>
                                      </w:rPr>
                                      <w:t>腻子粉调配</w:t>
                                    </w:r>
                                  </w:p>
                                </w:txbxContent>
                              </wps:txbx>
                              <wps:bodyPr upright="1"/>
                            </wps:wsp>
                            <wps:wsp>
                              <wps:cNvPr id="92" name="矩形 22"/>
                              <wps:cNvSpPr/>
                              <wps:spPr>
                                <a:xfrm>
                                  <a:off x="1123492" y="1052184"/>
                                  <a:ext cx="635000" cy="371475"/>
                                </a:xfrm>
                                <a:prstGeom prst="rect">
                                  <a:avLst/>
                                </a:prstGeom>
                                <a:ln>
                                  <a:noFill/>
                                </a:ln>
                              </wps:spPr>
                              <wps:txbx>
                                <w:txbxContent>
                                  <w:p w14:paraId="47803C79">
                                    <w:pPr>
                                      <w:rPr>
                                        <w:color w:val="000000" w:themeColor="text1"/>
                                        <w14:textFill>
                                          <w14:solidFill>
                                            <w14:schemeClr w14:val="tx1"/>
                                          </w14:solidFill>
                                        </w14:textFill>
                                      </w:rPr>
                                    </w:pPr>
                                    <w:r>
                                      <w:rPr>
                                        <w:rFonts w:hint="eastAsia"/>
                                        <w:color w:val="000000" w:themeColor="text1"/>
                                        <w14:textFill>
                                          <w14:solidFill>
                                            <w14:schemeClr w14:val="tx1"/>
                                          </w14:solidFill>
                                        </w14:textFill>
                                      </w:rPr>
                                      <w:t>2.80</w:t>
                                    </w:r>
                                  </w:p>
                                </w:txbxContent>
                              </wps:txbx>
                              <wps:bodyPr upright="1"/>
                            </wps:wsp>
                            <wps:wsp>
                              <wps:cNvPr id="98" name="矩形 23"/>
                              <wps:cNvSpPr/>
                              <wps:spPr>
                                <a:xfrm>
                                  <a:off x="3681215" y="925986"/>
                                  <a:ext cx="461441" cy="299720"/>
                                </a:xfrm>
                                <a:prstGeom prst="rect">
                                  <a:avLst/>
                                </a:prstGeom>
                                <a:ln>
                                  <a:noFill/>
                                </a:ln>
                              </wps:spPr>
                              <wps:txbx>
                                <w:txbxContent>
                                  <w:p w14:paraId="05D7FA0E">
                                    <w:pPr>
                                      <w:rPr>
                                        <w:color w:val="000000" w:themeColor="text1"/>
                                        <w14:textFill>
                                          <w14:solidFill>
                                            <w14:schemeClr w14:val="tx1"/>
                                          </w14:solidFill>
                                        </w14:textFill>
                                      </w:rPr>
                                    </w:pPr>
                                    <w:r>
                                      <w:rPr>
                                        <w:rFonts w:hint="eastAsia"/>
                                        <w:color w:val="000000" w:themeColor="text1"/>
                                        <w14:textFill>
                                          <w14:solidFill>
                                            <w14:schemeClr w14:val="tx1"/>
                                          </w14:solidFill>
                                        </w14:textFill>
                                      </w:rPr>
                                      <w:t>2.32</w:t>
                                    </w:r>
                                  </w:p>
                                </w:txbxContent>
                              </wps:txbx>
                              <wps:bodyPr upright="1"/>
                            </wps:wsp>
                            <wps:wsp>
                              <wps:cNvPr id="104" name="矩形 24"/>
                              <wps:cNvSpPr/>
                              <wps:spPr>
                                <a:xfrm>
                                  <a:off x="1141906" y="2427261"/>
                                  <a:ext cx="635000" cy="338454"/>
                                </a:xfrm>
                                <a:prstGeom prst="rect">
                                  <a:avLst/>
                                </a:prstGeom>
                                <a:ln>
                                  <a:noFill/>
                                </a:ln>
                              </wps:spPr>
                              <wps:txbx>
                                <w:txbxContent>
                                  <w:p w14:paraId="360430E4">
                                    <w:pPr>
                                      <w:rPr>
                                        <w:color w:val="000000" w:themeColor="text1"/>
                                        <w14:textFill>
                                          <w14:solidFill>
                                            <w14:schemeClr w14:val="tx1"/>
                                          </w14:solidFill>
                                        </w14:textFill>
                                      </w:rPr>
                                    </w:pPr>
                                    <w:r>
                                      <w:rPr>
                                        <w:rFonts w:hint="eastAsia"/>
                                        <w:color w:val="000000" w:themeColor="text1"/>
                                        <w14:textFill>
                                          <w14:solidFill>
                                            <w14:schemeClr w14:val="tx1"/>
                                          </w14:solidFill>
                                        </w14:textFill>
                                      </w:rPr>
                                      <w:t>4.28</w:t>
                                    </w:r>
                                  </w:p>
                                </w:txbxContent>
                              </wps:txbx>
                              <wps:bodyPr upright="1"/>
                            </wps:wsp>
                            <wps:wsp>
                              <wps:cNvPr id="110" name="直接连接符 25"/>
                              <wps:cNvCnPr/>
                              <wps:spPr>
                                <a:xfrm>
                                  <a:off x="2604079" y="2661832"/>
                                  <a:ext cx="461010" cy="8889"/>
                                </a:xfrm>
                                <a:prstGeom prst="line">
                                  <a:avLst/>
                                </a:prstGeom>
                                <a:ln w="15875" cap="flat" cmpd="sng">
                                  <a:solidFill>
                                    <a:srgbClr val="000000"/>
                                  </a:solidFill>
                                  <a:prstDash val="solid"/>
                                  <a:round/>
                                  <a:headEnd type="none" w="med" len="med"/>
                                  <a:tailEnd type="triangle" w="med" len="med"/>
                                </a:ln>
                              </wps:spPr>
                              <wps:bodyPr/>
                            </wps:wsp>
                            <wps:wsp>
                              <wps:cNvPr id="114" name="矩形 27"/>
                              <wps:cNvSpPr/>
                              <wps:spPr>
                                <a:xfrm>
                                  <a:off x="2554782" y="2427567"/>
                                  <a:ext cx="635000" cy="338455"/>
                                </a:xfrm>
                                <a:prstGeom prst="rect">
                                  <a:avLst/>
                                </a:prstGeom>
                                <a:ln>
                                  <a:noFill/>
                                </a:ln>
                              </wps:spPr>
                              <wps:txbx>
                                <w:txbxContent>
                                  <w:p w14:paraId="401BC073">
                                    <w:pPr>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8</w:t>
                                    </w:r>
                                  </w:p>
                                  <w:p w14:paraId="03B2C729"/>
                                </w:txbxContent>
                              </wps:txbx>
                              <wps:bodyPr upright="1"/>
                            </wps:wsp>
                            <wps:wsp>
                              <wps:cNvPr id="115" name="直接连接符 28"/>
                              <wps:cNvCnPr/>
                              <wps:spPr>
                                <a:xfrm flipV="1">
                                  <a:off x="416737" y="1624486"/>
                                  <a:ext cx="706755" cy="635"/>
                                </a:xfrm>
                                <a:prstGeom prst="line">
                                  <a:avLst/>
                                </a:prstGeom>
                                <a:ln w="15875" cap="flat" cmpd="sng">
                                  <a:solidFill>
                                    <a:srgbClr val="000000"/>
                                  </a:solidFill>
                                  <a:prstDash val="solid"/>
                                  <a:round/>
                                  <a:headEnd type="none" w="med" len="med"/>
                                  <a:tailEnd type="triangle" w="med" len="med"/>
                                </a:ln>
                              </wps:spPr>
                              <wps:bodyPr/>
                            </wps:wsp>
                            <wps:wsp>
                              <wps:cNvPr id="116" name="矩形 29"/>
                              <wps:cNvSpPr/>
                              <wps:spPr>
                                <a:xfrm>
                                  <a:off x="1603954" y="2530708"/>
                                  <a:ext cx="1000125" cy="27622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14:paraId="1C40608E">
                                    <w:pPr>
                                      <w:jc w:val="center"/>
                                    </w:pPr>
                                    <w:r>
                                      <w:rPr>
                                        <w:rFonts w:hint="eastAsia"/>
                                      </w:rPr>
                                      <w:t>水帘柜用水</w:t>
                                    </w:r>
                                  </w:p>
                                </w:txbxContent>
                              </wps:txbx>
                              <wps:bodyPr upright="1"/>
                            </wps:wsp>
                            <wps:wsp>
                              <wps:cNvPr id="117" name="直接连接符 30"/>
                              <wps:cNvCnPr/>
                              <wps:spPr>
                                <a:xfrm flipV="1">
                                  <a:off x="416737" y="1624486"/>
                                  <a:ext cx="706755" cy="635"/>
                                </a:xfrm>
                                <a:prstGeom prst="line">
                                  <a:avLst/>
                                </a:prstGeom>
                                <a:ln w="15875" cap="flat" cmpd="sng">
                                  <a:solidFill>
                                    <a:srgbClr val="000000"/>
                                  </a:solidFill>
                                  <a:prstDash val="solid"/>
                                  <a:round/>
                                  <a:headEnd type="none" w="med" len="med"/>
                                  <a:tailEnd type="triangle" w="med" len="med"/>
                                </a:ln>
                              </wps:spPr>
                              <wps:bodyPr/>
                            </wps:wsp>
                            <wps:wsp>
                              <wps:cNvPr id="118" name="矩形 31"/>
                              <wps:cNvSpPr/>
                              <wps:spPr>
                                <a:xfrm>
                                  <a:off x="3076752" y="2533556"/>
                                  <a:ext cx="1417955" cy="333375"/>
                                </a:xfrm>
                                <a:prstGeom prst="rect">
                                  <a:avLst/>
                                </a:prstGeom>
                                <a:gradFill flip="none" rotWithShape="0">
                                  <a:gsLst>
                                    <a:gs pos="0">
                                      <a:srgbClr val="FFFFFF"/>
                                    </a:gs>
                                    <a:gs pos="100000">
                                      <a:srgbClr val="FFFFFF"/>
                                    </a:gs>
                                  </a:gsLst>
                                  <a:lin ang="0" scaled="0"/>
                                </a:gradFill>
                                <a:ln>
                                  <a:noFill/>
                                </a:ln>
                              </wps:spPr>
                              <wps:txbx>
                                <w:txbxContent>
                                  <w:p w14:paraId="6E4B66F0">
                                    <w:r>
                                      <w:rPr>
                                        <w:rFonts w:hint="eastAsia"/>
                                      </w:rPr>
                                      <w:t>交由有资质单位处置</w:t>
                                    </w:r>
                                  </w:p>
                                </w:txbxContent>
                              </wps:txbx>
                              <wps:bodyPr upright="1"/>
                            </wps:wsp>
                            <wps:wsp>
                              <wps:cNvPr id="119" name="矩形 32"/>
                              <wps:cNvSpPr/>
                              <wps:spPr>
                                <a:xfrm>
                                  <a:off x="1052372" y="337342"/>
                                  <a:ext cx="634999" cy="271144"/>
                                </a:xfrm>
                                <a:prstGeom prst="rect">
                                  <a:avLst/>
                                </a:prstGeom>
                                <a:ln>
                                  <a:noFill/>
                                </a:ln>
                              </wps:spPr>
                              <wps:txbx>
                                <w:txbxContent>
                                  <w:p w14:paraId="38279B46">
                                    <w:r>
                                      <w:rPr>
                                        <w:rFonts w:hint="eastAsia"/>
                                      </w:rPr>
                                      <w:t>4.24</w:t>
                                    </w:r>
                                  </w:p>
                                </w:txbxContent>
                              </wps:txbx>
                              <wps:bodyPr upright="1"/>
                            </wps:wsp>
                            <wps:wsp>
                              <wps:cNvPr id="120" name="直接连接符 33"/>
                              <wps:cNvCnPr/>
                              <wps:spPr>
                                <a:xfrm flipV="1">
                                  <a:off x="1155127" y="3366079"/>
                                  <a:ext cx="461125" cy="1905"/>
                                </a:xfrm>
                                <a:prstGeom prst="line">
                                  <a:avLst/>
                                </a:prstGeom>
                                <a:ln w="15875" cap="flat" cmpd="sng">
                                  <a:solidFill>
                                    <a:srgbClr val="000000"/>
                                  </a:solidFill>
                                  <a:prstDash val="solid"/>
                                  <a:round/>
                                  <a:headEnd type="none" w="med" len="med"/>
                                  <a:tailEnd type="triangle" w="med" len="med"/>
                                </a:ln>
                              </wps:spPr>
                              <wps:bodyPr/>
                            </wps:wsp>
                            <wps:wsp>
                              <wps:cNvPr id="124" name="矩形 34"/>
                              <wps:cNvSpPr/>
                              <wps:spPr>
                                <a:xfrm>
                                  <a:off x="1091106" y="3052601"/>
                                  <a:ext cx="685800" cy="299719"/>
                                </a:xfrm>
                                <a:prstGeom prst="rect">
                                  <a:avLst/>
                                </a:prstGeom>
                                <a:ln>
                                  <a:noFill/>
                                </a:ln>
                              </wps:spPr>
                              <wps:txbx>
                                <w:txbxContent>
                                  <w:p w14:paraId="0B477775">
                                    <w:pPr>
                                      <w:rPr>
                                        <w:color w:val="000000" w:themeColor="text1"/>
                                        <w14:textFill>
                                          <w14:solidFill>
                                            <w14:schemeClr w14:val="tx1"/>
                                          </w14:solidFill>
                                        </w14:textFill>
                                      </w:rPr>
                                    </w:pPr>
                                    <w:r>
                                      <w:rPr>
                                        <w:rFonts w:hint="eastAsia"/>
                                        <w:color w:val="000000" w:themeColor="text1"/>
                                        <w14:textFill>
                                          <w14:solidFill>
                                            <w14:schemeClr w14:val="tx1"/>
                                          </w14:solidFill>
                                        </w14:textFill>
                                      </w:rPr>
                                      <w:t>0.0024</w:t>
                                    </w:r>
                                  </w:p>
                                </w:txbxContent>
                              </wps:txbx>
                              <wps:bodyPr upright="1"/>
                            </wps:wsp>
                            <wps:wsp>
                              <wps:cNvPr id="125" name="矩形 35"/>
                              <wps:cNvSpPr/>
                              <wps:spPr>
                                <a:xfrm>
                                  <a:off x="1620062" y="3206906"/>
                                  <a:ext cx="1000125" cy="27622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14:paraId="4A6814EE">
                                    <w:r>
                                      <w:rPr>
                                        <w:rFonts w:hint="eastAsia"/>
                                      </w:rPr>
                                      <w:t>喷枪清洗用水</w:t>
                                    </w:r>
                                  </w:p>
                                </w:txbxContent>
                              </wps:txbx>
                              <wps:bodyPr upright="1"/>
                            </wps:wsp>
                            <wps:wsp>
                              <wps:cNvPr id="126" name="直接连接符 36"/>
                              <wps:cNvCnPr/>
                              <wps:spPr>
                                <a:xfrm>
                                  <a:off x="2622092" y="3359306"/>
                                  <a:ext cx="454660" cy="3810"/>
                                </a:xfrm>
                                <a:prstGeom prst="line">
                                  <a:avLst/>
                                </a:prstGeom>
                                <a:ln w="15875" cap="flat" cmpd="sng">
                                  <a:solidFill>
                                    <a:srgbClr val="000000"/>
                                  </a:solidFill>
                                  <a:prstDash val="solid"/>
                                  <a:round/>
                                  <a:headEnd type="none" w="med" len="med"/>
                                  <a:tailEnd type="triangle" w="med" len="med"/>
                                </a:ln>
                              </wps:spPr>
                              <wps:bodyPr/>
                            </wps:wsp>
                            <wps:wsp>
                              <wps:cNvPr id="127" name="矩形 37"/>
                              <wps:cNvSpPr/>
                              <wps:spPr>
                                <a:xfrm>
                                  <a:off x="3189782" y="3191951"/>
                                  <a:ext cx="1417954" cy="333375"/>
                                </a:xfrm>
                                <a:prstGeom prst="rect">
                                  <a:avLst/>
                                </a:prstGeom>
                                <a:gradFill flip="none" rotWithShape="0">
                                  <a:gsLst>
                                    <a:gs pos="0">
                                      <a:srgbClr val="FFFFFF"/>
                                    </a:gs>
                                    <a:gs pos="100000">
                                      <a:srgbClr val="FFFFFF"/>
                                    </a:gs>
                                  </a:gsLst>
                                  <a:lin ang="0" scaled="0"/>
                                </a:gradFill>
                                <a:ln>
                                  <a:noFill/>
                                </a:ln>
                              </wps:spPr>
                              <wps:txbx>
                                <w:txbxContent>
                                  <w:p w14:paraId="04815B36">
                                    <w:r>
                                      <w:rPr>
                                        <w:rFonts w:hint="eastAsia"/>
                                      </w:rPr>
                                      <w:t>交由有资质单位处置</w:t>
                                    </w:r>
                                  </w:p>
                                </w:txbxContent>
                              </wps:txbx>
                              <wps:bodyPr upright="1"/>
                            </wps:wsp>
                            <wps:wsp>
                              <wps:cNvPr id="128" name="矩形 38"/>
                              <wps:cNvSpPr/>
                              <wps:spPr>
                                <a:xfrm>
                                  <a:off x="2638602" y="3090701"/>
                                  <a:ext cx="685800" cy="299720"/>
                                </a:xfrm>
                                <a:prstGeom prst="rect">
                                  <a:avLst/>
                                </a:prstGeom>
                                <a:ln>
                                  <a:noFill/>
                                </a:ln>
                              </wps:spPr>
                              <wps:txbx>
                                <w:txbxContent>
                                  <w:p w14:paraId="18FCD91E">
                                    <w:pPr>
                                      <w:rPr>
                                        <w:color w:val="000000" w:themeColor="text1"/>
                                        <w14:textFill>
                                          <w14:solidFill>
                                            <w14:schemeClr w14:val="tx1"/>
                                          </w14:solidFill>
                                        </w14:textFill>
                                      </w:rPr>
                                    </w:pPr>
                                    <w:r>
                                      <w:rPr>
                                        <w:color w:val="000000" w:themeColor="text1"/>
                                        <w14:textFill>
                                          <w14:solidFill>
                                            <w14:schemeClr w14:val="tx1"/>
                                          </w14:solidFill>
                                        </w14:textFill>
                                      </w:rPr>
                                      <w:t>0.00</w:t>
                                    </w:r>
                                    <w:r>
                                      <w:rPr>
                                        <w:rFonts w:hint="eastAsia"/>
                                        <w:color w:val="000000" w:themeColor="text1"/>
                                        <w14:textFill>
                                          <w14:solidFill>
                                            <w14:schemeClr w14:val="tx1"/>
                                          </w14:solidFill>
                                        </w14:textFill>
                                      </w:rPr>
                                      <w:t>22</w:t>
                                    </w:r>
                                  </w:p>
                                </w:txbxContent>
                              </wps:txbx>
                              <wps:bodyPr upright="1"/>
                            </wps:wsp>
                            <wps:wsp>
                              <wps:cNvPr id="129" name="曲线连接符 39"/>
                              <wps:cNvCnPr/>
                              <wps:spPr>
                                <a:xfrm flipV="1">
                                  <a:off x="1950261" y="3021944"/>
                                  <a:ext cx="215038" cy="170357"/>
                                </a:xfrm>
                                <a:prstGeom prst="curvedConnector3">
                                  <a:avLst>
                                    <a:gd name="adj1" fmla="val 50000"/>
                                  </a:avLst>
                                </a:prstGeom>
                                <a:ln w="15875" cap="flat" cmpd="sng">
                                  <a:solidFill>
                                    <a:srgbClr val="000000"/>
                                  </a:solidFill>
                                  <a:prstDash val="dash"/>
                                  <a:round/>
                                  <a:headEnd type="none" w="med" len="med"/>
                                  <a:tailEnd type="triangle" w="med" len="med"/>
                                </a:ln>
                              </wps:spPr>
                              <wps:bodyPr/>
                            </wps:wsp>
                            <wps:wsp>
                              <wps:cNvPr id="130" name="矩形 40"/>
                              <wps:cNvSpPr/>
                              <wps:spPr>
                                <a:xfrm>
                                  <a:off x="2105632" y="2795553"/>
                                  <a:ext cx="1271423" cy="314325"/>
                                </a:xfrm>
                                <a:prstGeom prst="rect">
                                  <a:avLst/>
                                </a:prstGeom>
                                <a:ln>
                                  <a:noFill/>
                                </a:ln>
                              </wps:spPr>
                              <wps:txbx>
                                <w:txbxContent>
                                  <w:p w14:paraId="6C269E0A">
                                    <w:pPr>
                                      <w:rPr>
                                        <w:color w:val="000000" w:themeColor="text1"/>
                                        <w14:textFill>
                                          <w14:solidFill>
                                            <w14:schemeClr w14:val="tx1"/>
                                          </w14:solidFill>
                                        </w14:textFill>
                                      </w:rPr>
                                    </w:pPr>
                                    <w:r>
                                      <w:rPr>
                                        <w:rFonts w:hint="eastAsia"/>
                                        <w:color w:val="000000" w:themeColor="text1"/>
                                        <w14:textFill>
                                          <w14:solidFill>
                                            <w14:schemeClr w14:val="tx1"/>
                                          </w14:solidFill>
                                        </w14:textFill>
                                      </w:rPr>
                                      <w:t>蒸发损耗0.0002</w:t>
                                    </w:r>
                                  </w:p>
                                </w:txbxContent>
                              </wps:txbx>
                              <wps:bodyPr upright="1"/>
                            </wps:wsp>
                            <wps:wsp>
                              <wps:cNvPr id="131" name="曲线连接符 14"/>
                              <wps:cNvCnPr/>
                              <wps:spPr>
                                <a:xfrm flipV="1">
                                  <a:off x="2022873" y="2330357"/>
                                  <a:ext cx="241300" cy="203199"/>
                                </a:xfrm>
                                <a:prstGeom prst="curvedConnector3">
                                  <a:avLst>
                                    <a:gd name="adj1" fmla="val 50130"/>
                                  </a:avLst>
                                </a:prstGeom>
                                <a:ln w="15875" cap="flat" cmpd="sng">
                                  <a:solidFill>
                                    <a:srgbClr val="000000"/>
                                  </a:solidFill>
                                  <a:prstDash val="dash"/>
                                  <a:round/>
                                  <a:headEnd type="none" w="med" len="med"/>
                                  <a:tailEnd type="triangle" w="med" len="med"/>
                                </a:ln>
                              </wps:spPr>
                              <wps:bodyPr/>
                            </wps:wsp>
                            <wps:wsp>
                              <wps:cNvPr id="132" name="矩形 187"/>
                              <wps:cNvSpPr/>
                              <wps:spPr>
                                <a:xfrm>
                                  <a:off x="2145155" y="1527171"/>
                                  <a:ext cx="1231900" cy="276225"/>
                                </a:xfrm>
                                <a:prstGeom prst="rect">
                                  <a:avLst/>
                                </a:prstGeom>
                                <a:ln>
                                  <a:noFill/>
                                </a:ln>
                              </wps:spPr>
                              <wps:txbx>
                                <w:txbxContent>
                                  <w:p w14:paraId="440D9EA3">
                                    <w:r>
                                      <w:rPr>
                                        <w:rFonts w:hint="eastAsia"/>
                                      </w:rPr>
                                      <w:t>蒸发损耗0.004</w:t>
                                    </w:r>
                                  </w:p>
                                </w:txbxContent>
                              </wps:txbx>
                              <wps:bodyPr upright="1"/>
                            </wps:wsp>
                            <wps:wsp>
                              <wps:cNvPr id="1413602944" name="矩形 8"/>
                              <wps:cNvSpPr/>
                              <wps:spPr>
                                <a:xfrm>
                                  <a:off x="4260668" y="811804"/>
                                  <a:ext cx="940617" cy="687706"/>
                                </a:xfrm>
                                <a:prstGeom prst="rect">
                                  <a:avLst/>
                                </a:prstGeom>
                                <a:gradFill flip="none" rotWithShape="0">
                                  <a:gsLst>
                                    <a:gs pos="0">
                                      <a:srgbClr val="FFFFFF"/>
                                    </a:gs>
                                    <a:gs pos="100000">
                                      <a:srgbClr val="FFFFFF"/>
                                    </a:gs>
                                  </a:gsLst>
                                  <a:lin ang="0" scaled="0"/>
                                </a:gradFill>
                                <a:ln>
                                  <a:noFill/>
                                </a:ln>
                              </wps:spPr>
                              <wps:txbx>
                                <w:txbxContent>
                                  <w:p w14:paraId="5F903037">
                                    <w:pPr>
                                      <w:ind w:left="-105" w:leftChars="-50" w:right="-105" w:rightChars="-50"/>
                                    </w:pPr>
                                    <w:r>
                                      <w:rPr>
                                        <w:rFonts w:hint="eastAsia"/>
                                      </w:rPr>
                                      <w:t>博罗县福田镇生活污水处理厂</w:t>
                                    </w:r>
                                  </w:p>
                                </w:txbxContent>
                              </wps:txbx>
                              <wps:bodyPr upright="1"/>
                            </wps:wsp>
                            <wps:wsp>
                              <wps:cNvPr id="255239045" name="矩形 8"/>
                              <wps:cNvSpPr/>
                              <wps:spPr>
                                <a:xfrm>
                                  <a:off x="4460233" y="1499510"/>
                                  <a:ext cx="459318" cy="285750"/>
                                </a:xfrm>
                                <a:prstGeom prst="rect">
                                  <a:avLst/>
                                </a:prstGeom>
                                <a:gradFill flip="none" rotWithShape="0">
                                  <a:gsLst>
                                    <a:gs pos="0">
                                      <a:srgbClr val="FFFFFF"/>
                                    </a:gs>
                                    <a:gs pos="100000">
                                      <a:srgbClr val="FFFFFF"/>
                                    </a:gs>
                                  </a:gsLst>
                                  <a:lin ang="0" scaled="0"/>
                                </a:gradFill>
                                <a:ln>
                                  <a:noFill/>
                                </a:ln>
                              </wps:spPr>
                              <wps:txbx>
                                <w:txbxContent>
                                  <w:p w14:paraId="69CC786D">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福田河</w:t>
                                    </w:r>
                                  </w:p>
                                </w:txbxContent>
                              </wps:txbx>
                              <wps:bodyPr upright="1"/>
                            </wps:wsp>
                            <wps:wsp>
                              <wps:cNvPr id="1079272534" name="连接符: 肘形 1079272534"/>
                              <wps:cNvCnPr/>
                              <wps:spPr>
                                <a:xfrm flipV="1">
                                  <a:off x="3587750" y="988829"/>
                                  <a:ext cx="681141" cy="334088"/>
                                </a:xfrm>
                                <a:prstGeom prst="bentConnector3">
                                  <a:avLst>
                                    <a:gd name="adj1" fmla="val 70510"/>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7216361" name="直接连接符 20"/>
                              <wps:cNvCnPr/>
                              <wps:spPr>
                                <a:xfrm>
                                  <a:off x="4711684" y="1341911"/>
                                  <a:ext cx="0" cy="166879"/>
                                </a:xfrm>
                                <a:prstGeom prst="line">
                                  <a:avLst/>
                                </a:prstGeom>
                                <a:ln w="15875" cap="flat" cmpd="sng">
                                  <a:solidFill>
                                    <a:srgbClr val="000000"/>
                                  </a:solidFill>
                                  <a:prstDash val="solid"/>
                                  <a:round/>
                                  <a:headEnd type="none" w="med" len="med"/>
                                  <a:tailEnd type="triangle" w="med" len="med"/>
                                </a:ln>
                              </wps:spPr>
                              <wps:bodyPr/>
                            </wps:wsp>
                            <wps:wsp>
                              <wps:cNvPr id="18265165" name="直接连接符 17"/>
                              <wps:cNvCnPr/>
                              <wps:spPr>
                                <a:xfrm>
                                  <a:off x="1128117" y="2024361"/>
                                  <a:ext cx="475837" cy="0"/>
                                </a:xfrm>
                                <a:prstGeom prst="line">
                                  <a:avLst/>
                                </a:prstGeom>
                                <a:ln w="15875" cap="flat" cmpd="sng">
                                  <a:solidFill>
                                    <a:srgbClr val="000000"/>
                                  </a:solidFill>
                                  <a:prstDash val="solid"/>
                                  <a:round/>
                                  <a:headEnd type="none" w="med" len="med"/>
                                  <a:tailEnd type="triangle" w="med" len="med"/>
                                </a:ln>
                              </wps:spPr>
                              <wps:bodyPr/>
                            </wps:wsp>
                            <wps:wsp>
                              <wps:cNvPr id="1431791968" name="曲线连接符 14"/>
                              <wps:cNvCnPr/>
                              <wps:spPr>
                                <a:xfrm flipV="1">
                                  <a:off x="1898900" y="1658751"/>
                                  <a:ext cx="241300" cy="203199"/>
                                </a:xfrm>
                                <a:prstGeom prst="curvedConnector3">
                                  <a:avLst>
                                    <a:gd name="adj1" fmla="val 50130"/>
                                  </a:avLst>
                                </a:prstGeom>
                                <a:ln w="15875" cap="flat" cmpd="sng">
                                  <a:solidFill>
                                    <a:srgbClr val="000000"/>
                                  </a:solidFill>
                                  <a:prstDash val="dash"/>
                                  <a:round/>
                                  <a:headEnd type="none" w="med" len="med"/>
                                  <a:tailEnd type="triangle" w="med" len="med"/>
                                </a:ln>
                              </wps:spPr>
                              <wps:bodyPr/>
                            </wps:wsp>
                            <wps:wsp>
                              <wps:cNvPr id="1634780037" name="矩形 34"/>
                              <wps:cNvSpPr/>
                              <wps:spPr>
                                <a:xfrm>
                                  <a:off x="1091106" y="1724642"/>
                                  <a:ext cx="685800" cy="299719"/>
                                </a:xfrm>
                                <a:prstGeom prst="rect">
                                  <a:avLst/>
                                </a:prstGeom>
                                <a:ln>
                                  <a:noFill/>
                                </a:ln>
                              </wps:spPr>
                              <wps:txbx>
                                <w:txbxContent>
                                  <w:p w14:paraId="77993F1D">
                                    <w:pPr>
                                      <w:rPr>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color w:val="000000" w:themeColor="text1"/>
                                        <w14:textFill>
                                          <w14:solidFill>
                                            <w14:schemeClr w14:val="tx1"/>
                                          </w14:solidFill>
                                        </w14:textFill>
                                      </w:rPr>
                                      <w:t>4</w:t>
                                    </w:r>
                                  </w:p>
                                </w:txbxContent>
                              </wps:txbx>
                              <wps:bodyPr upright="1"/>
                            </wps:wsp>
                            <wps:wsp>
                              <wps:cNvPr id="1776603672" name="矩形 1776603672"/>
                              <wps:cNvSpPr/>
                              <wps:spPr>
                                <a:xfrm>
                                  <a:off x="2210754" y="2188314"/>
                                  <a:ext cx="1231900" cy="276225"/>
                                </a:xfrm>
                                <a:prstGeom prst="rect">
                                  <a:avLst/>
                                </a:prstGeom>
                                <a:ln>
                                  <a:noFill/>
                                </a:ln>
                              </wps:spPr>
                              <wps:txbx>
                                <w:txbxContent>
                                  <w:p w14:paraId="3E8C62A0">
                                    <w:pPr>
                                      <w:rPr>
                                        <w:szCs w:val="21"/>
                                      </w:rPr>
                                    </w:pPr>
                                    <w:r>
                                      <w:rPr>
                                        <w:rFonts w:hint="eastAsia"/>
                                        <w:szCs w:val="21"/>
                                      </w:rPr>
                                      <w:t>蒸发损耗4.20</w:t>
                                    </w:r>
                                  </w:p>
                                </w:txbxContent>
                              </wps:txbx>
                              <wps:bodyPr upright="1"/>
                            </wps:wsp>
                            <wps:wsp>
                              <wps:cNvPr id="652932899" name="矩形 23"/>
                              <wps:cNvSpPr/>
                              <wps:spPr>
                                <a:xfrm>
                                  <a:off x="4739844" y="1227451"/>
                                  <a:ext cx="461441" cy="299720"/>
                                </a:xfrm>
                                <a:prstGeom prst="rect">
                                  <a:avLst/>
                                </a:prstGeom>
                                <a:ln>
                                  <a:noFill/>
                                </a:ln>
                              </wps:spPr>
                              <wps:txbx>
                                <w:txbxContent>
                                  <w:p w14:paraId="64028885">
                                    <w:pPr>
                                      <w:rPr>
                                        <w:color w:val="000000" w:themeColor="text1"/>
                                        <w14:textFill>
                                          <w14:solidFill>
                                            <w14:schemeClr w14:val="tx1"/>
                                          </w14:solidFill>
                                        </w14:textFill>
                                      </w:rPr>
                                    </w:pPr>
                                    <w:r>
                                      <w:rPr>
                                        <w:rFonts w:hint="eastAsia"/>
                                        <w:color w:val="000000" w:themeColor="text1"/>
                                        <w14:textFill>
                                          <w14:solidFill>
                                            <w14:schemeClr w14:val="tx1"/>
                                          </w14:solidFill>
                                        </w14:textFill>
                                      </w:rPr>
                                      <w:t>2.32</w:t>
                                    </w:r>
                                  </w:p>
                                </w:txbxContent>
                              </wps:txbx>
                              <wps:bodyPr upright="1"/>
                            </wps:wsp>
                          </wpc:wpc>
                        </a:graphicData>
                      </a:graphic>
                    </wp:inline>
                  </w:drawing>
                </mc:Choice>
                <mc:Fallback>
                  <w:pict>
                    <v:group id="_x0000_s1026" o:spid="_x0000_s1026" o:spt="203" style="height:277.5pt;width:409.55pt;" coordsize="5201285,3524250" editas="canvas"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">
                      <o:lock v:ext="edit" aspectratio="f"/>
                      <v:shape id="_x0000_s1026" o:spid="_x0000_s1026" style="position:absolute;left:0;top:0;height:3524250;width:5201285;"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">
                        <v:fill on="f" focussize="0,0"/>
                        <v:stroke on="f"/>
                        <v:imagedata o:title=""/>
                        <o:lock v:ext="edit" aspectratio="f"/>
                      </v:shape>
                      <v:rect id="矩形 1" o:spid="_x0000_s1026" o:spt="1" style="position:absolute;left:159562;top:1225706;height:876300;width:305435;" fillcolor="#FFFFFF" filled="t" stroked="f" coordsize="21600,21600" o:gfxdata="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I52mdcAAAAFAQAADwAAAAAAAAABACAAAAAiAAAAZHJzL2Rvd25y&#10;ZXYueG1sUEsBAhQAFAAAAAgAh07iQGadouL/AQAABgQAAA4AAAAAAAAAAQAgAAAAJgEAAGRycy9l&#10;Mm9Eb2MueG1sUEsFBgAAAAAGAAYAWQEAAJcFAAAAAA==&#10;">
                        <v:fill type="gradient" on="t" color2="#FFFFFF" angle="90" focus="100%" focussize="0,0">
                          <o:fill type="gradientUnscaled" v:ext="backwardCompatible"/>
                        </v:fill>
                        <v:stroke on="f"/>
                        <v:imagedata o:title=""/>
                        <o:lock v:ext="edit" aspectratio="f"/>
                        <v:textbox>
                          <w:txbxContent>
                            <w:p w14:paraId="21274BE4">
                              <w:r>
                                <w:rPr>
                                  <w:rFonts w:hint="eastAsia"/>
                                </w:rPr>
                                <w:t>市政供水</w:t>
                              </w:r>
                            </w:p>
                          </w:txbxContent>
                        </v:textbox>
                      </v:rect>
                      <v:line id="直接连接符 2" o:spid="_x0000_s1026" o:spt="20" style="position:absolute;left:1123268;top:614549;height:2770564;width:31859;" filled="f" stroked="t" coordsize="21600,21600" o:gfxdata="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ShRmXWAAAABQEAAA8AAAAAAAAAAQAgAAAAIgAAAGRycy9k&#10;b3ducmV2LnhtbFBLAQIUABQAAAAIAIdO4kAG0W/XBAIAAPMDAAAOAAAAAAAAAAEAIAAAACUBAABk&#10;cnMvZTJvRG9jLnhtbFBLBQYAAAAABgAGAFkBAACbBQAAAAA=&#10;">
                        <v:fill on="f" focussize="0,0"/>
                        <v:stroke weight="1.25pt" color="#000000" joinstyle="round"/>
                        <v:imagedata o:title=""/>
                        <o:lock v:ext="edit" aspectratio="f"/>
                      </v:line>
                      <v:line id="直接连接符 3" o:spid="_x0000_s1026" o:spt="20" style="position:absolute;left:1158418;top:2681126;height:0;width:431800;"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&#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H6JnbVAAAABQEAAA8AAAAAAAAAAQAgAAAAIgAAAGRy&#10;cy9kb3ducmV2LnhtbFBLAQIUABQAAAAIAIdO4kAoQPOZCAIAAPMDAAAOAAAAAAAAAAEAIAAAACQB&#10;AABkcnMvZTJvRG9jLnhtbFBLBQYAAAAABgAGAFkBAACeBQAAAAA=&#10;">
                        <v:fill on="f" focussize="0,0"/>
                        <v:stroke weight="1.25pt" color="#000000" joinstyle="round" endarrow="block"/>
                        <v:imagedata o:title=""/>
                        <o:lock v:ext="edit" aspectratio="f"/>
                      </v:line>
                      <v:rect id="矩形 4" o:spid="_x0000_s1026" o:spt="1" style="position:absolute;left:3501597;top:508764;height:276225;width:1417954;" fillcolor="#FFFFFF" filled="t" stroked="f" coordsize="21600,21600" o:gfxdata="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I52mdcAAAAFAQAADwAAAAAAAAABACAAAAAiAAAAZHJzL2Rv&#10;d25yZXYueG1sUEsBAhQAFAAAAAgAh07iQEfxoJwCAgAABwQAAA4AAAAAAAAAAQAgAAAAJgEAAGRy&#10;cy9lMm9Eb2MueG1sUEsFBgAAAAAGAAYAWQEAAJoFAAAAAA==&#10;">
                        <v:fill type="gradient" on="t" color2="#FFFFFF" angle="90" focus="100%" focussize="0,0">
                          <o:fill type="gradientUnscaled" v:ext="backwardCompatible"/>
                        </v:fill>
                        <v:stroke on="f"/>
                        <v:imagedata o:title=""/>
                        <o:lock v:ext="edit" aspectratio="f"/>
                        <v:textbox>
                          <w:txbxContent>
                            <w:p w14:paraId="4B372095">
                              <w:r>
                                <w:rPr>
                                  <w:rFonts w:hint="eastAsia"/>
                                </w:rPr>
                                <w:t>交由有资质单位处置</w:t>
                              </w:r>
                            </w:p>
                          </w:txbxContent>
                        </v:textbox>
                      </v:rect>
                      <v:rect id="矩形 5" o:spid="_x0000_s1026" o:spt="1" style="position:absolute;left:1633852;top:365526;height:498385;width:1485445;" fillcolor="#FFFFFF" filled="t" stroked="t" coordsize="21600,21600" o:gfxdata="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Mg++xtUAAAAFAQAADwAAAAAAAAAB&#10;ACAAAAAiAAAAZHJzL2Rvd25yZXYueG1sUEsBAhQAFAAAAAgAh07iQLFlAiFMAgAAxwQAAA4AAAAA&#10;AAAAAQAgAAAAJAEAAGRycy9lMm9Eb2MueG1sUEsFBgAAAAAGAAYAWQEAAOIFAAAAAA==&#10;">
                        <v:fill type="gradient" on="t" color2="#FFFFFF" angle="90" focus="100%" focussize="0,0">
                          <o:fill type="gradientUnscaled" v:ext="backwardCompatible"/>
                        </v:fill>
                        <v:stroke weight="1.25pt" color="#000000" joinstyle="miter"/>
                        <v:imagedata o:title=""/>
                        <o:lock v:ext="edit" aspectratio="f"/>
                        <v:textbox>
                          <w:txbxContent>
                            <w:p w14:paraId="3E00B9A9">
                              <w:pPr>
                                <w:jc w:val="center"/>
                              </w:pPr>
                              <w:r>
                                <w:rPr>
                                  <w:rFonts w:hint="eastAsia"/>
                                </w:rPr>
                                <w:t>喷漆、晾干废气处理装置喷淋塔用水</w:t>
                              </w:r>
                            </w:p>
                          </w:txbxContent>
                        </v:textbox>
                      </v:rect>
                      <v:line id="直接连接符 6" o:spid="_x0000_s1026" o:spt="20" style="position:absolute;left:1123268;top:614622;height:0;width:495363;"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h+iZ21QAAAAUBAAAPAAAAAAAAAAEAIAAAACIAAABkcnMv&#10;ZG93bnJldi54bWxQSwECFAAUAAAACACHTuJAm7uH2QYCAADyAwAADgAAAAAAAAABACAAAAAkAQAA&#10;ZHJzL2Uyb0RvYy54bWxQSwUGAAAAAAYABgBZAQAAnAUAAAAA&#10;">
                        <v:fill on="f" focussize="0,0"/>
                        <v:stroke weight="1.25pt" color="#000000" joinstyle="round" endarrow="block"/>
                        <v:imagedata o:title=""/>
                        <o:lock v:ext="edit" aspectratio="f"/>
                      </v:line>
                      <v:rect id="矩形 7" o:spid="_x0000_s1026" o:spt="1" style="position:absolute;left:1590217;top:1190662;height:285750;width:780415;" fillcolor="#FFFFFF" filled="t" stroked="t" coordsize="21600,21600" o:gfxdata="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yD77G1QAAAAUBAAAPAAAAAAAAAAEA&#10;IAAAACIAAABkcnMvZG93bnJldi54bWxQSwECFAAUAAAACACHTuJAoHS8w0sCAADHBAAADgAAAAAA&#10;AAABACAAAAAkAQAAZHJzL2Uyb0RvYy54bWxQSwUGAAAAAAYABgBZAQAA4QUAAAAA&#10;">
                        <v:fill type="gradient" on="t" color2="#FFFFFF" angle="90" focus="100%" focussize="0,0">
                          <o:fill type="gradientUnscaled" v:ext="backwardCompatible"/>
                        </v:fill>
                        <v:stroke weight="1.25pt" color="#000000" joinstyle="miter"/>
                        <v:imagedata o:title=""/>
                        <o:lock v:ext="edit" aspectratio="f"/>
                        <v:textbox>
                          <w:txbxContent>
                            <w:p w14:paraId="1393E63F">
                              <w:r>
                                <w:rPr>
                                  <w:rFonts w:hint="eastAsia"/>
                                </w:rPr>
                                <w:t>生活用水</w:t>
                              </w:r>
                            </w:p>
                          </w:txbxContent>
                        </v:textbox>
                      </v:rect>
                      <v:shape id="曲线连接符 9" o:spid="_x0000_s1026" o:spt="38" type="#_x0000_t38" style="position:absolute;left:1875127;top:1063037;flip:y;height:118110;width:230505;" filled="f" stroked="t" coordsize="21600,21600" o:gfxdata="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3no3dQAAAAFAQAADwAAAAAAAAABACAAAAAiAAAAZHJzL2Rvd25yZXYueG1sUEsB&#10;AhQAFAAAAAgAh07iQJ3RyGsyAgAAOgQAAA4AAAAAAAAAAQAgAAAAIwEAAGRycy9lMm9Eb2MueG1s&#10;UEsFBgAAAAAGAAYAWQEAAMcFAAAAAA==&#10;" adj="10830">
                        <v:fill on="f" focussize="0,0"/>
                        <v:stroke weight="1.25pt" color="#000000" joinstyle="round" dashstyle="dash" endarrow="block"/>
                        <v:imagedata o:title=""/>
                        <o:lock v:ext="edit" aspectratio="f"/>
                      </v:shape>
                      <v:rect id="矩形 10" o:spid="_x0000_s1026" o:spt="1" style="position:absolute;left:2105632;top:911381;height:314325;width:54737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fD7Cc9cAAAAF&#10;AQAADwAAAAAAAAABACAAAAAiAAAAZHJzL2Rvd25yZXYueG1sUEsBAhQAFAAAAAgAh07iQOMrKSir&#10;AQAAQgMAAA4AAAAAAAAAAQAgAAAAJgEAAGRycy9lMm9Eb2MueG1sUEsFBgAAAAAGAAYAWQEAAEMF&#10;AAAAAA==&#10;">
                        <v:fill on="f" focussize="0,0"/>
                        <v:stroke on="f"/>
                        <v:imagedata o:title=""/>
                        <o:lock v:ext="edit" aspectratio="f"/>
                        <v:textbox>
                          <w:txbxContent>
                            <w:p w14:paraId="37AC43EC">
                              <w:pPr>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48</w:t>
                              </w:r>
                            </w:p>
                          </w:txbxContent>
                        </v:textbox>
                      </v:rect>
                      <v:rect id="矩形 11" o:spid="_x0000_s1026" o:spt="1" style="position:absolute;left:479602;top:1341911;height:328295;width:911225;"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8PsJz1wAAAAUB&#10;AAAPAAAAAAAAAAEAIAAAACIAAABkcnMvZG93bnJldi54bWxQSwECFAAUAAAACACHTuJAu17PBqoB&#10;AABCAwAADgAAAAAAAAABACAAAAAmAQAAZHJzL2Uyb0RvYy54bWxQSwUGAAAAAAYABgBZAQAAQgUA&#10;AAAA&#10;">
                        <v:fill on="f" focussize="0,0"/>
                        <v:stroke on="f"/>
                        <v:imagedata o:title=""/>
                        <o:lock v:ext="edit" aspectratio="f"/>
                        <v:textbox>
                          <w:txbxContent>
                            <w:p w14:paraId="0B18EE0B">
                              <w:pPr>
                                <w:rPr>
                                  <w:color w:val="000000" w:themeColor="text1"/>
                                  <w14:textFill>
                                    <w14:solidFill>
                                      <w14:schemeClr w14:val="tx1"/>
                                    </w14:solidFill>
                                  </w14:textFill>
                                </w:rPr>
                              </w:pPr>
                              <w:r>
                                <w:rPr>
                                  <w:rFonts w:hint="eastAsia"/>
                                  <w:color w:val="000000" w:themeColor="text1"/>
                                  <w14:textFill>
                                    <w14:solidFill>
                                      <w14:schemeClr w14:val="tx1"/>
                                    </w14:solidFill>
                                  </w14:textFill>
                                </w:rPr>
                                <w:t>11.3264</w:t>
                              </w:r>
                            </w:p>
                          </w:txbxContent>
                        </v:textbox>
                      </v:rect>
                      <v:line id="直接连接符 12" o:spid="_x0000_s1026" o:spt="20" style="position:absolute;left:2374206;top:1322917;height:0;width:247886;"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h+iZ21QAAAAUBAAAPAAAAAAAAAAEAIAAAACIAAABk&#10;cnMvZG93bnJldi54bWxQSwECFAAUAAAACACHTuJAjPEb7AkCAAD0AwAADgAAAAAAAAABACAAAAAk&#10;AQAAZHJzL2Uyb0RvYy54bWxQSwUGAAAAAAYABgBZAQAAnwUAAAAA&#10;">
                        <v:fill on="f" focussize="0,0"/>
                        <v:stroke weight="1.25pt" color="#000000" joinstyle="round" endarrow="block"/>
                        <v:imagedata o:title=""/>
                        <o:lock v:ext="edit" aspectratio="f"/>
                      </v:line>
                      <v:line id="直接连接符 13" o:spid="_x0000_s1026" o:spt="20" style="position:absolute;left:416737;top:1624486;flip:y;height:635;width:706755;" filled="f" stroked="t" coordsize="21600,21600" o:gfxdata="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qhg3T1QAAAAUBAAAPAAAAAAAAAAEAIAAA&#10;ACIAAABkcnMvZG93bnJldi54bWxQSwECFAAUAAAACACHTuJAL42daw8CAAD/AwAADgAAAAAAAAAB&#10;ACAAAAAkAQAAZHJzL2Uyb0RvYy54bWxQSwUGAAAAAAYABgBZAQAApQUAAAAA&#10;">
                        <v:fill on="f" focussize="0,0"/>
                        <v:stroke weight="1.25pt" color="#000000" joinstyle="round" endarrow="block"/>
                        <v:imagedata o:title=""/>
                        <o:lock v:ext="edit" aspectratio="f"/>
                      </v:line>
                      <v:shape id="曲线连接符 14" o:spid="_x0000_s1026" o:spt="38" type="#_x0000_t38" style="position:absolute;left:1902303;top:162335;flip:y;height:203199;width:241300;" filled="f" stroked="t" coordsize="21600,21600" o:gfxdata="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QzCsitMAAAAFAQAADwAAAAAAAAABACAAAAAiAAAAZHJzL2Rvd25yZXYueG1sUEsB&#10;AhQAFAAAAAgAh07iQFl6GeYzAgAAOgQAAA4AAAAAAAAAAQAgAAAAIgEAAGRycy9lMm9Eb2MueG1s&#10;UEsFBgAAAAAGAAYAWQEAAMcFAAAAAA==&#10;" adj="10828">
                        <v:fill on="f" focussize="0,0"/>
                        <v:stroke weight="1.25pt" color="#000000" joinstyle="round" dashstyle="dash" endarrow="block"/>
                        <v:imagedata o:title=""/>
                        <o:lock v:ext="edit" aspectratio="f"/>
                      </v:shape>
                      <v:rect id="矩形 15" o:spid="_x0000_s1026" o:spt="1" style="position:absolute;left:2082468;top:36810;height:276225;width:12319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w+wnPXAAAA&#10;BQEAAA8AAAAAAAAAAQAgAAAAIgAAAGRycy9kb3ducmV2LnhtbFBLAQIUABQAAAAIAIdO4kBrsPSN&#10;rAEAAEIDAAAOAAAAAAAAAAEAIAAAACYBAABkcnMvZTJvRG9jLnhtbFBLBQYAAAAABgAGAFkBAABE&#10;BQAAAAA=&#10;">
                        <v:fill on="f" focussize="0,0"/>
                        <v:stroke on="f"/>
                        <v:imagedata o:title=""/>
                        <o:lock v:ext="edit" aspectratio="f"/>
                        <v:textbox>
                          <w:txbxContent>
                            <w:p w14:paraId="2006FE95">
                              <w:r>
                                <w:rPr>
                                  <w:rFonts w:hint="eastAsia"/>
                                </w:rPr>
                                <w:t>蒸发损耗4.20</w:t>
                              </w:r>
                            </w:p>
                          </w:txbxContent>
                        </v:textbox>
                      </v:rect>
                      <v:rect id="矩形 16" o:spid="_x0000_s1026" o:spt="1" style="position:absolute;left:3121352;top:365526;height:309244;width:514985;"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w+wnPXAAAA&#10;BQEAAA8AAAAAAAAAAQAgAAAAIgAAAGRycy9kb3ducmV2LnhtbFBLAQIUABQAAAAIAIdO4kBSVUnq&#10;rAEAAEIDAAAOAAAAAAAAAAEAIAAAACYBAABkcnMvZTJvRG9jLnhtbFBLBQYAAAAABgAGAFkBAABE&#10;BQAAAAA=&#10;">
                        <v:fill on="f" focussize="0,0"/>
                        <v:stroke on="f"/>
                        <v:imagedata o:title=""/>
                        <o:lock v:ext="edit" aspectratio="f"/>
                        <v:textbox>
                          <w:txbxContent>
                            <w:p w14:paraId="5039A70C">
                              <w:r>
                                <w:rPr>
                                  <w:rFonts w:hint="eastAsia"/>
                                </w:rPr>
                                <w:t>0.04</w:t>
                              </w:r>
                            </w:p>
                          </w:txbxContent>
                        </v:textbox>
                      </v:rect>
                      <v:line id="直接连接符 17" o:spid="_x0000_s1026" o:spt="20" style="position:absolute;left:1141906;top:1341911;height:0;width:448311;"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fomdtUAAAAFAQAADwAAAAAAAAABACAAAAAiAAAAZHJz&#10;L2Rvd25yZXYueG1sUEsBAhQAFAAAAAgAh07iQPZQrxsHAgAA9AMAAA4AAAAAAAAAAQAgAAAAJAEA&#10;AGRycy9lMm9Eb2MueG1sUEsFBgAAAAAGAAYAWQEAAJ0FAAAAAA==&#10;">
                        <v:fill on="f" focussize="0,0"/>
                        <v:stroke weight="1.25pt" color="#000000" joinstyle="round" endarrow="block"/>
                        <v:imagedata o:title=""/>
                        <o:lock v:ext="edit" aspectratio="f"/>
                      </v:line>
                      <v:rect id="矩形 18" o:spid="_x0000_s1026" o:spt="1" style="position:absolute;left:2638603;top:988829;height:487583;width:949147;" fillcolor="#FFFFFF" filled="t" stroked="t" coordsize="21600,21600" o:gfxdata="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ZVY&#10;e9MAAAAFAQAADwAAAAAAAAABACAAAAAiAAAAZHJzL2Rvd25yZXYueG1sUEsBAhQAFAAAAAgAh07i&#10;QKqexO9gAgAA+wQAAA4AAAAAAAAAAQAgAAAAIgEAAGRycy9lMm9Eb2MueG1sUEsFBgAAAAAGAAYA&#10;WQEAAPQFAAAAAA==&#10;">
                        <v:fill type="gradient" on="t" color2="#FFFFFF" angle="90" focus="100%" focussize="0,0">
                          <o:fill type="gradientUnscaled" v:ext="backwardCompatible"/>
                        </v:fill>
                        <v:stroke weight="1.25pt" color="#000000" joinstyle="miter"/>
                        <v:imagedata o:title=""/>
                        <o:lock v:ext="edit" aspectratio="f"/>
                        <v:textbox inset="1mm,1mm,1mm,1mm">
                          <w:txbxContent>
                            <w:p w14:paraId="18C8281C">
                              <w:pPr>
                                <w:jc w:val="center"/>
                              </w:pPr>
                              <w:r>
                                <w:rPr>
                                  <w:rFonts w:hint="eastAsia"/>
                                </w:rPr>
                                <w:t>隔油隔渣+三级化粪池</w:t>
                              </w:r>
                            </w:p>
                          </w:txbxContent>
                        </v:textbox>
                      </v:rect>
                      <v:line id="直接连接符 19" o:spid="_x0000_s1026" o:spt="20" style="position:absolute;left:3119297;top:652158;flip:y;height:5500;width:419880;" filled="f" stroked="t" coordsize="21600,21600" o:gfxdata="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qGDdPVAAAABQEAAA8AAAAAAAAA&#10;AQAgAAAAIgAAAGRycy9kb3ducmV2LnhtbFBLAQIUABQAAAAIAIdO4kC9rasEFAIAAAAEAAAOAAAA&#10;AAAAAAEAIAAAACQBAABkcnMvZTJvRG9jLnhtbFBLBQYAAAAABgAGAFkBAACqBQAAAAA=&#10;">
                        <v:fill on="f" focussize="0,0"/>
                        <v:stroke weight="1.25pt" color="#000000" joinstyle="round" endarrow="block"/>
                        <v:imagedata o:title=""/>
                        <o:lock v:ext="edit" aspectratio="f"/>
                      </v:line>
                      <v:rect id="矩形 21" o:spid="_x0000_s1026" o:spt="1" style="position:absolute;left:1620062;top:1861950;height:276225;width:920930;" fillcolor="#FFFFFF" filled="t" stroked="t" coordsize="21600,21600" o:gfxdata="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yD77G1QAAAAUBAAAPAAAAAAAAAAEA&#10;IAAAACIAAABkcnMvZG93bnJldi54bWxQSwECFAAUAAAACACHTuJAgyutyksCAADIBAAADgAAAAAA&#10;AAABACAAAAAkAQAAZHJzL2Uyb0RvYy54bWxQSwUGAAAAAAYABgBZAQAA4QUAAAAA&#10;">
                        <v:fill type="gradient" on="t" color2="#FFFFFF" angle="90" focus="100%" focussize="0,0">
                          <o:fill type="gradientUnscaled" v:ext="backwardCompatible"/>
                        </v:fill>
                        <v:stroke weight="1.25pt" color="#000000" joinstyle="miter"/>
                        <v:imagedata o:title=""/>
                        <o:lock v:ext="edit" aspectratio="f"/>
                        <v:textbox>
                          <w:txbxContent>
                            <w:p w14:paraId="7788151A">
                              <w:r>
                                <w:rPr>
                                  <w:rFonts w:hint="eastAsia"/>
                                </w:rPr>
                                <w:t>腻子粉调配</w:t>
                              </w:r>
                            </w:p>
                          </w:txbxContent>
                        </v:textbox>
                      </v:rect>
                      <v:rect id="矩形 22" o:spid="_x0000_s1026" o:spt="1" style="position:absolute;left:1123492;top:1052184;height:371475;width:6350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fD7Cc9cAAAAF&#10;AQAADwAAAAAAAAABACAAAAAiAAAAZHJzL2Rvd25yZXYueG1sUEsBAhQAFAAAAAgAh07iQLu7FP6r&#10;AQAAQwMAAA4AAAAAAAAAAQAgAAAAJgEAAGRycy9lMm9Eb2MueG1sUEsFBgAAAAAGAAYAWQEAAEMF&#10;AAAAAA==&#10;">
                        <v:fill on="f" focussize="0,0"/>
                        <v:stroke on="f"/>
                        <v:imagedata o:title=""/>
                        <o:lock v:ext="edit" aspectratio="f"/>
                        <v:textbox>
                          <w:txbxContent>
                            <w:p w14:paraId="47803C79">
                              <w:pPr>
                                <w:rPr>
                                  <w:color w:val="000000" w:themeColor="text1"/>
                                  <w14:textFill>
                                    <w14:solidFill>
                                      <w14:schemeClr w14:val="tx1"/>
                                    </w14:solidFill>
                                  </w14:textFill>
                                </w:rPr>
                              </w:pPr>
                              <w:r>
                                <w:rPr>
                                  <w:rFonts w:hint="eastAsia"/>
                                  <w:color w:val="000000" w:themeColor="text1"/>
                                  <w14:textFill>
                                    <w14:solidFill>
                                      <w14:schemeClr w14:val="tx1"/>
                                    </w14:solidFill>
                                  </w14:textFill>
                                </w:rPr>
                                <w:t>2.80</w:t>
                              </w:r>
                            </w:p>
                          </w:txbxContent>
                        </v:textbox>
                      </v:rect>
                      <v:rect id="矩形 23" o:spid="_x0000_s1026" o:spt="1" style="position:absolute;left:3681215;top:925986;height:299720;width:461441;"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PsJz1wAA&#10;AAUBAAAPAAAAAAAAAAEAIAAAACIAAABkcnMvZG93bnJldi54bWxQSwECFAAUAAAACACHTuJA/VdG&#10;960BAABCAwAADgAAAAAAAAABACAAAAAmAQAAZHJzL2Uyb0RvYy54bWxQSwUGAAAAAAYABgBZAQAA&#10;RQUAAAAA&#10;">
                        <v:fill on="f" focussize="0,0"/>
                        <v:stroke on="f"/>
                        <v:imagedata o:title=""/>
                        <o:lock v:ext="edit" aspectratio="f"/>
                        <v:textbox>
                          <w:txbxContent>
                            <w:p w14:paraId="05D7FA0E">
                              <w:pPr>
                                <w:rPr>
                                  <w:color w:val="000000" w:themeColor="text1"/>
                                  <w14:textFill>
                                    <w14:solidFill>
                                      <w14:schemeClr w14:val="tx1"/>
                                    </w14:solidFill>
                                  </w14:textFill>
                                </w:rPr>
                              </w:pPr>
                              <w:r>
                                <w:rPr>
                                  <w:rFonts w:hint="eastAsia"/>
                                  <w:color w:val="000000" w:themeColor="text1"/>
                                  <w14:textFill>
                                    <w14:solidFill>
                                      <w14:schemeClr w14:val="tx1"/>
                                    </w14:solidFill>
                                  </w14:textFill>
                                </w:rPr>
                                <w:t>2.32</w:t>
                              </w:r>
                            </w:p>
                          </w:txbxContent>
                        </v:textbox>
                      </v:rect>
                      <v:rect id="矩形 24" o:spid="_x0000_s1026" o:spt="1" style="position:absolute;left:1141906;top:2427261;height:338454;width:6350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D7Cc9cA&#10;AAAFAQAADwAAAAAAAAABACAAAAAiAAAAZHJzL2Rvd25yZXYueG1sUEsBAhQAFAAAAAgAh07iQLXx&#10;ol+uAQAARAMAAA4AAAAAAAAAAQAgAAAAJgEAAGRycy9lMm9Eb2MueG1sUEsFBgAAAAAGAAYAWQEA&#10;AEYFAAAAAA==&#10;">
                        <v:fill on="f" focussize="0,0"/>
                        <v:stroke on="f"/>
                        <v:imagedata o:title=""/>
                        <o:lock v:ext="edit" aspectratio="f"/>
                        <v:textbox>
                          <w:txbxContent>
                            <w:p w14:paraId="360430E4">
                              <w:pPr>
                                <w:rPr>
                                  <w:color w:val="000000" w:themeColor="text1"/>
                                  <w14:textFill>
                                    <w14:solidFill>
                                      <w14:schemeClr w14:val="tx1"/>
                                    </w14:solidFill>
                                  </w14:textFill>
                                </w:rPr>
                              </w:pPr>
                              <w:r>
                                <w:rPr>
                                  <w:rFonts w:hint="eastAsia"/>
                                  <w:color w:val="000000" w:themeColor="text1"/>
                                  <w14:textFill>
                                    <w14:solidFill>
                                      <w14:schemeClr w14:val="tx1"/>
                                    </w14:solidFill>
                                  </w14:textFill>
                                </w:rPr>
                                <w:t>4.28</w:t>
                              </w:r>
                            </w:p>
                          </w:txbxContent>
                        </v:textbox>
                      </v:rect>
                      <v:line id="直接连接符 25" o:spid="_x0000_s1026" o:spt="20" style="position:absolute;left:2604079;top:2661832;height:8889;width:461010;"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&#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h+iZ21QAAAAUBAAAPAAAAAAAAAAEAIAAAACIAAABk&#10;cnMvZG93bnJldi54bWxQSwECFAAUAAAACACHTuJAacsSYAkCAAD4AwAADgAAAAAAAAABACAAAAAk&#10;AQAAZHJzL2Uyb0RvYy54bWxQSwUGAAAAAAYABgBZAQAAnwUAAAAA&#10;">
                        <v:fill on="f" focussize="0,0"/>
                        <v:stroke weight="1.25pt" color="#000000" joinstyle="round" endarrow="block"/>
                        <v:imagedata o:title=""/>
                        <o:lock v:ext="edit" aspectratio="f"/>
                      </v:line>
                      <v:rect id="矩形 27" o:spid="_x0000_s1026" o:spt="1" style="position:absolute;left:2554782;top:2427567;height:338455;width:6350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D7Cc9cA&#10;AAAFAQAADwAAAAAAAAABACAAAAAiAAAAZHJzL2Rvd25yZXYueG1sUEsBAhQAFAAAAAgAh07iQCXS&#10;2R6uAQAARAMAAA4AAAAAAAAAAQAgAAAAJgEAAGRycy9lMm9Eb2MueG1sUEsFBgAAAAAGAAYAWQEA&#10;AEYFAAAAAA==&#10;">
                        <v:fill on="f" focussize="0,0"/>
                        <v:stroke on="f"/>
                        <v:imagedata o:title=""/>
                        <o:lock v:ext="edit" aspectratio="f"/>
                        <v:textbox>
                          <w:txbxContent>
                            <w:p w14:paraId="401BC073">
                              <w:pPr>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8</w:t>
                              </w:r>
                            </w:p>
                            <w:p w14:paraId="03B2C729"/>
                          </w:txbxContent>
                        </v:textbox>
                      </v:rect>
                      <v:line id="直接连接符 28" o:spid="_x0000_s1026" o:spt="20" style="position:absolute;left:416737;top:1624486;flip:y;height:635;width:706755;" filled="f" stroked="t" coordsize="21600,21600" o:gfxdata="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oYN09UAAAAFAQAADwAAAAAAAAABACAA&#10;AAAiAAAAZHJzL2Rvd25yZXYueG1sUEsBAhQAFAAAAAgAh07iQAN1AE8QAgAAAAQAAA4AAAAAAAAA&#10;AQAgAAAAJAEAAGRycy9lMm9Eb2MueG1sUEsFBgAAAAAGAAYAWQEAAKYFAAAAAA==&#10;">
                        <v:fill on="f" focussize="0,0"/>
                        <v:stroke weight="1.25pt" color="#000000" joinstyle="round" endarrow="block"/>
                        <v:imagedata o:title=""/>
                        <o:lock v:ext="edit" aspectratio="f"/>
                      </v:line>
                      <v:rect id="矩形 29" o:spid="_x0000_s1026" o:spt="1" style="position:absolute;left:1603954;top:2530708;height:276225;width:1000125;" fillcolor="#FFFFFF" filled="t" stroked="t" coordsize="21600,21600" o:gfxdata="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DIPvsbVAAAABQEAAA8AAAAAAAAAAQAg&#10;AAAAIgAAAGRycy9kb3ducmV2LnhtbFBLAQIUABQAAAAIAIdO4kCVv73WSgIAAMoEAAAOAAAAAAAA&#10;AAEAIAAAACQBAABkcnMvZTJvRG9jLnhtbFBLBQYAAAAABgAGAFkBAADgBQAAAAA=&#10;">
                        <v:fill type="gradient" on="t" color2="#FFFFFF" angle="90" focus="100%" focussize="0,0">
                          <o:fill type="gradientUnscaled" v:ext="backwardCompatible"/>
                        </v:fill>
                        <v:stroke weight="1.25pt" color="#000000" joinstyle="miter"/>
                        <v:imagedata o:title=""/>
                        <o:lock v:ext="edit" aspectratio="f"/>
                        <v:textbox>
                          <w:txbxContent>
                            <w:p w14:paraId="1C40608E">
                              <w:pPr>
                                <w:jc w:val="center"/>
                              </w:pPr>
                              <w:r>
                                <w:rPr>
                                  <w:rFonts w:hint="eastAsia"/>
                                </w:rPr>
                                <w:t>水帘柜用水</w:t>
                              </w:r>
                            </w:p>
                          </w:txbxContent>
                        </v:textbox>
                      </v:rect>
                      <v:line id="直接连接符 30" o:spid="_x0000_s1026" o:spt="20" style="position:absolute;left:416737;top:1624486;flip:y;height:635;width:706755;" filled="f" stroked="t" coordsize="21600,21600" o:gfxdata="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oYN09UAAAAFAQAADwAAAAAAAAABACAAAAAi&#10;AAAAZHJzL2Rvd25yZXYueG1sUEsBAhQAFAAAAAgAh07iQHNawiMNAgAAAAQAAA4AAAAAAAAAAQAg&#10;AAAAJAEAAGRycy9lMm9Eb2MueG1sUEsFBgAAAAAGAAYAWQEAAKMFAAAAAA==&#10;">
                        <v:fill on="f" focussize="0,0"/>
                        <v:stroke weight="1.25pt" color="#000000" joinstyle="round" endarrow="block"/>
                        <v:imagedata o:title=""/>
                        <o:lock v:ext="edit" aspectratio="f"/>
                      </v:line>
                      <v:rect id="矩形 31" o:spid="_x0000_s1026" o:spt="1" style="position:absolute;left:3076752;top:2533556;height:333375;width:1417955;" fillcolor="#FFFFFF" filled="t" stroked="f" coordsize="21600,21600" o:gfxdata="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UjnaZ1wAAAAUBAAAPAAAAAAAAAAEAIAAAACIAAABkcnMvZG93&#10;bnJldi54bWxQSwECFAAUAAAACACHTuJAV27yVAECAAAKBAAADgAAAAAAAAABACAAAAAmAQAAZHJz&#10;L2Uyb0RvYy54bWxQSwUGAAAAAAYABgBZAQAAmQUAAAAA&#10;">
                        <v:fill type="gradient" on="t" color2="#FFFFFF" angle="90" focus="100%" focussize="0,0">
                          <o:fill type="gradientUnscaled" v:ext="backwardCompatible"/>
                        </v:fill>
                        <v:stroke on="f"/>
                        <v:imagedata o:title=""/>
                        <o:lock v:ext="edit" aspectratio="f"/>
                        <v:textbox>
                          <w:txbxContent>
                            <w:p w14:paraId="6E4B66F0">
                              <w:r>
                                <w:rPr>
                                  <w:rFonts w:hint="eastAsia"/>
                                </w:rPr>
                                <w:t>交由有资质单位处置</w:t>
                              </w:r>
                            </w:p>
                          </w:txbxContent>
                        </v:textbox>
                      </v:rect>
                      <v:rect id="矩形 32" o:spid="_x0000_s1026" o:spt="1" style="position:absolute;left:1052372;top:337342;height:271144;width:634999;"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w+wnPXAAAA&#10;BQEAAA8AAAAAAAAAAQAgAAAAIgAAAGRycy9kb3ducmV2LnhtbFBLAQIUABQAAAAIAIdO4kDlffGJ&#10;rAEAAEMDAAAOAAAAAAAAAAEAIAAAACYBAABkcnMvZTJvRG9jLnhtbFBLBQYAAAAABgAGAFkBAABE&#10;BQAAAAA=&#10;">
                        <v:fill on="f" focussize="0,0"/>
                        <v:stroke on="f"/>
                        <v:imagedata o:title=""/>
                        <o:lock v:ext="edit" aspectratio="f"/>
                        <v:textbox>
                          <w:txbxContent>
                            <w:p w14:paraId="38279B46">
                              <w:r>
                                <w:rPr>
                                  <w:rFonts w:hint="eastAsia"/>
                                </w:rPr>
                                <w:t>4.24</w:t>
                              </w:r>
                            </w:p>
                          </w:txbxContent>
                        </v:textbox>
                      </v:rect>
                      <v:line id="直接连接符 33" o:spid="_x0000_s1026" o:spt="20" style="position:absolute;left:1155127;top:3366079;flip:y;height:1905;width:461125;" filled="f" stroked="t" coordsize="21600,21600" o:gfxdata="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qGDdPVAAAABQEAAA8AAAAAAAAAAQAg&#10;AAAAIgAAAGRycy9kb3ducmV2LnhtbFBLAQIUABQAAAAIAIdO4kDYeM65EQIAAAIEAAAOAAAAAAAA&#10;AAEAIAAAACQBAABkcnMvZTJvRG9jLnhtbFBLBQYAAAAABgAGAFkBAACnBQAAAAA=&#10;">
                        <v:fill on="f" focussize="0,0"/>
                        <v:stroke weight="1.25pt" color="#000000" joinstyle="round" endarrow="block"/>
                        <v:imagedata o:title=""/>
                        <o:lock v:ext="edit" aspectratio="f"/>
                      </v:line>
                      <v:rect id="矩形 34" o:spid="_x0000_s1026" o:spt="1" style="position:absolute;left:1091106;top:3052601;height:299719;width:6858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PsJz1wAA&#10;AAUBAAAPAAAAAAAAAAEAIAAAACIAAABkcnMvZG93bnJldi54bWxQSwECFAAUAAAACACHTuJAECrL&#10;TK0BAABEAwAADgAAAAAAAAABACAAAAAmAQAAZHJzL2Uyb0RvYy54bWxQSwUGAAAAAAYABgBZAQAA&#10;RQUAAAAA&#10;">
                        <v:fill on="f" focussize="0,0"/>
                        <v:stroke on="f"/>
                        <v:imagedata o:title=""/>
                        <o:lock v:ext="edit" aspectratio="f"/>
                        <v:textbox>
                          <w:txbxContent>
                            <w:p w14:paraId="0B477775">
                              <w:pPr>
                                <w:rPr>
                                  <w:color w:val="000000" w:themeColor="text1"/>
                                  <w14:textFill>
                                    <w14:solidFill>
                                      <w14:schemeClr w14:val="tx1"/>
                                    </w14:solidFill>
                                  </w14:textFill>
                                </w:rPr>
                              </w:pPr>
                              <w:r>
                                <w:rPr>
                                  <w:rFonts w:hint="eastAsia"/>
                                  <w:color w:val="000000" w:themeColor="text1"/>
                                  <w14:textFill>
                                    <w14:solidFill>
                                      <w14:schemeClr w14:val="tx1"/>
                                    </w14:solidFill>
                                  </w14:textFill>
                                </w:rPr>
                                <w:t>0.0024</w:t>
                              </w:r>
                            </w:p>
                          </w:txbxContent>
                        </v:textbox>
                      </v:rect>
                      <v:rect id="矩形 35" o:spid="_x0000_s1026" o:spt="1" style="position:absolute;left:1620062;top:3206906;height:276225;width:1000125;" fillcolor="#FFFFFF" filled="t" stroked="t" coordsize="21600,21600" o:gfxdata="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yD77G1QAAAAUBAAAPAAAAAAAAAAEAIAAA&#10;ACIAAABkcnMvZG93bnJldi54bWxQSwECFAAUAAAACACHTuJAKMmDa0gCAADKBAAADgAAAAAAAAAB&#10;ACAAAAAkAQAAZHJzL2Uyb0RvYy54bWxQSwUGAAAAAAYABgBZAQAA3gUAAAAA&#10;">
                        <v:fill type="gradient" on="t" color2="#FFFFFF" angle="90" focus="100%" focussize="0,0">
                          <o:fill type="gradientUnscaled" v:ext="backwardCompatible"/>
                        </v:fill>
                        <v:stroke weight="1.25pt" color="#000000" joinstyle="miter"/>
                        <v:imagedata o:title=""/>
                        <o:lock v:ext="edit" aspectratio="f"/>
                        <v:textbox>
                          <w:txbxContent>
                            <w:p w14:paraId="4A6814EE">
                              <w:r>
                                <w:rPr>
                                  <w:rFonts w:hint="eastAsia"/>
                                </w:rPr>
                                <w:t>喷枪清洗用水</w:t>
                              </w:r>
                            </w:p>
                          </w:txbxContent>
                        </v:textbox>
                      </v:rect>
                      <v:line id="直接连接符 36" o:spid="_x0000_s1026" o:spt="20" style="position:absolute;left:2622092;top:3359306;height:3810;width:454660;"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H6JnbVAAAABQEAAA8AAAAAAAAAAQAgAAAA&#10;IgAAAGRycy9kb3ducmV2LnhtbFBLAQIUABQAAAAIAIdO4kC+qABaDgIAAPgDAAAOAAAAAAAAAAEA&#10;IAAAACQBAABkcnMvZTJvRG9jLnhtbFBLBQYAAAAABgAGAFkBAACkBQAAAAA=&#10;">
                        <v:fill on="f" focussize="0,0"/>
                        <v:stroke weight="1.25pt" color="#000000" joinstyle="round" endarrow="block"/>
                        <v:imagedata o:title=""/>
                        <o:lock v:ext="edit" aspectratio="f"/>
                      </v:line>
                      <v:rect id="矩形 37" o:spid="_x0000_s1026" o:spt="1" style="position:absolute;left:3189782;top:3191951;height:333375;width:1417954;" fillcolor="#FFFFFF" filled="t" stroked="f" coordsize="21600,21600" o:gfxdata="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jnaZ1wAAAAUBAAAPAAAAAAAAAAEAIAAAACIAAABkcnMvZG93bnJl&#10;di54bWxQSwECFAAUAAAACACHTuJAiyjKBv4BAAAKBAAADgAAAAAAAAABACAAAAAmAQAAZHJzL2Uy&#10;b0RvYy54bWxQSwUGAAAAAAYABgBZAQAAlgUAAAAA&#10;">
                        <v:fill type="gradient" on="t" color2="#FFFFFF" angle="90" focus="100%" focussize="0,0">
                          <o:fill type="gradientUnscaled" v:ext="backwardCompatible"/>
                        </v:fill>
                        <v:stroke on="f"/>
                        <v:imagedata o:title=""/>
                        <o:lock v:ext="edit" aspectratio="f"/>
                        <v:textbox>
                          <w:txbxContent>
                            <w:p w14:paraId="04815B36">
                              <w:r>
                                <w:rPr>
                                  <w:rFonts w:hint="eastAsia"/>
                                </w:rPr>
                                <w:t>交由有资质单位处置</w:t>
                              </w:r>
                            </w:p>
                          </w:txbxContent>
                        </v:textbox>
                      </v:rect>
                      <v:rect id="矩形 38" o:spid="_x0000_s1026" o:spt="1" style="position:absolute;left:2638602;top:3090701;height:299720;width:6858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PsJz1wAA&#10;AAUBAAAPAAAAAAAAAAEAIAAAACIAAABkcnMvZG93bnJldi54bWxQSwECFAAUAAAACACHTuJAPuqU&#10;yK0BAABEAwAADgAAAAAAAAABACAAAAAmAQAAZHJzL2Uyb0RvYy54bWxQSwUGAAAAAAYABgBZAQAA&#10;RQUAAAAA&#10;">
                        <v:fill on="f" focussize="0,0"/>
                        <v:stroke on="f"/>
                        <v:imagedata o:title=""/>
                        <o:lock v:ext="edit" aspectratio="f"/>
                        <v:textbox>
                          <w:txbxContent>
                            <w:p w14:paraId="18FCD91E">
                              <w:pPr>
                                <w:rPr>
                                  <w:color w:val="000000" w:themeColor="text1"/>
                                  <w14:textFill>
                                    <w14:solidFill>
                                      <w14:schemeClr w14:val="tx1"/>
                                    </w14:solidFill>
                                  </w14:textFill>
                                </w:rPr>
                              </w:pPr>
                              <w:r>
                                <w:rPr>
                                  <w:color w:val="000000" w:themeColor="text1"/>
                                  <w14:textFill>
                                    <w14:solidFill>
                                      <w14:schemeClr w14:val="tx1"/>
                                    </w14:solidFill>
                                  </w14:textFill>
                                </w:rPr>
                                <w:t>0.00</w:t>
                              </w:r>
                              <w:r>
                                <w:rPr>
                                  <w:rFonts w:hint="eastAsia"/>
                                  <w:color w:val="000000" w:themeColor="text1"/>
                                  <w14:textFill>
                                    <w14:solidFill>
                                      <w14:schemeClr w14:val="tx1"/>
                                    </w14:solidFill>
                                  </w14:textFill>
                                </w:rPr>
                                <w:t>22</w:t>
                              </w:r>
                            </w:p>
                          </w:txbxContent>
                        </v:textbox>
                      </v:rect>
                      <v:shape id="曲线连接符 39" o:spid="_x0000_s1026" o:spt="38" type="#_x0000_t38" style="position:absolute;left:1950261;top:3021944;flip:y;height:170357;width:215038;" filled="f" stroked="t" coordsize="21600,21600" o:gfxdata="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MdxUNQAAAAFAQAADwAAAAAAAAABACAAAAAiAAAAZHJzL2Rvd25yZXYueG1s&#10;UEsBAhQAFAAAAAgAh07iQN0ktow1AgAAPAQAAA4AAAAAAAAAAQAgAAAAIwEAAGRycy9lMm9Eb2Mu&#10;eG1sUEsFBgAAAAAGAAYAWQEAAMoFAAAAAA==&#10;" adj="10800">
                        <v:fill on="f" focussize="0,0"/>
                        <v:stroke weight="1.25pt" color="#000000" joinstyle="round" dashstyle="dash" endarrow="block"/>
                        <v:imagedata o:title=""/>
                        <o:lock v:ext="edit" aspectratio="f"/>
                      </v:shape>
                      <v:rect id="矩形 40" o:spid="_x0000_s1026" o:spt="1" style="position:absolute;left:2105632;top:2795553;height:314325;width:1271423;"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PsJz1wAA&#10;AAUBAAAPAAAAAAAAAAEAIAAAACIAAABkcnMvZG93bnJldi54bWxQSwECFAAUAAAACACHTuJAAWd6&#10;rK0BAABFAwAADgAAAAAAAAABACAAAAAmAQAAZHJzL2Uyb0RvYy54bWxQSwUGAAAAAAYABgBZAQAA&#10;RQUAAAAA&#10;">
                        <v:fill on="f" focussize="0,0"/>
                        <v:stroke on="f"/>
                        <v:imagedata o:title=""/>
                        <o:lock v:ext="edit" aspectratio="f"/>
                        <v:textbox>
                          <w:txbxContent>
                            <w:p w14:paraId="6C269E0A">
                              <w:pPr>
                                <w:rPr>
                                  <w:color w:val="000000" w:themeColor="text1"/>
                                  <w14:textFill>
                                    <w14:solidFill>
                                      <w14:schemeClr w14:val="tx1"/>
                                    </w14:solidFill>
                                  </w14:textFill>
                                </w:rPr>
                              </w:pPr>
                              <w:r>
                                <w:rPr>
                                  <w:rFonts w:hint="eastAsia"/>
                                  <w:color w:val="000000" w:themeColor="text1"/>
                                  <w14:textFill>
                                    <w14:solidFill>
                                      <w14:schemeClr w14:val="tx1"/>
                                    </w14:solidFill>
                                  </w14:textFill>
                                </w:rPr>
                                <w:t>蒸发损耗0.0002</w:t>
                              </w:r>
                            </w:p>
                          </w:txbxContent>
                        </v:textbox>
                      </v:rect>
                      <v:shape id="曲线连接符 14" o:spid="_x0000_s1026" o:spt="38" type="#_x0000_t38" style="position:absolute;left:2022873;top:2330357;flip:y;height:203199;width:241300;" filled="f" stroked="t" coordsize="21600,21600" o:gfxdata="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QzCsitMAAAAFAQAADwAAAAAAAAABACAAAAAiAAAAZHJzL2Rvd25yZXYueG1sUEsB&#10;AhQAFAAAAAgAh07iQExU11IzAgAAPAQAAA4AAAAAAAAAAQAgAAAAIgEAAGRycy9lMm9Eb2MueG1s&#10;UEsFBgAAAAAGAAYAWQEAAMcFAAAAAA==&#10;" adj="10828">
                        <v:fill on="f" focussize="0,0"/>
                        <v:stroke weight="1.25pt" color="#000000" joinstyle="round" dashstyle="dash" endarrow="block"/>
                        <v:imagedata o:title=""/>
                        <o:lock v:ext="edit" aspectratio="f"/>
                      </v:shape>
                      <v:rect id="矩形 187" o:spid="_x0000_s1026" o:spt="1" style="position:absolute;left:2145155;top:1527171;height:276225;width:12319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D7Cc9cA&#10;AAAFAQAADwAAAAAAAAABACAAAAAiAAAAZHJzL2Rvd25yZXYueG1sUEsBAhQAFAAAAAgAh07iQAXm&#10;gTauAQAARgMAAA4AAAAAAAAAAQAgAAAAJgEAAGRycy9lMm9Eb2MueG1sUEsFBgAAAAAGAAYAWQEA&#10;AEYFAAAAAA==&#10;">
                        <v:fill on="f" focussize="0,0"/>
                        <v:stroke on="f"/>
                        <v:imagedata o:title=""/>
                        <o:lock v:ext="edit" aspectratio="f"/>
                        <v:textbox>
                          <w:txbxContent>
                            <w:p w14:paraId="440D9EA3">
                              <w:r>
                                <w:rPr>
                                  <w:rFonts w:hint="eastAsia"/>
                                </w:rPr>
                                <w:t>蒸发损耗0.004</w:t>
                              </w:r>
                            </w:p>
                          </w:txbxContent>
                        </v:textbox>
                      </v:rect>
                      <v:rect id="矩形 8" o:spid="_x0000_s1026" o:spt="1" style="position:absolute;left:4260668;top:811804;height:687706;width:940617;" fillcolor="#FFFFFF" filled="t" stroked="f" coordsize="21600,21600" o:gfxdata="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&#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SOdpnXAAAABQEAAA8AAAAAAAAAAQAgAAAAIgAAAGRy&#10;cy9kb3ducmV2LnhtbFBLAQIUABQAAAAIAIdO4kDbO2l3BgIAAA4EAAAOAAAAAAAAAAEAIAAAACYB&#10;AABkcnMvZTJvRG9jLnhtbFBLBQYAAAAABgAGAFkBAACeBQAAAAA=&#10;">
                        <v:fill type="gradient" on="t" color2="#FFFFFF" angle="90" focus="100%" focussize="0,0">
                          <o:fill type="gradientUnscaled" v:ext="backwardCompatible"/>
                        </v:fill>
                        <v:stroke on="f"/>
                        <v:imagedata o:title=""/>
                        <o:lock v:ext="edit" aspectratio="f"/>
                        <v:textbox>
                          <w:txbxContent>
                            <w:p w14:paraId="5F903037">
                              <w:pPr>
                                <w:ind w:left="-105" w:leftChars="-50" w:right="-105" w:rightChars="-50"/>
                              </w:pPr>
                              <w:r>
                                <w:rPr>
                                  <w:rFonts w:hint="eastAsia"/>
                                </w:rPr>
                                <w:t>博罗县福田镇生活污水处理厂</w:t>
                              </w:r>
                            </w:p>
                          </w:txbxContent>
                        </v:textbox>
                      </v:rect>
                      <v:rect id="矩形 8" o:spid="_x0000_s1026" o:spt="1" style="position:absolute;left:4460233;top:1499510;height:285750;width:459318;" fillcolor="#FFFFFF" filled="t" stroked="f" coordsize="21600,21600" o:gfxdata="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&#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SOdpnXAAAABQEAAA8AAAAAAAAAAQAgAAAAIgAAAGRy&#10;cy9kb3ducmV2LnhtbFBLAQIUABQAAAAIAIdO4kBMhC7qBgIAAA4EAAAOAAAAAAAAAAEAIAAAACYB&#10;AABkcnMvZTJvRG9jLnhtbFBLBQYAAAAABgAGAFkBAACeBQAAAAA=&#10;">
                        <v:fill type="gradient" on="t" color2="#FFFFFF" angle="90" focus="100%" focussize="0,0">
                          <o:fill type="gradientUnscaled" v:ext="backwardCompatible"/>
                        </v:fill>
                        <v:stroke on="f"/>
                        <v:imagedata o:title=""/>
                        <o:lock v:ext="edit" aspectratio="f"/>
                        <v:textbox>
                          <w:txbxContent>
                            <w:p w14:paraId="69CC786D">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福田河</w:t>
                              </w:r>
                            </w:p>
                          </w:txbxContent>
                        </v:textbox>
                      </v:rect>
                      <v:shape id="连接符: 肘形 1079272534" o:spid="_x0000_s1026" o:spt="34" type="#_x0000_t34" style="position:absolute;left:3587750;top:988829;flip:y;height:334088;width:681141;" filled="f" stroked="t" coordsize="21600,21600" o:gfxdata="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2AxMbtIAAAAFAQAADwAAAAAAAAABACAAAAAiAAAAZHJzL2Rvd25yZXYueG1sUEsBAhQAFAAA&#10;AAgAh07iQDg/ncUuAgAAGwQAAA4AAAAAAAAAAQAgAAAAIQEAAGRycy9lMm9Eb2MueG1sUEsFBgAA&#10;AAAGAAYAWQEAAMEFAAAAAA==&#10;" adj="15230">
                        <v:fill on="f" focussize="0,0"/>
                        <v:stroke weight="1pt" color="#000000 [3213]" joinstyle="round" endarrow="block"/>
                        <v:imagedata o:title=""/>
                        <o:lock v:ext="edit" aspectratio="f"/>
                      </v:shape>
                      <v:line id="直接连接符 20" o:spid="_x0000_s1026" o:spt="20" style="position:absolute;left:4711684;top:1341911;height:166879;width:0;"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H6JnbVAAAABQEAAA8AAAAAAAAAAQAgAAAAIgAA&#10;AGRycy9kb3ducmV2LnhtbFBLAQIUABQAAAAIAIdO4kBdpOh4CwIAAPsDAAAOAAAAAAAAAAEAIAAA&#10;ACQBAABkcnMvZTJvRG9jLnhtbFBLBQYAAAAABgAGAFkBAAChBQAAAAA=&#10;">
                        <v:fill on="f" focussize="0,0"/>
                        <v:stroke weight="1.25pt" color="#000000" joinstyle="round" endarrow="block"/>
                        <v:imagedata o:title=""/>
                        <o:lock v:ext="edit" aspectratio="f"/>
                      </v:line>
                      <v:line id="直接连接符 17" o:spid="_x0000_s1026" o:spt="20" style="position:absolute;left:1128117;top:2024361;height:0;width:475837;" filled="f" stroked="t" coordsize="21600,21600" o:gfxdata="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IfomdtUAAAAFAQAADwAAAAAAAAABACAAAAAi&#10;AAAAZHJzL2Rvd25yZXYueG1sUEsBAhQAFAAAAAgAh07iQPNBt+ENAgAA+gMAAA4AAAAAAAAAAQAg&#10;AAAAJAEAAGRycy9lMm9Eb2MueG1sUEsFBgAAAAAGAAYAWQEAAKMFAAAAAA==&#10;">
                        <v:fill on="f" focussize="0,0"/>
                        <v:stroke weight="1.25pt" color="#000000" joinstyle="round" endarrow="block"/>
                        <v:imagedata o:title=""/>
                        <o:lock v:ext="edit" aspectratio="f"/>
                      </v:line>
                      <v:shape id="曲线连接符 14" o:spid="_x0000_s1026" o:spt="38" type="#_x0000_t38" style="position:absolute;left:1898900;top:1658751;flip:y;height:203199;width:241300;" filled="f" stroked="t" coordsize="21600,21600" o:gfxdata="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DMKyK0wAAAAUBAAAPAAAAAAAAAAEAIAAAACIAAABkcnMvZG93bnJldi54&#10;bWxQSwECFAAUAAAACACHTuJAQA37NDgCAABDBAAADgAAAAAAAAABACAAAAAiAQAAZHJzL2Uyb0Rv&#10;Yy54bWxQSwUGAAAAAAYABgBZAQAAzAUAAAAA&#10;" adj="10828">
                        <v:fill on="f" focussize="0,0"/>
                        <v:stroke weight="1.25pt" color="#000000" joinstyle="round" dashstyle="dash" endarrow="block"/>
                        <v:imagedata o:title=""/>
                        <o:lock v:ext="edit" aspectratio="f"/>
                      </v:shape>
                      <v:rect id="矩形 34" o:spid="_x0000_s1026" o:spt="1" style="position:absolute;left:1091106;top:1724642;height:299719;width:6858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8&#10;PsJz1wAAAAUBAAAPAAAAAAAAAAEAIAAAACIAAABkcnMvZG93bnJldi54bWxQSwECFAAUAAAACACH&#10;TuJAhgfOtLMBAABLAwAADgAAAAAAAAABACAAAAAmAQAAZHJzL2Uyb0RvYy54bWxQSwUGAAAAAAYA&#10;BgBZAQAASwUAAAAA&#10;">
                        <v:fill on="f" focussize="0,0"/>
                        <v:stroke on="f"/>
                        <v:imagedata o:title=""/>
                        <o:lock v:ext="edit" aspectratio="f"/>
                        <v:textbox>
                          <w:txbxContent>
                            <w:p w14:paraId="77993F1D">
                              <w:pPr>
                                <w:rPr>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color w:val="000000" w:themeColor="text1"/>
                                  <w14:textFill>
                                    <w14:solidFill>
                                      <w14:schemeClr w14:val="tx1"/>
                                    </w14:solidFill>
                                  </w14:textFill>
                                </w:rPr>
                                <w:t>4</w:t>
                              </w:r>
                            </w:p>
                          </w:txbxContent>
                        </v:textbox>
                      </v:rect>
                      <v:rect id="_x0000_s1026" o:spid="_x0000_s1026" o:spt="1" style="position:absolute;left:2210754;top:2188314;height:276225;width:1231900;"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D7Cc9cAAAAFAQAADwAAAAAAAAABACAAAAAiAAAAZHJzL2Rvd25yZXYueG1sUEsBAhQAFAAAAAgA&#10;h07iQJOPBL+0AQAAVAMAAA4AAAAAAAAAAQAgAAAAJgEAAGRycy9lMm9Eb2MueG1sUEsFBgAAAAAG&#10;AAYAWQEAAEwFAAAAAA==&#10;">
                        <v:fill on="f" focussize="0,0"/>
                        <v:stroke on="f"/>
                        <v:imagedata o:title=""/>
                        <o:lock v:ext="edit" aspectratio="f"/>
                        <v:textbox>
                          <w:txbxContent>
                            <w:p w14:paraId="3E8C62A0">
                              <w:pPr>
                                <w:rPr>
                                  <w:szCs w:val="21"/>
                                </w:rPr>
                              </w:pPr>
                              <w:r>
                                <w:rPr>
                                  <w:rFonts w:hint="eastAsia"/>
                                  <w:szCs w:val="21"/>
                                </w:rPr>
                                <w:t>蒸发损耗4.20</w:t>
                              </w:r>
                            </w:p>
                          </w:txbxContent>
                        </v:textbox>
                      </v:rect>
                      <v:rect id="矩形 23" o:spid="_x0000_s1026" o:spt="1" style="position:absolute;left:4739844;top:1227451;height:299720;width:461441;" filled="f" stroked="f" coordsize="21600,21600" o:gfxdata="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D7Cc9cAAAAFAQAADwAAAAAAAAABACAAAAAiAAAAZHJzL2Rvd25yZXYueG1sUEsBAhQAFAAAAAgA&#10;h07iQMowc6e0AQAASgMAAA4AAAAAAAAAAQAgAAAAJgEAAGRycy9lMm9Eb2MueG1sUEsFBgAAAAAG&#10;AAYAWQEAAEwFAAAAAA==&#10;">
                        <v:fill on="f" focussize="0,0"/>
                        <v:stroke on="f"/>
                        <v:imagedata o:title=""/>
                        <o:lock v:ext="edit" aspectratio="f"/>
                        <v:textbox>
                          <w:txbxContent>
                            <w:p w14:paraId="64028885">
                              <w:pPr>
                                <w:rPr>
                                  <w:color w:val="000000" w:themeColor="text1"/>
                                  <w14:textFill>
                                    <w14:solidFill>
                                      <w14:schemeClr w14:val="tx1"/>
                                    </w14:solidFill>
                                  </w14:textFill>
                                </w:rPr>
                              </w:pPr>
                              <w:r>
                                <w:rPr>
                                  <w:rFonts w:hint="eastAsia"/>
                                  <w:color w:val="000000" w:themeColor="text1"/>
                                  <w14:textFill>
                                    <w14:solidFill>
                                      <w14:schemeClr w14:val="tx1"/>
                                    </w14:solidFill>
                                  </w14:textFill>
                                </w:rPr>
                                <w:t>2.32</w:t>
                              </w:r>
                            </w:p>
                          </w:txbxContent>
                        </v:textbox>
                      </v:rect>
                      <w10:wrap type="none"/>
                      <w10:anchorlock/>
                    </v:group>
                  </w:pict>
                </mc:Fallback>
              </mc:AlternateContent>
            </w:r>
          </w:p>
          <w:p w14:paraId="6434E34F">
            <w:pPr>
              <w:pStyle w:val="167"/>
              <w:numPr>
                <w:ilvl w:val="0"/>
                <w:numId w:val="8"/>
              </w:numPr>
              <w:spacing w:line="360" w:lineRule="auto"/>
              <w:ind w:left="0" w:firstLine="0"/>
              <w:jc w:val="center"/>
              <w:rPr>
                <w:rFonts w:ascii="Times New Roman" w:hAnsi="Times New Roman" w:cs="Times New Roman"/>
                <w:b/>
                <w:color w:val="000000" w:themeColor="text1"/>
                <w:sz w:val="21"/>
                <w14:textFill>
                  <w14:solidFill>
                    <w14:schemeClr w14:val="tx1"/>
                  </w14:solidFill>
                </w14:textFill>
              </w:rPr>
            </w:pPr>
            <w:r>
              <w:rPr>
                <w:rFonts w:hint="eastAsia" w:ascii="Times New Roman" w:hAnsi="Times New Roman" w:cs="Times New Roman"/>
                <w:b/>
                <w:color w:val="000000" w:themeColor="text1"/>
                <w:sz w:val="21"/>
                <w14:textFill>
                  <w14:solidFill>
                    <w14:schemeClr w14:val="tx1"/>
                  </w14:solidFill>
                </w14:textFill>
              </w:rPr>
              <w:t>项目水平衡图</w:t>
            </w:r>
            <w:r>
              <w:rPr>
                <w:rFonts w:ascii="Times New Roman" w:hAnsi="Times New Roman" w:cs="Times New Roman"/>
                <w:b/>
                <w:color w:val="000000" w:themeColor="text1"/>
                <w:sz w:val="21"/>
                <w14:textFill>
                  <w14:solidFill>
                    <w14:schemeClr w14:val="tx1"/>
                  </w14:solidFill>
                </w14:textFill>
              </w:rPr>
              <w:t>（</w:t>
            </w:r>
            <w:r>
              <w:rPr>
                <w:rFonts w:hint="eastAsia" w:ascii="Times New Roman" w:hAnsi="Times New Roman" w:cs="Times New Roman"/>
                <w:b/>
                <w:color w:val="000000" w:themeColor="text1"/>
                <w:sz w:val="21"/>
                <w14:textFill>
                  <w14:solidFill>
                    <w14:schemeClr w14:val="tx1"/>
                  </w14:solidFill>
                </w14:textFill>
              </w:rPr>
              <w:t>t/d</w:t>
            </w:r>
            <w:r>
              <w:rPr>
                <w:rFonts w:ascii="Times New Roman" w:hAnsi="Times New Roman" w:cs="Times New Roman"/>
                <w:b/>
                <w:color w:val="000000" w:themeColor="text1"/>
                <w:sz w:val="21"/>
                <w14:textFill>
                  <w14:solidFill>
                    <w14:schemeClr w14:val="tx1"/>
                  </w14:solidFill>
                </w14:textFill>
              </w:rPr>
              <w:t>）</w:t>
            </w:r>
          </w:p>
          <w:p w14:paraId="5C013540">
            <w:pPr>
              <w:spacing w:line="360" w:lineRule="auto"/>
              <w:ind w:firstLine="482" w:firstLineChars="200"/>
              <w:outlineLvl w:val="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6</w:t>
            </w:r>
            <w:r>
              <w:rPr>
                <w:b/>
                <w:color w:val="000000" w:themeColor="text1"/>
                <w:sz w:val="24"/>
                <w14:textFill>
                  <w14:solidFill>
                    <w14:schemeClr w14:val="tx1"/>
                  </w14:solidFill>
                </w14:textFill>
              </w:rPr>
              <w:t>、项目四至情况及平面布局</w:t>
            </w:r>
          </w:p>
          <w:p w14:paraId="3564B324">
            <w:pPr>
              <w:pStyle w:val="31"/>
              <w:snapToGrid/>
              <w:spacing w:line="360" w:lineRule="auto"/>
              <w:ind w:firstLine="46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（1）四至情况</w:t>
            </w:r>
          </w:p>
          <w:p w14:paraId="73392C37">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w:t>
            </w:r>
            <w:r>
              <w:rPr>
                <w:rFonts w:hint="eastAsia"/>
                <w:color w:val="000000" w:themeColor="text1"/>
                <w:sz w:val="24"/>
                <w:lang w:val="zh-CN"/>
                <w14:textFill>
                  <w14:solidFill>
                    <w14:schemeClr w14:val="tx1"/>
                  </w14:solidFill>
                </w14:textFill>
              </w:rPr>
              <w:t>项目东面</w:t>
            </w:r>
            <w:r>
              <w:rPr>
                <w:rFonts w:hint="eastAsia"/>
                <w:color w:val="000000" w:themeColor="text1"/>
                <w:sz w:val="24"/>
                <w14:textFill>
                  <w14:solidFill>
                    <w14:schemeClr w14:val="tx1"/>
                  </w14:solidFill>
                </w14:textFill>
              </w:rPr>
              <w:t>为其他工厂和农田</w:t>
            </w:r>
            <w:r>
              <w:rPr>
                <w:rFonts w:hint="eastAsia"/>
                <w:color w:val="000000" w:themeColor="text1"/>
                <w:sz w:val="24"/>
                <w:lang w:val="zh-CN"/>
                <w14:textFill>
                  <w14:solidFill>
                    <w14:schemeClr w14:val="tx1"/>
                  </w14:solidFill>
                </w14:textFill>
              </w:rPr>
              <w:t>，南面相邻为惠州市伟鹏新材料有限公司</w:t>
            </w:r>
            <w:r>
              <w:rPr>
                <w:rFonts w:hint="eastAsia"/>
                <w:color w:val="000000" w:themeColor="text1"/>
                <w:sz w:val="24"/>
                <w14:textFill>
                  <w14:solidFill>
                    <w14:schemeClr w14:val="tx1"/>
                  </w14:solidFill>
                </w14:textFill>
              </w:rPr>
              <w:t>，西面为商铺和福达大道，北南面为民居和广东力卡五金塑制品有限公司。</w:t>
            </w:r>
          </w:p>
          <w:p w14:paraId="73622666">
            <w:pPr>
              <w:spacing w:line="360" w:lineRule="auto"/>
              <w:ind w:firstLine="480" w:firstLineChars="200"/>
              <w:rPr>
                <w:color w:val="000000" w:themeColor="text1"/>
                <w14:textFill>
                  <w14:solidFill>
                    <w14:schemeClr w14:val="tx1"/>
                  </w14:solidFill>
                </w14:textFill>
              </w:rPr>
            </w:pPr>
            <w:r>
              <w:rPr>
                <w:color w:val="000000" w:themeColor="text1"/>
                <w:sz w:val="24"/>
                <w14:textFill>
                  <w14:solidFill>
                    <w14:schemeClr w14:val="tx1"/>
                  </w14:solidFill>
                </w14:textFill>
              </w:rPr>
              <w:t>本项目四至情况如附图2所示。</w:t>
            </w:r>
          </w:p>
          <w:p w14:paraId="176810F7">
            <w:pPr>
              <w:pStyle w:val="31"/>
              <w:snapToGrid/>
              <w:spacing w:line="360" w:lineRule="auto"/>
              <w:ind w:firstLine="46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（2）平面布局</w:t>
            </w:r>
          </w:p>
          <w:p w14:paraId="0E5F9B97">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本项目所在生产车间为一栋一层的建筑，建设单位租用该厂房作为生产车间，内部主要主要设置木工区、焊接区、仓库区、喷漆区、晾干区、仓库、一般固废暂存仓等区域，生产车间内部还设有空压机房等，另设一栋一层的宿舍办公区。详见附图3。</w:t>
            </w:r>
          </w:p>
        </w:tc>
      </w:tr>
      <w:tr w14:paraId="2D70EF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85" w:hRule="atLeast"/>
          <w:jc w:val="center"/>
        </w:trPr>
        <w:tc>
          <w:tcPr>
            <w:tcW w:w="699" w:type="dxa"/>
            <w:vAlign w:val="center"/>
          </w:tcPr>
          <w:p w14:paraId="3A0358C0">
            <w:pPr>
              <w:pStyle w:val="35"/>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工艺流程和产排污环节</w:t>
            </w:r>
          </w:p>
        </w:tc>
        <w:tc>
          <w:tcPr>
            <w:tcW w:w="8285" w:type="dxa"/>
          </w:tcPr>
          <w:p w14:paraId="2D707ECA">
            <w:pPr>
              <w:numPr>
                <w:ilvl w:val="0"/>
                <w:numId w:val="9"/>
              </w:numPr>
              <w:spacing w:line="360" w:lineRule="auto"/>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运营期工艺流程</w:t>
            </w:r>
          </w:p>
          <w:p w14:paraId="4FBCD855">
            <w:pPr>
              <w:pStyle w:val="49"/>
              <w:jc w:val="center"/>
              <w:rPr>
                <w:color w:val="000000" w:themeColor="text1"/>
                <w14:textFill>
                  <w14:solidFill>
                    <w14:schemeClr w14:val="tx1"/>
                  </w14:solidFill>
                </w14:textFill>
              </w:rPr>
            </w:pPr>
            <w:r>
              <w:drawing>
                <wp:inline distT="0" distB="0" distL="0" distR="0">
                  <wp:extent cx="5410835" cy="1780540"/>
                  <wp:effectExtent l="0" t="0" r="0" b="0"/>
                  <wp:docPr id="1992347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34708" name="图片 1"/>
                          <pic:cNvPicPr>
                            <a:picLocks noChangeAspect="1"/>
                          </pic:cNvPicPr>
                        </pic:nvPicPr>
                        <pic:blipFill>
                          <a:blip r:embed="rId21"/>
                          <a:stretch>
                            <a:fillRect/>
                          </a:stretch>
                        </pic:blipFill>
                        <pic:spPr>
                          <a:xfrm>
                            <a:off x="0" y="0"/>
                            <a:ext cx="5419898" cy="1783727"/>
                          </a:xfrm>
                          <a:prstGeom prst="rect">
                            <a:avLst/>
                          </a:prstGeom>
                        </pic:spPr>
                      </pic:pic>
                    </a:graphicData>
                  </a:graphic>
                </wp:inline>
              </w:drawing>
            </w:r>
          </w:p>
          <w:p w14:paraId="1AC423A0">
            <w:pPr>
              <w:rPr>
                <w:color w:val="000000" w:themeColor="text1"/>
                <w14:textFill>
                  <w14:solidFill>
                    <w14:schemeClr w14:val="tx1"/>
                  </w14:solidFill>
                </w14:textFill>
              </w:rPr>
            </w:pPr>
            <w:r>
              <w:rPr>
                <w:rFonts w:hint="eastAsia"/>
                <w:color w:val="000000" w:themeColor="text1"/>
                <w14:textFill>
                  <w14:solidFill>
                    <w14:schemeClr w14:val="tx1"/>
                  </w14:solidFill>
                </w14:textFill>
              </w:rPr>
              <w:t>（注：G</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：木屑粉尘；G2：粉尘G3：有机废气；G4：漆雾；G5：金属粉尘；G6：焊接烟尘、锰及其化合物；S</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：木材边角料；S</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：废包装桶；S</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：喷枪清洗废水；S</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：漆渣；S</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：金属边角料；S</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：废包装材料；S</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：废抹布；N：噪声）</w:t>
            </w:r>
          </w:p>
          <w:p w14:paraId="7197766E">
            <w:pPr>
              <w:pStyle w:val="167"/>
              <w:numPr>
                <w:ilvl w:val="0"/>
                <w:numId w:val="8"/>
              </w:numPr>
              <w:spacing w:line="360" w:lineRule="auto"/>
              <w:ind w:left="0" w:firstLine="0"/>
              <w:jc w:val="center"/>
              <w:rPr>
                <w:rFonts w:ascii="Times New Roman" w:hAnsi="Times New Roman" w:cs="Times New Roman"/>
                <w:b/>
                <w:color w:val="000000" w:themeColor="text1"/>
                <w:sz w:val="21"/>
                <w14:textFill>
                  <w14:solidFill>
                    <w14:schemeClr w14:val="tx1"/>
                  </w14:solidFill>
                </w14:textFill>
              </w:rPr>
            </w:pPr>
            <w:r>
              <w:rPr>
                <w:rFonts w:ascii="Times New Roman" w:hAnsi="Times New Roman" w:cs="Times New Roman"/>
                <w:b/>
                <w:color w:val="000000" w:themeColor="text1"/>
                <w:sz w:val="21"/>
                <w14:textFill>
                  <w14:solidFill>
                    <w14:schemeClr w14:val="tx1"/>
                  </w14:solidFill>
                </w14:textFill>
              </w:rPr>
              <w:t xml:space="preserve">  </w:t>
            </w:r>
            <w:r>
              <w:rPr>
                <w:rFonts w:hint="eastAsia" w:ascii="Times New Roman" w:hAnsi="Times New Roman" w:cs="Times New Roman"/>
                <w:b/>
                <w:color w:val="000000" w:themeColor="text1"/>
                <w:sz w:val="21"/>
                <w14:textFill>
                  <w14:solidFill>
                    <w14:schemeClr w14:val="tx1"/>
                  </w14:solidFill>
                </w14:textFill>
              </w:rPr>
              <w:t>本项目木制品生产</w:t>
            </w:r>
            <w:r>
              <w:rPr>
                <w:rFonts w:ascii="Times New Roman" w:hAnsi="Times New Roman" w:cs="Times New Roman"/>
                <w:b/>
                <w:color w:val="000000" w:themeColor="text1"/>
                <w:sz w:val="21"/>
                <w14:textFill>
                  <w14:solidFill>
                    <w14:schemeClr w14:val="tx1"/>
                  </w14:solidFill>
                </w14:textFill>
              </w:rPr>
              <w:t>工艺流程及产污环节图</w:t>
            </w:r>
          </w:p>
          <w:p w14:paraId="5AA75AD6">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2、工艺简述</w:t>
            </w:r>
          </w:p>
          <w:p w14:paraId="6154ADC4">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开料：</w:t>
            </w:r>
            <w:r>
              <w:rPr>
                <w:rFonts w:hint="eastAsia"/>
                <w:bCs/>
                <w:color w:val="000000" w:themeColor="text1"/>
                <w:sz w:val="24"/>
                <w14:textFill>
                  <w14:solidFill>
                    <w14:schemeClr w14:val="tx1"/>
                  </w14:solidFill>
                </w14:textFill>
              </w:rPr>
              <w:t>使用开料机对外购回来的板材进行开料，得到需要的形状大小。该工序产生木屑粉尘、木材边角料及噪声。</w:t>
            </w:r>
          </w:p>
          <w:p w14:paraId="089B12DF">
            <w:pPr>
              <w:spacing w:line="360" w:lineRule="auto"/>
              <w:ind w:firstLine="482" w:firstLineChars="200"/>
              <w:rPr>
                <w:color w:val="000000" w:themeColor="text1"/>
                <w14:textFill>
                  <w14:solidFill>
                    <w14:schemeClr w14:val="tx1"/>
                  </w14:solidFill>
                </w14:textFill>
              </w:rPr>
            </w:pPr>
            <w:r>
              <w:rPr>
                <w:rFonts w:hint="eastAsia"/>
                <w:b/>
                <w:color w:val="000000" w:themeColor="text1"/>
                <w:sz w:val="24"/>
                <w14:textFill>
                  <w14:solidFill>
                    <w14:schemeClr w14:val="tx1"/>
                  </w14:solidFill>
                </w14:textFill>
              </w:rPr>
              <w:t>雕刻：</w:t>
            </w:r>
            <w:r>
              <w:rPr>
                <w:rFonts w:hint="eastAsia"/>
                <w:bCs/>
                <w:color w:val="000000" w:themeColor="text1"/>
                <w:sz w:val="24"/>
                <w14:textFill>
                  <w14:solidFill>
                    <w14:schemeClr w14:val="tx1"/>
                  </w14:solidFill>
                </w14:textFill>
              </w:rPr>
              <w:t>使用雕刻机对开料后的工件进行雕刻图案，该工序产生木材边角料、木屑粉尘和噪声。</w:t>
            </w:r>
          </w:p>
          <w:p w14:paraId="1A8807EF">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批灰：</w:t>
            </w:r>
            <w:r>
              <w:rPr>
                <w:rFonts w:hint="eastAsia"/>
                <w:bCs/>
                <w:color w:val="000000" w:themeColor="text1"/>
                <w:sz w:val="24"/>
                <w14:textFill>
                  <w14:solidFill>
                    <w14:schemeClr w14:val="tx1"/>
                  </w14:solidFill>
                </w14:textFill>
              </w:rPr>
              <w:t>使用腻子粉加水调配后对工件表面进行找平修补，调配过程产生少量粉尘。</w:t>
            </w:r>
          </w:p>
          <w:p w14:paraId="402FA03F">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打磨：</w:t>
            </w:r>
            <w:r>
              <w:rPr>
                <w:rFonts w:hint="eastAsia"/>
                <w:bCs/>
                <w:color w:val="000000" w:themeColor="text1"/>
                <w:sz w:val="24"/>
                <w14:textFill>
                  <w14:solidFill>
                    <w14:schemeClr w14:val="tx1"/>
                  </w14:solidFill>
                </w14:textFill>
              </w:rPr>
              <w:t>使用打磨机对雕刻后的工件进行打磨，使工件表面光滑，方便后续上漆，故该工序产生木屑粉尘和噪声。</w:t>
            </w:r>
          </w:p>
          <w:p w14:paraId="7E23634E">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喷漆：</w:t>
            </w:r>
            <w:r>
              <w:rPr>
                <w:rFonts w:hint="eastAsia"/>
                <w:bCs/>
                <w:color w:val="000000" w:themeColor="text1"/>
                <w:sz w:val="24"/>
                <w14:textFill>
                  <w14:solidFill>
                    <w14:schemeClr w14:val="tx1"/>
                  </w14:solidFill>
                </w14:textFill>
              </w:rPr>
              <w:t>将打磨后的工件放入水帘柜内进行喷漆，项目设置两个水帘柜，每个水帘柜配备5把喷枪，喷漆次数为</w:t>
            </w:r>
            <w:r>
              <w:rPr>
                <w:bCs/>
                <w:color w:val="000000" w:themeColor="text1"/>
                <w:sz w:val="24"/>
                <w14:textFill>
                  <w14:solidFill>
                    <w14:schemeClr w14:val="tx1"/>
                  </w14:solidFill>
                </w14:textFill>
              </w:rPr>
              <w:t>1</w:t>
            </w:r>
            <w:r>
              <w:rPr>
                <w:rFonts w:hint="eastAsia"/>
                <w:bCs/>
                <w:color w:val="000000" w:themeColor="text1"/>
                <w:sz w:val="24"/>
                <w14:textFill>
                  <w14:solidFill>
                    <w14:schemeClr w14:val="tx1"/>
                  </w14:solidFill>
                </w14:textFill>
              </w:rPr>
              <w:t>次。该工序产生少量有机废气（主要成分为总VOCs）、漆雾、喷枪清洗废水、废漆渣、废油漆罐、废抹布和噪声。</w:t>
            </w:r>
          </w:p>
          <w:p w14:paraId="2EA5A00C">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晾干：</w:t>
            </w:r>
            <w:r>
              <w:rPr>
                <w:rFonts w:hint="eastAsia"/>
                <w:bCs/>
                <w:color w:val="000000" w:themeColor="text1"/>
                <w:sz w:val="24"/>
                <w14:textFill>
                  <w14:solidFill>
                    <w14:schemeClr w14:val="tx1"/>
                  </w14:solidFill>
                </w14:textFill>
              </w:rPr>
              <w:t>项目将喷漆后的工件放在晾干区内经过2h自然风干，该工序产生少量有机废气（主要成分为总VOCs）。</w:t>
            </w:r>
          </w:p>
          <w:p w14:paraId="22F9B7D0">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切割：</w:t>
            </w:r>
            <w:r>
              <w:rPr>
                <w:rFonts w:hint="eastAsia"/>
                <w:bCs/>
                <w:color w:val="000000" w:themeColor="text1"/>
                <w:sz w:val="24"/>
                <w14:textFill>
                  <w14:solidFill>
                    <w14:schemeClr w14:val="tx1"/>
                  </w14:solidFill>
                </w14:textFill>
              </w:rPr>
              <w:t>使用切割机对外购回来的铁管进行切割，得到需要的形状大小。该工序产生金属边角料、金属粉尘和噪声。</w:t>
            </w:r>
          </w:p>
          <w:p w14:paraId="610D7D07">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焊接：</w:t>
            </w:r>
            <w:r>
              <w:rPr>
                <w:rFonts w:hint="eastAsia"/>
                <w:bCs/>
                <w:color w:val="000000" w:themeColor="text1"/>
                <w:sz w:val="24"/>
                <w14:textFill>
                  <w14:solidFill>
                    <w14:schemeClr w14:val="tx1"/>
                  </w14:solidFill>
                </w14:textFill>
              </w:rPr>
              <w:t>使用电焊机对切割后的金属工件进行焊接，该工序产生少量焊接烟尘、锰及其化合物和噪声。</w:t>
            </w:r>
          </w:p>
          <w:p w14:paraId="5D8266E8">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组装：</w:t>
            </w:r>
            <w:r>
              <w:rPr>
                <w:rFonts w:hint="eastAsia"/>
                <w:bCs/>
                <w:color w:val="000000" w:themeColor="text1"/>
                <w:sz w:val="24"/>
                <w14:textFill>
                  <w14:solidFill>
                    <w14:schemeClr w14:val="tx1"/>
                  </w14:solidFill>
                </w14:textFill>
              </w:rPr>
              <w:t>使用钉枪对晾干的工件与焊接后的工件及外购回来的亚克力板进行组装，组装过程不使用胶水等粘合剂，故不会产生有机废气，该工序产生噪声。</w:t>
            </w:r>
          </w:p>
          <w:p w14:paraId="6EB2CBAA">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包装出货：</w:t>
            </w:r>
            <w:r>
              <w:rPr>
                <w:rFonts w:hint="eastAsia"/>
                <w:bCs/>
                <w:color w:val="000000" w:themeColor="text1"/>
                <w:sz w:val="24"/>
                <w14:textFill>
                  <w14:solidFill>
                    <w14:schemeClr w14:val="tx1"/>
                  </w14:solidFill>
                </w14:textFill>
              </w:rPr>
              <w:t>项目产品经打包后即可出货，该工序产生废包装材料。</w:t>
            </w:r>
          </w:p>
          <w:p w14:paraId="5C3C1C7C">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3、污染源识别</w:t>
            </w:r>
          </w:p>
          <w:p w14:paraId="091DB84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根据前文工艺流程，本项目的污染源识别汇总见下表：</w:t>
            </w:r>
          </w:p>
          <w:p w14:paraId="54329571">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表2-8  污染源识别汇总表</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416"/>
              <w:gridCol w:w="991"/>
              <w:gridCol w:w="1416"/>
              <w:gridCol w:w="1699"/>
              <w:gridCol w:w="2337"/>
            </w:tblGrid>
            <w:tr w14:paraId="0FF1D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Align w:val="center"/>
                </w:tcPr>
                <w:p w14:paraId="3EAB1C2A">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污染因素</w:t>
                  </w:r>
                </w:p>
              </w:tc>
              <w:tc>
                <w:tcPr>
                  <w:tcW w:w="1416" w:type="dxa"/>
                  <w:vAlign w:val="center"/>
                </w:tcPr>
                <w:p w14:paraId="456455D1">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991" w:type="dxa"/>
                  <w:vAlign w:val="center"/>
                </w:tcPr>
                <w:p w14:paraId="353D159B">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产污环节</w:t>
                  </w:r>
                </w:p>
              </w:tc>
              <w:tc>
                <w:tcPr>
                  <w:tcW w:w="1416" w:type="dxa"/>
                  <w:vAlign w:val="center"/>
                </w:tcPr>
                <w:p w14:paraId="0372BD9E">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排放特性/性质</w:t>
                  </w:r>
                </w:p>
              </w:tc>
              <w:tc>
                <w:tcPr>
                  <w:tcW w:w="1699" w:type="dxa"/>
                  <w:vAlign w:val="center"/>
                </w:tcPr>
                <w:p w14:paraId="63E115DC">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污染因子</w:t>
                  </w:r>
                </w:p>
              </w:tc>
              <w:tc>
                <w:tcPr>
                  <w:tcW w:w="2337" w:type="dxa"/>
                  <w:vAlign w:val="center"/>
                </w:tcPr>
                <w:p w14:paraId="4D10935B">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治理措施</w:t>
                  </w:r>
                </w:p>
              </w:tc>
            </w:tr>
            <w:tr w14:paraId="1D235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jc w:val="center"/>
              </w:trPr>
              <w:tc>
                <w:tcPr>
                  <w:tcW w:w="713" w:type="dxa"/>
                  <w:vMerge w:val="restart"/>
                  <w:vAlign w:val="center"/>
                </w:tcPr>
                <w:p w14:paraId="4C9B8D6B">
                  <w:pPr>
                    <w:adjustRightInd w:val="0"/>
                    <w:snapToGrid w:val="0"/>
                    <w:jc w:val="center"/>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w:t>
                  </w:r>
                </w:p>
              </w:tc>
              <w:tc>
                <w:tcPr>
                  <w:tcW w:w="1416" w:type="dxa"/>
                  <w:vAlign w:val="center"/>
                </w:tcPr>
                <w:p w14:paraId="068D199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991" w:type="dxa"/>
                  <w:vAlign w:val="center"/>
                </w:tcPr>
                <w:p w14:paraId="6E1C6A6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员工生活</w:t>
                  </w:r>
                </w:p>
              </w:tc>
              <w:tc>
                <w:tcPr>
                  <w:tcW w:w="1416" w:type="dxa"/>
                  <w:vAlign w:val="center"/>
                </w:tcPr>
                <w:p w14:paraId="532B17D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间歇排放</w:t>
                  </w:r>
                </w:p>
              </w:tc>
              <w:tc>
                <w:tcPr>
                  <w:tcW w:w="1699" w:type="dxa"/>
                  <w:vAlign w:val="center"/>
                </w:tcPr>
                <w:p w14:paraId="373E308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COD</w:t>
                  </w:r>
                  <w:r>
                    <w:rPr>
                      <w:rFonts w:hint="eastAsia"/>
                      <w:color w:val="000000" w:themeColor="text1"/>
                      <w:szCs w:val="21"/>
                      <w:vertAlign w:val="subscript"/>
                      <w14:textFill>
                        <w14:solidFill>
                          <w14:schemeClr w14:val="tx1"/>
                        </w14:solidFill>
                      </w14:textFill>
                    </w:rPr>
                    <w:t>Cr</w:t>
                  </w: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r>
                    <w:rPr>
                      <w:rFonts w:hint="eastAsia"/>
                      <w:color w:val="000000" w:themeColor="text1"/>
                      <w:szCs w:val="21"/>
                      <w14:textFill>
                        <w14:solidFill>
                          <w14:schemeClr w14:val="tx1"/>
                        </w14:solidFill>
                      </w14:textFill>
                    </w:rPr>
                    <w:t>、SS、氨氮、TP、动植物油</w:t>
                  </w:r>
                </w:p>
              </w:tc>
              <w:tc>
                <w:tcPr>
                  <w:tcW w:w="2337" w:type="dxa"/>
                  <w:vAlign w:val="center"/>
                </w:tcPr>
                <w:p w14:paraId="67D979D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经“隔油隔渣+三级化粪池”处理达标后经市政污水管网排入博罗县福田镇生活污水处理厂进行深度处理，最终排入福田河。</w:t>
                  </w:r>
                </w:p>
              </w:tc>
            </w:tr>
            <w:tr w14:paraId="1ECA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70B3E8E5">
                  <w:pPr>
                    <w:adjustRightInd w:val="0"/>
                    <w:snapToGrid w:val="0"/>
                    <w:jc w:val="center"/>
                    <w:rPr>
                      <w:color w:val="000000" w:themeColor="text1"/>
                      <w:szCs w:val="21"/>
                      <w14:textFill>
                        <w14:solidFill>
                          <w14:schemeClr w14:val="tx1"/>
                        </w14:solidFill>
                      </w14:textFill>
                    </w:rPr>
                  </w:pPr>
                </w:p>
              </w:tc>
              <w:tc>
                <w:tcPr>
                  <w:tcW w:w="1416" w:type="dxa"/>
                  <w:vAlign w:val="center"/>
                </w:tcPr>
                <w:p w14:paraId="40FA8AD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水帘柜与喷淋塔更换废水</w:t>
                  </w:r>
                </w:p>
              </w:tc>
              <w:tc>
                <w:tcPr>
                  <w:tcW w:w="991" w:type="dxa"/>
                  <w:vAlign w:val="center"/>
                </w:tcPr>
                <w:p w14:paraId="66ADE28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废气处理设施</w:t>
                  </w:r>
                </w:p>
              </w:tc>
              <w:tc>
                <w:tcPr>
                  <w:tcW w:w="1416" w:type="dxa"/>
                  <w:vAlign w:val="center"/>
                </w:tcPr>
                <w:p w14:paraId="37D82F4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1699" w:type="dxa"/>
                  <w:vAlign w:val="center"/>
                </w:tcPr>
                <w:p w14:paraId="7B99C52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水帘柜、喷淋废水</w:t>
                  </w:r>
                </w:p>
              </w:tc>
              <w:tc>
                <w:tcPr>
                  <w:tcW w:w="2337" w:type="dxa"/>
                  <w:vAlign w:val="center"/>
                </w:tcPr>
                <w:p w14:paraId="552C47C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交由有相关危险废物经营许可证的单位处置</w:t>
                  </w:r>
                </w:p>
              </w:tc>
            </w:tr>
            <w:tr w14:paraId="371F2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511977CB">
                  <w:pPr>
                    <w:adjustRightInd w:val="0"/>
                    <w:snapToGrid w:val="0"/>
                    <w:jc w:val="center"/>
                    <w:rPr>
                      <w:color w:val="000000" w:themeColor="text1"/>
                      <w:szCs w:val="21"/>
                      <w14:textFill>
                        <w14:solidFill>
                          <w14:schemeClr w14:val="tx1"/>
                        </w14:solidFill>
                      </w14:textFill>
                    </w:rPr>
                  </w:pPr>
                </w:p>
              </w:tc>
              <w:tc>
                <w:tcPr>
                  <w:tcW w:w="1416" w:type="dxa"/>
                  <w:vAlign w:val="center"/>
                </w:tcPr>
                <w:p w14:paraId="5915768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喷枪清洗废水</w:t>
                  </w:r>
                </w:p>
              </w:tc>
              <w:tc>
                <w:tcPr>
                  <w:tcW w:w="991" w:type="dxa"/>
                  <w:vAlign w:val="center"/>
                </w:tcPr>
                <w:p w14:paraId="27719D7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w:t>
                  </w:r>
                </w:p>
              </w:tc>
              <w:tc>
                <w:tcPr>
                  <w:tcW w:w="1416" w:type="dxa"/>
                  <w:vAlign w:val="center"/>
                </w:tcPr>
                <w:p w14:paraId="4CB3D34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1699" w:type="dxa"/>
                  <w:vAlign w:val="center"/>
                </w:tcPr>
                <w:p w14:paraId="29BDF35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喷枪清洗废水</w:t>
                  </w:r>
                </w:p>
              </w:tc>
              <w:tc>
                <w:tcPr>
                  <w:tcW w:w="2337" w:type="dxa"/>
                  <w:vAlign w:val="center"/>
                </w:tcPr>
                <w:p w14:paraId="772DE7B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交由有相关危险废物经营许可证的单位处置</w:t>
                  </w:r>
                </w:p>
              </w:tc>
            </w:tr>
            <w:tr w14:paraId="0D915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restart"/>
                  <w:vAlign w:val="center"/>
                </w:tcPr>
                <w:p w14:paraId="522D800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1416" w:type="dxa"/>
                  <w:vAlign w:val="center"/>
                </w:tcPr>
                <w:p w14:paraId="3694E9D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木屑粉尘</w:t>
                  </w:r>
                </w:p>
              </w:tc>
              <w:tc>
                <w:tcPr>
                  <w:tcW w:w="991" w:type="dxa"/>
                  <w:vAlign w:val="center"/>
                </w:tcPr>
                <w:p w14:paraId="09DC263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开料、雕刻、打磨</w:t>
                  </w:r>
                </w:p>
              </w:tc>
              <w:tc>
                <w:tcPr>
                  <w:tcW w:w="1416" w:type="dxa"/>
                  <w:vAlign w:val="center"/>
                </w:tcPr>
                <w:p w14:paraId="5DB2D38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1699" w:type="dxa"/>
                  <w:vAlign w:val="center"/>
                </w:tcPr>
                <w:p w14:paraId="306A1A8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2337" w:type="dxa"/>
                  <w:vMerge w:val="restart"/>
                  <w:vAlign w:val="center"/>
                </w:tcPr>
                <w:p w14:paraId="71881B6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收集后通过</w:t>
                  </w:r>
                  <w:r>
                    <w:rPr>
                      <w:rFonts w:hint="eastAsia"/>
                      <w:color w:val="000000" w:themeColor="text1"/>
                      <w:szCs w:val="21"/>
                      <w14:textFill>
                        <w14:solidFill>
                          <w14:schemeClr w14:val="tx1"/>
                        </w14:solidFill>
                      </w14:textFill>
                    </w:rPr>
                    <w:t>“布袋除尘”设施</w:t>
                  </w:r>
                  <w:r>
                    <w:rPr>
                      <w:color w:val="000000" w:themeColor="text1"/>
                      <w:szCs w:val="21"/>
                      <w14:textFill>
                        <w14:solidFill>
                          <w14:schemeClr w14:val="tx1"/>
                        </w14:solidFill>
                      </w14:textFill>
                    </w:rPr>
                    <w:t>净化处理后引至</w:t>
                  </w:r>
                  <w:r>
                    <w:rPr>
                      <w:rFonts w:hint="eastAsia"/>
                      <w:color w:val="000000" w:themeColor="text1"/>
                      <w:szCs w:val="21"/>
                      <w14:textFill>
                        <w14:solidFill>
                          <w14:schemeClr w14:val="tx1"/>
                        </w14:solidFill>
                      </w14:textFill>
                    </w:rPr>
                    <w:t>15米高</w:t>
                  </w:r>
                  <w:r>
                    <w:rPr>
                      <w:color w:val="000000" w:themeColor="text1"/>
                      <w:szCs w:val="21"/>
                      <w14:textFill>
                        <w14:solidFill>
                          <w14:schemeClr w14:val="tx1"/>
                        </w14:solidFill>
                      </w14:textFill>
                    </w:rPr>
                    <w:t>排气筒</w:t>
                  </w: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高空排放</w:t>
                  </w:r>
                </w:p>
              </w:tc>
            </w:tr>
            <w:tr w14:paraId="0F5A0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1BCC271C">
                  <w:pPr>
                    <w:adjustRightInd w:val="0"/>
                    <w:snapToGrid w:val="0"/>
                    <w:jc w:val="center"/>
                    <w:rPr>
                      <w:b/>
                      <w:bCs/>
                      <w:color w:val="000000" w:themeColor="text1"/>
                      <w:szCs w:val="21"/>
                      <w14:textFill>
                        <w14:solidFill>
                          <w14:schemeClr w14:val="tx1"/>
                        </w14:solidFill>
                      </w14:textFill>
                    </w:rPr>
                  </w:pPr>
                </w:p>
              </w:tc>
              <w:tc>
                <w:tcPr>
                  <w:tcW w:w="1416" w:type="dxa"/>
                  <w:vAlign w:val="center"/>
                </w:tcPr>
                <w:p w14:paraId="02052B4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金属粉尘</w:t>
                  </w:r>
                </w:p>
              </w:tc>
              <w:tc>
                <w:tcPr>
                  <w:tcW w:w="991" w:type="dxa"/>
                  <w:vAlign w:val="center"/>
                </w:tcPr>
                <w:p w14:paraId="1B58F41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切割</w:t>
                  </w:r>
                </w:p>
              </w:tc>
              <w:tc>
                <w:tcPr>
                  <w:tcW w:w="1416" w:type="dxa"/>
                  <w:vAlign w:val="center"/>
                </w:tcPr>
                <w:p w14:paraId="3E98046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1699" w:type="dxa"/>
                  <w:vAlign w:val="center"/>
                </w:tcPr>
                <w:p w14:paraId="68ED8DD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2337" w:type="dxa"/>
                  <w:vMerge w:val="continue"/>
                  <w:vAlign w:val="center"/>
                </w:tcPr>
                <w:p w14:paraId="7C66D082">
                  <w:pPr>
                    <w:adjustRightInd w:val="0"/>
                    <w:snapToGrid w:val="0"/>
                    <w:jc w:val="center"/>
                    <w:rPr>
                      <w:bCs/>
                      <w:color w:val="000000" w:themeColor="text1"/>
                      <w:szCs w:val="21"/>
                      <w14:textFill>
                        <w14:solidFill>
                          <w14:schemeClr w14:val="tx1"/>
                        </w14:solidFill>
                      </w14:textFill>
                    </w:rPr>
                  </w:pPr>
                </w:p>
              </w:tc>
            </w:tr>
            <w:tr w14:paraId="2D6C5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0C612D8B">
                  <w:pPr>
                    <w:adjustRightInd w:val="0"/>
                    <w:snapToGrid w:val="0"/>
                    <w:jc w:val="center"/>
                    <w:rPr>
                      <w:b/>
                      <w:bCs/>
                      <w:color w:val="000000" w:themeColor="text1"/>
                      <w:szCs w:val="21"/>
                      <w14:textFill>
                        <w14:solidFill>
                          <w14:schemeClr w14:val="tx1"/>
                        </w14:solidFill>
                      </w14:textFill>
                    </w:rPr>
                  </w:pPr>
                </w:p>
              </w:tc>
              <w:tc>
                <w:tcPr>
                  <w:tcW w:w="1416" w:type="dxa"/>
                  <w:vAlign w:val="center"/>
                </w:tcPr>
                <w:p w14:paraId="071CD703">
                  <w:pPr>
                    <w:adjustRightInd w:val="0"/>
                    <w:snapToGrid w:val="0"/>
                    <w:jc w:val="center"/>
                    <w:rPr>
                      <w:color w:val="7030A0"/>
                      <w:szCs w:val="21"/>
                    </w:rPr>
                  </w:pPr>
                  <w:r>
                    <w:rPr>
                      <w:rFonts w:hint="eastAsia"/>
                      <w:color w:val="000000" w:themeColor="text1"/>
                      <w:szCs w:val="21"/>
                      <w14:textFill>
                        <w14:solidFill>
                          <w14:schemeClr w14:val="tx1"/>
                        </w14:solidFill>
                      </w14:textFill>
                    </w:rPr>
                    <w:t>焊接烟尘</w:t>
                  </w:r>
                </w:p>
              </w:tc>
              <w:tc>
                <w:tcPr>
                  <w:tcW w:w="991" w:type="dxa"/>
                  <w:vAlign w:val="center"/>
                </w:tcPr>
                <w:p w14:paraId="78713353">
                  <w:pPr>
                    <w:adjustRightInd w:val="0"/>
                    <w:snapToGrid w:val="0"/>
                    <w:jc w:val="center"/>
                    <w:rPr>
                      <w:color w:val="7030A0"/>
                      <w:szCs w:val="21"/>
                    </w:rPr>
                  </w:pPr>
                  <w:r>
                    <w:rPr>
                      <w:rFonts w:hint="eastAsia"/>
                      <w:color w:val="000000" w:themeColor="text1"/>
                      <w:szCs w:val="21"/>
                      <w14:textFill>
                        <w14:solidFill>
                          <w14:schemeClr w14:val="tx1"/>
                        </w14:solidFill>
                      </w14:textFill>
                    </w:rPr>
                    <w:t>焊接</w:t>
                  </w:r>
                </w:p>
              </w:tc>
              <w:tc>
                <w:tcPr>
                  <w:tcW w:w="1416" w:type="dxa"/>
                  <w:vAlign w:val="center"/>
                </w:tcPr>
                <w:p w14:paraId="29CB01E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1699" w:type="dxa"/>
                  <w:vAlign w:val="center"/>
                </w:tcPr>
                <w:p w14:paraId="6C157D7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颗粒物、锰及其化合物</w:t>
                  </w:r>
                </w:p>
              </w:tc>
              <w:tc>
                <w:tcPr>
                  <w:tcW w:w="2337" w:type="dxa"/>
                  <w:vMerge w:val="continue"/>
                  <w:vAlign w:val="center"/>
                </w:tcPr>
                <w:p w14:paraId="0F7C44E9">
                  <w:pPr>
                    <w:adjustRightInd w:val="0"/>
                    <w:snapToGrid w:val="0"/>
                    <w:jc w:val="center"/>
                    <w:rPr>
                      <w:bCs/>
                      <w:color w:val="000000" w:themeColor="text1"/>
                      <w:szCs w:val="21"/>
                      <w14:textFill>
                        <w14:solidFill>
                          <w14:schemeClr w14:val="tx1"/>
                        </w14:solidFill>
                      </w14:textFill>
                    </w:rPr>
                  </w:pPr>
                </w:p>
              </w:tc>
            </w:tr>
            <w:tr w14:paraId="43D6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300A3BC3">
                  <w:pPr>
                    <w:adjustRightInd w:val="0"/>
                    <w:snapToGrid w:val="0"/>
                    <w:jc w:val="center"/>
                    <w:rPr>
                      <w:b/>
                      <w:bCs/>
                      <w:color w:val="000000" w:themeColor="text1"/>
                      <w:szCs w:val="21"/>
                      <w14:textFill>
                        <w14:solidFill>
                          <w14:schemeClr w14:val="tx1"/>
                        </w14:solidFill>
                      </w14:textFill>
                    </w:rPr>
                  </w:pPr>
                </w:p>
              </w:tc>
              <w:tc>
                <w:tcPr>
                  <w:tcW w:w="1416" w:type="dxa"/>
                  <w:vAlign w:val="center"/>
                </w:tcPr>
                <w:p w14:paraId="13A375D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有机废气、漆雾</w:t>
                  </w:r>
                </w:p>
              </w:tc>
              <w:tc>
                <w:tcPr>
                  <w:tcW w:w="991" w:type="dxa"/>
                  <w:vAlign w:val="center"/>
                </w:tcPr>
                <w:p w14:paraId="00EC965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喷涂</w:t>
                  </w:r>
                </w:p>
              </w:tc>
              <w:tc>
                <w:tcPr>
                  <w:tcW w:w="1416" w:type="dxa"/>
                  <w:vAlign w:val="center"/>
                </w:tcPr>
                <w:p w14:paraId="0F4F79C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1699" w:type="dxa"/>
                  <w:vAlign w:val="center"/>
                </w:tcPr>
                <w:p w14:paraId="76FF33F6">
                  <w:pPr>
                    <w:adjustRightInd w:val="0"/>
                    <w:snapToGrid w:val="0"/>
                    <w:jc w:val="center"/>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总VOCs</w:t>
                  </w:r>
                  <w:r>
                    <w:rPr>
                      <w:rFonts w:hint="eastAsia"/>
                      <w:color w:val="000000" w:themeColor="text1"/>
                      <w:szCs w:val="21"/>
                      <w14:textFill>
                        <w14:solidFill>
                          <w14:schemeClr w14:val="tx1"/>
                        </w14:solidFill>
                      </w14:textFill>
                    </w:rPr>
                    <w:t>、颗粒物</w:t>
                  </w:r>
                </w:p>
              </w:tc>
              <w:tc>
                <w:tcPr>
                  <w:tcW w:w="2337" w:type="dxa"/>
                  <w:vMerge w:val="restart"/>
                  <w:vAlign w:val="center"/>
                </w:tcPr>
                <w:p w14:paraId="37794EF4">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落实密闭负压车间设计与收集后通过“水喷淋+过滤除雾器+二级活性炭吸附”设施净化处理后引至15米高排气筒（D</w:t>
                  </w:r>
                  <w:r>
                    <w:rPr>
                      <w:bCs/>
                      <w:color w:val="000000" w:themeColor="text1"/>
                      <w:szCs w:val="21"/>
                      <w14:textFill>
                        <w14:solidFill>
                          <w14:schemeClr w14:val="tx1"/>
                        </w14:solidFill>
                      </w14:textFill>
                    </w:rPr>
                    <w:t>A002</w:t>
                  </w:r>
                  <w:r>
                    <w:rPr>
                      <w:rFonts w:hint="eastAsia"/>
                      <w:bCs/>
                      <w:color w:val="000000" w:themeColor="text1"/>
                      <w:szCs w:val="21"/>
                      <w14:textFill>
                        <w14:solidFill>
                          <w14:schemeClr w14:val="tx1"/>
                        </w14:solidFill>
                      </w14:textFill>
                    </w:rPr>
                    <w:t>）高空排放</w:t>
                  </w:r>
                </w:p>
              </w:tc>
            </w:tr>
            <w:tr w14:paraId="1EE6B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1FFC47DC">
                  <w:pPr>
                    <w:adjustRightInd w:val="0"/>
                    <w:snapToGrid w:val="0"/>
                    <w:jc w:val="center"/>
                    <w:rPr>
                      <w:b/>
                      <w:bCs/>
                      <w:color w:val="000000" w:themeColor="text1"/>
                      <w:szCs w:val="21"/>
                      <w14:textFill>
                        <w14:solidFill>
                          <w14:schemeClr w14:val="tx1"/>
                        </w14:solidFill>
                      </w14:textFill>
                    </w:rPr>
                  </w:pPr>
                </w:p>
              </w:tc>
              <w:tc>
                <w:tcPr>
                  <w:tcW w:w="1416" w:type="dxa"/>
                  <w:vAlign w:val="center"/>
                </w:tcPr>
                <w:p w14:paraId="2C5D7EC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有机废气</w:t>
                  </w:r>
                </w:p>
              </w:tc>
              <w:tc>
                <w:tcPr>
                  <w:tcW w:w="991" w:type="dxa"/>
                  <w:vAlign w:val="center"/>
                </w:tcPr>
                <w:p w14:paraId="19D5EA3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晾干</w:t>
                  </w:r>
                </w:p>
              </w:tc>
              <w:tc>
                <w:tcPr>
                  <w:tcW w:w="1416" w:type="dxa"/>
                  <w:vAlign w:val="center"/>
                </w:tcPr>
                <w:p w14:paraId="3E8824B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1699" w:type="dxa"/>
                  <w:vAlign w:val="center"/>
                </w:tcPr>
                <w:p w14:paraId="07F5524E">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总VOCs</w:t>
                  </w:r>
                </w:p>
              </w:tc>
              <w:tc>
                <w:tcPr>
                  <w:tcW w:w="2337" w:type="dxa"/>
                  <w:vMerge w:val="continue"/>
                  <w:vAlign w:val="center"/>
                </w:tcPr>
                <w:p w14:paraId="69633B4C">
                  <w:pPr>
                    <w:adjustRightInd w:val="0"/>
                    <w:snapToGrid w:val="0"/>
                    <w:jc w:val="center"/>
                    <w:rPr>
                      <w:color w:val="000000" w:themeColor="text1"/>
                      <w:szCs w:val="21"/>
                      <w14:textFill>
                        <w14:solidFill>
                          <w14:schemeClr w14:val="tx1"/>
                        </w14:solidFill>
                      </w14:textFill>
                    </w:rPr>
                  </w:pPr>
                </w:p>
              </w:tc>
            </w:tr>
            <w:tr w14:paraId="22B3A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15388982">
                  <w:pPr>
                    <w:adjustRightInd w:val="0"/>
                    <w:snapToGrid w:val="0"/>
                    <w:jc w:val="center"/>
                    <w:rPr>
                      <w:b/>
                      <w:bCs/>
                      <w:color w:val="000000" w:themeColor="text1"/>
                      <w:szCs w:val="21"/>
                      <w14:textFill>
                        <w14:solidFill>
                          <w14:schemeClr w14:val="tx1"/>
                        </w14:solidFill>
                      </w14:textFill>
                    </w:rPr>
                  </w:pPr>
                </w:p>
              </w:tc>
              <w:tc>
                <w:tcPr>
                  <w:tcW w:w="1416" w:type="dxa"/>
                  <w:vAlign w:val="center"/>
                </w:tcPr>
                <w:p w14:paraId="3500052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粉尘</w:t>
                  </w:r>
                </w:p>
              </w:tc>
              <w:tc>
                <w:tcPr>
                  <w:tcW w:w="991" w:type="dxa"/>
                  <w:vAlign w:val="center"/>
                </w:tcPr>
                <w:p w14:paraId="5CD2D3E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批灰</w:t>
                  </w:r>
                </w:p>
              </w:tc>
              <w:tc>
                <w:tcPr>
                  <w:tcW w:w="1416" w:type="dxa"/>
                  <w:vAlign w:val="center"/>
                </w:tcPr>
                <w:p w14:paraId="1F1929B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1699" w:type="dxa"/>
                  <w:vAlign w:val="center"/>
                </w:tcPr>
                <w:p w14:paraId="23629D5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2337" w:type="dxa"/>
                  <w:vAlign w:val="center"/>
                </w:tcPr>
                <w:p w14:paraId="193BB5A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加强车间通风，在车间以无组织形式排放</w:t>
                  </w:r>
                </w:p>
              </w:tc>
            </w:tr>
            <w:tr w14:paraId="0B979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613AF8CF">
                  <w:pPr>
                    <w:adjustRightInd w:val="0"/>
                    <w:snapToGrid w:val="0"/>
                    <w:jc w:val="center"/>
                    <w:rPr>
                      <w:b/>
                      <w:bCs/>
                      <w:color w:val="000000" w:themeColor="text1"/>
                      <w:szCs w:val="21"/>
                      <w14:textFill>
                        <w14:solidFill>
                          <w14:schemeClr w14:val="tx1"/>
                        </w14:solidFill>
                      </w14:textFill>
                    </w:rPr>
                  </w:pPr>
                </w:p>
              </w:tc>
              <w:tc>
                <w:tcPr>
                  <w:tcW w:w="1416" w:type="dxa"/>
                  <w:vAlign w:val="center"/>
                </w:tcPr>
                <w:p w14:paraId="2E681A4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p>
              </w:tc>
              <w:tc>
                <w:tcPr>
                  <w:tcW w:w="991" w:type="dxa"/>
                  <w:vAlign w:val="center"/>
                </w:tcPr>
                <w:p w14:paraId="6AC40F8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员工食堂</w:t>
                  </w:r>
                </w:p>
              </w:tc>
              <w:tc>
                <w:tcPr>
                  <w:tcW w:w="1416" w:type="dxa"/>
                  <w:vAlign w:val="center"/>
                </w:tcPr>
                <w:p w14:paraId="7E944E5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1699" w:type="dxa"/>
                  <w:vAlign w:val="center"/>
                </w:tcPr>
                <w:p w14:paraId="1A8E1E1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p>
              </w:tc>
              <w:tc>
                <w:tcPr>
                  <w:tcW w:w="2337" w:type="dxa"/>
                  <w:vAlign w:val="center"/>
                </w:tcPr>
                <w:p w14:paraId="59256B7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经高效油烟净化器处理后经楼顶排气筒排放</w:t>
                  </w:r>
                </w:p>
              </w:tc>
            </w:tr>
            <w:tr w14:paraId="17695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restart"/>
                  <w:vAlign w:val="center"/>
                </w:tcPr>
                <w:p w14:paraId="5189E49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固废</w:t>
                  </w:r>
                </w:p>
              </w:tc>
              <w:tc>
                <w:tcPr>
                  <w:tcW w:w="1416" w:type="dxa"/>
                  <w:vAlign w:val="center"/>
                </w:tcPr>
                <w:p w14:paraId="3213A17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c>
                <w:tcPr>
                  <w:tcW w:w="991" w:type="dxa"/>
                  <w:vAlign w:val="center"/>
                </w:tcPr>
                <w:p w14:paraId="3627256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设备维护</w:t>
                  </w:r>
                </w:p>
              </w:tc>
              <w:tc>
                <w:tcPr>
                  <w:tcW w:w="1416" w:type="dxa"/>
                  <w:vMerge w:val="restart"/>
                  <w:vAlign w:val="center"/>
                </w:tcPr>
                <w:p w14:paraId="16D3D1D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1699" w:type="dxa"/>
                  <w:vAlign w:val="center"/>
                </w:tcPr>
                <w:p w14:paraId="5725052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c>
                <w:tcPr>
                  <w:tcW w:w="2337" w:type="dxa"/>
                  <w:vMerge w:val="restart"/>
                  <w:vAlign w:val="center"/>
                </w:tcPr>
                <w:p w14:paraId="4242CAC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交由有相关危险废物经营许可证的单位处置</w:t>
                  </w:r>
                </w:p>
              </w:tc>
            </w:tr>
            <w:tr w14:paraId="56688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3EB1C24E">
                  <w:pPr>
                    <w:adjustRightInd w:val="0"/>
                    <w:snapToGrid w:val="0"/>
                    <w:jc w:val="center"/>
                    <w:rPr>
                      <w:color w:val="000000" w:themeColor="text1"/>
                      <w:szCs w:val="21"/>
                      <w14:textFill>
                        <w14:solidFill>
                          <w14:schemeClr w14:val="tx1"/>
                        </w14:solidFill>
                      </w14:textFill>
                    </w:rPr>
                  </w:pPr>
                </w:p>
              </w:tc>
              <w:tc>
                <w:tcPr>
                  <w:tcW w:w="1416" w:type="dxa"/>
                  <w:vAlign w:val="center"/>
                </w:tcPr>
                <w:p w14:paraId="4477F80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废含机油抹布及手套、废含油漆抹布及手套</w:t>
                  </w:r>
                </w:p>
              </w:tc>
              <w:tc>
                <w:tcPr>
                  <w:tcW w:w="991" w:type="dxa"/>
                  <w:vAlign w:val="center"/>
                </w:tcPr>
                <w:p w14:paraId="497358F8">
                  <w:pPr>
                    <w:adjustRightInd w:val="0"/>
                    <w:snapToGrid w:val="0"/>
                    <w:jc w:val="center"/>
                    <w:rPr>
                      <w:color w:val="7030A0"/>
                      <w:szCs w:val="21"/>
                    </w:rPr>
                  </w:pPr>
                  <w:r>
                    <w:rPr>
                      <w:rFonts w:hint="eastAsia"/>
                      <w:color w:val="000000" w:themeColor="text1"/>
                      <w:szCs w:val="21"/>
                      <w14:textFill>
                        <w14:solidFill>
                          <w14:schemeClr w14:val="tx1"/>
                        </w14:solidFill>
                      </w14:textFill>
                    </w:rPr>
                    <w:t>喷漆、设备维护</w:t>
                  </w:r>
                </w:p>
              </w:tc>
              <w:tc>
                <w:tcPr>
                  <w:tcW w:w="1416" w:type="dxa"/>
                  <w:vMerge w:val="continue"/>
                  <w:vAlign w:val="center"/>
                </w:tcPr>
                <w:p w14:paraId="69290AEB">
                  <w:pPr>
                    <w:adjustRightInd w:val="0"/>
                    <w:snapToGrid w:val="0"/>
                    <w:jc w:val="center"/>
                    <w:rPr>
                      <w:color w:val="000000" w:themeColor="text1"/>
                      <w:szCs w:val="21"/>
                      <w14:textFill>
                        <w14:solidFill>
                          <w14:schemeClr w14:val="tx1"/>
                        </w14:solidFill>
                      </w14:textFill>
                    </w:rPr>
                  </w:pPr>
                </w:p>
              </w:tc>
              <w:tc>
                <w:tcPr>
                  <w:tcW w:w="1699" w:type="dxa"/>
                  <w:vAlign w:val="center"/>
                </w:tcPr>
                <w:p w14:paraId="6694B7A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废含机油抹布及手套、废含油漆抹布及手套</w:t>
                  </w:r>
                </w:p>
              </w:tc>
              <w:tc>
                <w:tcPr>
                  <w:tcW w:w="2337" w:type="dxa"/>
                  <w:vMerge w:val="continue"/>
                  <w:vAlign w:val="center"/>
                </w:tcPr>
                <w:p w14:paraId="725588A8">
                  <w:pPr>
                    <w:adjustRightInd w:val="0"/>
                    <w:snapToGrid w:val="0"/>
                    <w:jc w:val="center"/>
                    <w:rPr>
                      <w:color w:val="000000" w:themeColor="text1"/>
                      <w:szCs w:val="21"/>
                      <w14:textFill>
                        <w14:solidFill>
                          <w14:schemeClr w14:val="tx1"/>
                        </w14:solidFill>
                      </w14:textFill>
                    </w:rPr>
                  </w:pPr>
                </w:p>
              </w:tc>
            </w:tr>
            <w:tr w14:paraId="69204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032F679F">
                  <w:pPr>
                    <w:adjustRightInd w:val="0"/>
                    <w:snapToGrid w:val="0"/>
                    <w:jc w:val="center"/>
                    <w:rPr>
                      <w:color w:val="000000" w:themeColor="text1"/>
                      <w:szCs w:val="21"/>
                      <w14:textFill>
                        <w14:solidFill>
                          <w14:schemeClr w14:val="tx1"/>
                        </w14:solidFill>
                      </w14:textFill>
                    </w:rPr>
                  </w:pPr>
                </w:p>
              </w:tc>
              <w:tc>
                <w:tcPr>
                  <w:tcW w:w="1416" w:type="dxa"/>
                  <w:vAlign w:val="center"/>
                </w:tcPr>
                <w:p w14:paraId="4CA6FA8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废机油桶</w:t>
                  </w:r>
                </w:p>
              </w:tc>
              <w:tc>
                <w:tcPr>
                  <w:tcW w:w="991" w:type="dxa"/>
                  <w:vAlign w:val="center"/>
                </w:tcPr>
                <w:p w14:paraId="3CE6F17B">
                  <w:pPr>
                    <w:adjustRightInd w:val="0"/>
                    <w:snapToGrid w:val="0"/>
                    <w:jc w:val="center"/>
                    <w:rPr>
                      <w:color w:val="7030A0"/>
                      <w:szCs w:val="21"/>
                    </w:rPr>
                  </w:pPr>
                  <w:r>
                    <w:rPr>
                      <w:rFonts w:hint="eastAsia"/>
                      <w:color w:val="000000" w:themeColor="text1"/>
                      <w:szCs w:val="21"/>
                      <w14:textFill>
                        <w14:solidFill>
                          <w14:schemeClr w14:val="tx1"/>
                        </w14:solidFill>
                      </w14:textFill>
                    </w:rPr>
                    <w:t>设备维护</w:t>
                  </w:r>
                </w:p>
              </w:tc>
              <w:tc>
                <w:tcPr>
                  <w:tcW w:w="1416" w:type="dxa"/>
                  <w:vMerge w:val="continue"/>
                  <w:vAlign w:val="center"/>
                </w:tcPr>
                <w:p w14:paraId="02CAC8A4">
                  <w:pPr>
                    <w:adjustRightInd w:val="0"/>
                    <w:snapToGrid w:val="0"/>
                    <w:jc w:val="center"/>
                    <w:rPr>
                      <w:color w:val="000000" w:themeColor="text1"/>
                      <w:szCs w:val="21"/>
                      <w14:textFill>
                        <w14:solidFill>
                          <w14:schemeClr w14:val="tx1"/>
                        </w14:solidFill>
                      </w14:textFill>
                    </w:rPr>
                  </w:pPr>
                </w:p>
              </w:tc>
              <w:tc>
                <w:tcPr>
                  <w:tcW w:w="1699" w:type="dxa"/>
                  <w:vAlign w:val="center"/>
                </w:tcPr>
                <w:p w14:paraId="387FDD9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废机油包装桶</w:t>
                  </w:r>
                </w:p>
              </w:tc>
              <w:tc>
                <w:tcPr>
                  <w:tcW w:w="2337" w:type="dxa"/>
                  <w:vMerge w:val="continue"/>
                  <w:vAlign w:val="center"/>
                </w:tcPr>
                <w:p w14:paraId="1C64FBE5">
                  <w:pPr>
                    <w:adjustRightInd w:val="0"/>
                    <w:snapToGrid w:val="0"/>
                    <w:jc w:val="center"/>
                    <w:rPr>
                      <w:color w:val="000000" w:themeColor="text1"/>
                      <w:szCs w:val="21"/>
                      <w14:textFill>
                        <w14:solidFill>
                          <w14:schemeClr w14:val="tx1"/>
                        </w14:solidFill>
                      </w14:textFill>
                    </w:rPr>
                  </w:pPr>
                </w:p>
              </w:tc>
            </w:tr>
            <w:tr w14:paraId="495FA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16F74FEE">
                  <w:pPr>
                    <w:adjustRightInd w:val="0"/>
                    <w:snapToGrid w:val="0"/>
                    <w:jc w:val="center"/>
                    <w:rPr>
                      <w:color w:val="000000" w:themeColor="text1"/>
                      <w:szCs w:val="21"/>
                      <w14:textFill>
                        <w14:solidFill>
                          <w14:schemeClr w14:val="tx1"/>
                        </w14:solidFill>
                      </w14:textFill>
                    </w:rPr>
                  </w:pPr>
                </w:p>
              </w:tc>
              <w:tc>
                <w:tcPr>
                  <w:tcW w:w="1416" w:type="dxa"/>
                  <w:vAlign w:val="center"/>
                </w:tcPr>
                <w:p w14:paraId="28C2129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废活性炭</w:t>
                  </w:r>
                </w:p>
              </w:tc>
              <w:tc>
                <w:tcPr>
                  <w:tcW w:w="991" w:type="dxa"/>
                  <w:vAlign w:val="center"/>
                </w:tcPr>
                <w:p w14:paraId="384FD604">
                  <w:pPr>
                    <w:adjustRightInd w:val="0"/>
                    <w:snapToGrid w:val="0"/>
                    <w:jc w:val="center"/>
                    <w:rPr>
                      <w:color w:val="7030A0"/>
                      <w:szCs w:val="21"/>
                    </w:rPr>
                  </w:pPr>
                  <w:r>
                    <w:rPr>
                      <w:rFonts w:hint="eastAsia"/>
                      <w:color w:val="000000" w:themeColor="text1"/>
                      <w:szCs w:val="21"/>
                      <w14:textFill>
                        <w14:solidFill>
                          <w14:schemeClr w14:val="tx1"/>
                        </w14:solidFill>
                      </w14:textFill>
                    </w:rPr>
                    <w:t>废气处理设施</w:t>
                  </w:r>
                </w:p>
              </w:tc>
              <w:tc>
                <w:tcPr>
                  <w:tcW w:w="1416" w:type="dxa"/>
                  <w:vMerge w:val="continue"/>
                  <w:vAlign w:val="center"/>
                </w:tcPr>
                <w:p w14:paraId="69D222E7">
                  <w:pPr>
                    <w:adjustRightInd w:val="0"/>
                    <w:snapToGrid w:val="0"/>
                    <w:jc w:val="center"/>
                    <w:rPr>
                      <w:color w:val="000000" w:themeColor="text1"/>
                      <w:szCs w:val="21"/>
                      <w14:textFill>
                        <w14:solidFill>
                          <w14:schemeClr w14:val="tx1"/>
                        </w14:solidFill>
                      </w14:textFill>
                    </w:rPr>
                  </w:pPr>
                </w:p>
              </w:tc>
              <w:tc>
                <w:tcPr>
                  <w:tcW w:w="1699" w:type="dxa"/>
                  <w:vAlign w:val="center"/>
                </w:tcPr>
                <w:p w14:paraId="3D91F4C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废活性炭</w:t>
                  </w:r>
                </w:p>
              </w:tc>
              <w:tc>
                <w:tcPr>
                  <w:tcW w:w="2337" w:type="dxa"/>
                  <w:vMerge w:val="continue"/>
                  <w:vAlign w:val="center"/>
                </w:tcPr>
                <w:p w14:paraId="236734C1">
                  <w:pPr>
                    <w:adjustRightInd w:val="0"/>
                    <w:snapToGrid w:val="0"/>
                    <w:jc w:val="center"/>
                    <w:rPr>
                      <w:color w:val="000000" w:themeColor="text1"/>
                      <w:szCs w:val="21"/>
                      <w14:textFill>
                        <w14:solidFill>
                          <w14:schemeClr w14:val="tx1"/>
                        </w14:solidFill>
                      </w14:textFill>
                    </w:rPr>
                  </w:pPr>
                </w:p>
              </w:tc>
            </w:tr>
            <w:tr w14:paraId="4442A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586DD595">
                  <w:pPr>
                    <w:adjustRightInd w:val="0"/>
                    <w:snapToGrid w:val="0"/>
                    <w:jc w:val="center"/>
                    <w:rPr>
                      <w:color w:val="000000" w:themeColor="text1"/>
                      <w:szCs w:val="21"/>
                      <w14:textFill>
                        <w14:solidFill>
                          <w14:schemeClr w14:val="tx1"/>
                        </w14:solidFill>
                      </w14:textFill>
                    </w:rPr>
                  </w:pPr>
                </w:p>
              </w:tc>
              <w:tc>
                <w:tcPr>
                  <w:tcW w:w="1416" w:type="dxa"/>
                  <w:vAlign w:val="center"/>
                </w:tcPr>
                <w:p w14:paraId="08A7A76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干式过滤器废滤料</w:t>
                  </w:r>
                </w:p>
              </w:tc>
              <w:tc>
                <w:tcPr>
                  <w:tcW w:w="991" w:type="dxa"/>
                  <w:vAlign w:val="center"/>
                </w:tcPr>
                <w:p w14:paraId="22CDA79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w:t>
                  </w:r>
                </w:p>
              </w:tc>
              <w:tc>
                <w:tcPr>
                  <w:tcW w:w="1416" w:type="dxa"/>
                  <w:vMerge w:val="continue"/>
                  <w:vAlign w:val="center"/>
                </w:tcPr>
                <w:p w14:paraId="46A3BDF3">
                  <w:pPr>
                    <w:adjustRightInd w:val="0"/>
                    <w:snapToGrid w:val="0"/>
                    <w:jc w:val="center"/>
                    <w:rPr>
                      <w:color w:val="000000" w:themeColor="text1"/>
                      <w:szCs w:val="21"/>
                      <w14:textFill>
                        <w14:solidFill>
                          <w14:schemeClr w14:val="tx1"/>
                        </w14:solidFill>
                      </w14:textFill>
                    </w:rPr>
                  </w:pPr>
                </w:p>
              </w:tc>
              <w:tc>
                <w:tcPr>
                  <w:tcW w:w="1699" w:type="dxa"/>
                  <w:vAlign w:val="center"/>
                </w:tcPr>
                <w:p w14:paraId="12BAE88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干式过滤器废滤料</w:t>
                  </w:r>
                </w:p>
              </w:tc>
              <w:tc>
                <w:tcPr>
                  <w:tcW w:w="2337" w:type="dxa"/>
                  <w:vMerge w:val="continue"/>
                  <w:vAlign w:val="center"/>
                </w:tcPr>
                <w:p w14:paraId="27781176">
                  <w:pPr>
                    <w:adjustRightInd w:val="0"/>
                    <w:snapToGrid w:val="0"/>
                    <w:jc w:val="center"/>
                    <w:rPr>
                      <w:color w:val="000000" w:themeColor="text1"/>
                      <w:szCs w:val="21"/>
                      <w14:textFill>
                        <w14:solidFill>
                          <w14:schemeClr w14:val="tx1"/>
                        </w14:solidFill>
                      </w14:textFill>
                    </w:rPr>
                  </w:pPr>
                </w:p>
              </w:tc>
            </w:tr>
            <w:tr w14:paraId="57E15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3561F59E">
                  <w:pPr>
                    <w:adjustRightInd w:val="0"/>
                    <w:snapToGrid w:val="0"/>
                    <w:jc w:val="center"/>
                    <w:rPr>
                      <w:color w:val="000000" w:themeColor="text1"/>
                      <w:szCs w:val="21"/>
                      <w14:textFill>
                        <w14:solidFill>
                          <w14:schemeClr w14:val="tx1"/>
                        </w14:solidFill>
                      </w14:textFill>
                    </w:rPr>
                  </w:pPr>
                </w:p>
              </w:tc>
              <w:tc>
                <w:tcPr>
                  <w:tcW w:w="1416" w:type="dxa"/>
                  <w:vAlign w:val="center"/>
                </w:tcPr>
                <w:p w14:paraId="0A187A9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喷漆、晾干废气处理装置喷淋塔更换废水</w:t>
                  </w:r>
                </w:p>
              </w:tc>
              <w:tc>
                <w:tcPr>
                  <w:tcW w:w="991" w:type="dxa"/>
                  <w:vAlign w:val="center"/>
                </w:tcPr>
                <w:p w14:paraId="6824355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w:t>
                  </w:r>
                </w:p>
              </w:tc>
              <w:tc>
                <w:tcPr>
                  <w:tcW w:w="1416" w:type="dxa"/>
                  <w:vMerge w:val="continue"/>
                  <w:vAlign w:val="center"/>
                </w:tcPr>
                <w:p w14:paraId="502045AB">
                  <w:pPr>
                    <w:adjustRightInd w:val="0"/>
                    <w:snapToGrid w:val="0"/>
                    <w:jc w:val="center"/>
                    <w:rPr>
                      <w:color w:val="000000" w:themeColor="text1"/>
                      <w:szCs w:val="21"/>
                      <w14:textFill>
                        <w14:solidFill>
                          <w14:schemeClr w14:val="tx1"/>
                        </w14:solidFill>
                      </w14:textFill>
                    </w:rPr>
                  </w:pPr>
                </w:p>
              </w:tc>
              <w:tc>
                <w:tcPr>
                  <w:tcW w:w="1699" w:type="dxa"/>
                  <w:vAlign w:val="center"/>
                </w:tcPr>
                <w:p w14:paraId="011D87E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喷漆、晾干废气处理装置喷淋塔更换废水</w:t>
                  </w:r>
                </w:p>
              </w:tc>
              <w:tc>
                <w:tcPr>
                  <w:tcW w:w="2337" w:type="dxa"/>
                  <w:vMerge w:val="continue"/>
                  <w:vAlign w:val="center"/>
                </w:tcPr>
                <w:p w14:paraId="64F2F657">
                  <w:pPr>
                    <w:adjustRightInd w:val="0"/>
                    <w:snapToGrid w:val="0"/>
                    <w:jc w:val="center"/>
                    <w:rPr>
                      <w:color w:val="000000" w:themeColor="text1"/>
                      <w:szCs w:val="21"/>
                      <w14:textFill>
                        <w14:solidFill>
                          <w14:schemeClr w14:val="tx1"/>
                        </w14:solidFill>
                      </w14:textFill>
                    </w:rPr>
                  </w:pPr>
                </w:p>
              </w:tc>
            </w:tr>
            <w:tr w14:paraId="160A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6A126CEC">
                  <w:pPr>
                    <w:adjustRightInd w:val="0"/>
                    <w:snapToGrid w:val="0"/>
                    <w:jc w:val="center"/>
                    <w:rPr>
                      <w:color w:val="000000" w:themeColor="text1"/>
                      <w:szCs w:val="21"/>
                      <w14:textFill>
                        <w14:solidFill>
                          <w14:schemeClr w14:val="tx1"/>
                        </w14:solidFill>
                      </w14:textFill>
                    </w:rPr>
                  </w:pPr>
                </w:p>
              </w:tc>
              <w:tc>
                <w:tcPr>
                  <w:tcW w:w="1416" w:type="dxa"/>
                  <w:vAlign w:val="center"/>
                </w:tcPr>
                <w:p w14:paraId="5FE993C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水帘柜更换废水</w:t>
                  </w:r>
                </w:p>
              </w:tc>
              <w:tc>
                <w:tcPr>
                  <w:tcW w:w="991" w:type="dxa"/>
                  <w:vAlign w:val="center"/>
                </w:tcPr>
                <w:p w14:paraId="1ED7A87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w:t>
                  </w:r>
                </w:p>
              </w:tc>
              <w:tc>
                <w:tcPr>
                  <w:tcW w:w="1416" w:type="dxa"/>
                  <w:vMerge w:val="continue"/>
                  <w:vAlign w:val="center"/>
                </w:tcPr>
                <w:p w14:paraId="5266AF47">
                  <w:pPr>
                    <w:adjustRightInd w:val="0"/>
                    <w:snapToGrid w:val="0"/>
                    <w:jc w:val="center"/>
                    <w:rPr>
                      <w:color w:val="000000" w:themeColor="text1"/>
                      <w:szCs w:val="21"/>
                      <w14:textFill>
                        <w14:solidFill>
                          <w14:schemeClr w14:val="tx1"/>
                        </w14:solidFill>
                      </w14:textFill>
                    </w:rPr>
                  </w:pPr>
                </w:p>
              </w:tc>
              <w:tc>
                <w:tcPr>
                  <w:tcW w:w="1699" w:type="dxa"/>
                  <w:vAlign w:val="center"/>
                </w:tcPr>
                <w:p w14:paraId="485F0CA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水帘柜更换废水</w:t>
                  </w:r>
                </w:p>
              </w:tc>
              <w:tc>
                <w:tcPr>
                  <w:tcW w:w="2337" w:type="dxa"/>
                  <w:vMerge w:val="continue"/>
                  <w:vAlign w:val="center"/>
                </w:tcPr>
                <w:p w14:paraId="01758F62">
                  <w:pPr>
                    <w:adjustRightInd w:val="0"/>
                    <w:snapToGrid w:val="0"/>
                    <w:jc w:val="center"/>
                    <w:rPr>
                      <w:color w:val="000000" w:themeColor="text1"/>
                      <w:szCs w:val="21"/>
                      <w14:textFill>
                        <w14:solidFill>
                          <w14:schemeClr w14:val="tx1"/>
                        </w14:solidFill>
                      </w14:textFill>
                    </w:rPr>
                  </w:pPr>
                </w:p>
              </w:tc>
            </w:tr>
            <w:tr w14:paraId="24EF2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0391A9B7">
                  <w:pPr>
                    <w:adjustRightInd w:val="0"/>
                    <w:snapToGrid w:val="0"/>
                    <w:jc w:val="center"/>
                    <w:rPr>
                      <w:color w:val="000000" w:themeColor="text1"/>
                      <w:szCs w:val="21"/>
                      <w14:textFill>
                        <w14:solidFill>
                          <w14:schemeClr w14:val="tx1"/>
                        </w14:solidFill>
                      </w14:textFill>
                    </w:rPr>
                  </w:pPr>
                </w:p>
              </w:tc>
              <w:tc>
                <w:tcPr>
                  <w:tcW w:w="1416" w:type="dxa"/>
                  <w:vAlign w:val="center"/>
                </w:tcPr>
                <w:p w14:paraId="0628774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喷枪清洗废水</w:t>
                  </w:r>
                </w:p>
              </w:tc>
              <w:tc>
                <w:tcPr>
                  <w:tcW w:w="991" w:type="dxa"/>
                  <w:vAlign w:val="center"/>
                </w:tcPr>
                <w:p w14:paraId="5973745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w:t>
                  </w:r>
                </w:p>
              </w:tc>
              <w:tc>
                <w:tcPr>
                  <w:tcW w:w="1416" w:type="dxa"/>
                  <w:vMerge w:val="continue"/>
                  <w:vAlign w:val="center"/>
                </w:tcPr>
                <w:p w14:paraId="3D43203F">
                  <w:pPr>
                    <w:adjustRightInd w:val="0"/>
                    <w:snapToGrid w:val="0"/>
                    <w:jc w:val="center"/>
                    <w:rPr>
                      <w:color w:val="000000" w:themeColor="text1"/>
                      <w:szCs w:val="21"/>
                      <w14:textFill>
                        <w14:solidFill>
                          <w14:schemeClr w14:val="tx1"/>
                        </w14:solidFill>
                      </w14:textFill>
                    </w:rPr>
                  </w:pPr>
                </w:p>
              </w:tc>
              <w:tc>
                <w:tcPr>
                  <w:tcW w:w="1699" w:type="dxa"/>
                  <w:vAlign w:val="center"/>
                </w:tcPr>
                <w:p w14:paraId="5338E74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喷枪清洗废水</w:t>
                  </w:r>
                </w:p>
              </w:tc>
              <w:tc>
                <w:tcPr>
                  <w:tcW w:w="2337" w:type="dxa"/>
                  <w:vMerge w:val="continue"/>
                  <w:vAlign w:val="center"/>
                </w:tcPr>
                <w:p w14:paraId="490D7931">
                  <w:pPr>
                    <w:adjustRightInd w:val="0"/>
                    <w:snapToGrid w:val="0"/>
                    <w:jc w:val="center"/>
                    <w:rPr>
                      <w:color w:val="000000" w:themeColor="text1"/>
                      <w:szCs w:val="21"/>
                      <w14:textFill>
                        <w14:solidFill>
                          <w14:schemeClr w14:val="tx1"/>
                        </w14:solidFill>
                      </w14:textFill>
                    </w:rPr>
                  </w:pPr>
                </w:p>
              </w:tc>
            </w:tr>
            <w:tr w14:paraId="5436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75023314">
                  <w:pPr>
                    <w:adjustRightInd w:val="0"/>
                    <w:snapToGrid w:val="0"/>
                    <w:jc w:val="center"/>
                    <w:rPr>
                      <w:color w:val="000000" w:themeColor="text1"/>
                      <w:szCs w:val="21"/>
                      <w14:textFill>
                        <w14:solidFill>
                          <w14:schemeClr w14:val="tx1"/>
                        </w14:solidFill>
                      </w14:textFill>
                    </w:rPr>
                  </w:pPr>
                </w:p>
              </w:tc>
              <w:tc>
                <w:tcPr>
                  <w:tcW w:w="1416" w:type="dxa"/>
                  <w:vAlign w:val="center"/>
                </w:tcPr>
                <w:p w14:paraId="706E7D66">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废包装桶</w:t>
                  </w:r>
                </w:p>
              </w:tc>
              <w:tc>
                <w:tcPr>
                  <w:tcW w:w="991" w:type="dxa"/>
                  <w:vAlign w:val="center"/>
                </w:tcPr>
                <w:p w14:paraId="59CDAB10">
                  <w:pPr>
                    <w:adjustRightInd w:val="0"/>
                    <w:snapToGrid w:val="0"/>
                    <w:jc w:val="center"/>
                    <w:rPr>
                      <w:color w:val="7030A0"/>
                      <w:szCs w:val="21"/>
                    </w:rPr>
                  </w:pPr>
                  <w:r>
                    <w:rPr>
                      <w:rFonts w:hint="eastAsia"/>
                      <w:color w:val="000000" w:themeColor="text1"/>
                      <w:szCs w:val="21"/>
                      <w14:textFill>
                        <w14:solidFill>
                          <w14:schemeClr w14:val="tx1"/>
                        </w14:solidFill>
                      </w14:textFill>
                    </w:rPr>
                    <w:t>喷漆</w:t>
                  </w:r>
                </w:p>
              </w:tc>
              <w:tc>
                <w:tcPr>
                  <w:tcW w:w="1416" w:type="dxa"/>
                  <w:vMerge w:val="continue"/>
                  <w:vAlign w:val="center"/>
                </w:tcPr>
                <w:p w14:paraId="42286C24">
                  <w:pPr>
                    <w:adjustRightInd w:val="0"/>
                    <w:snapToGrid w:val="0"/>
                    <w:jc w:val="center"/>
                    <w:rPr>
                      <w:color w:val="000000" w:themeColor="text1"/>
                      <w:szCs w:val="21"/>
                      <w14:textFill>
                        <w14:solidFill>
                          <w14:schemeClr w14:val="tx1"/>
                        </w14:solidFill>
                      </w14:textFill>
                    </w:rPr>
                  </w:pPr>
                </w:p>
              </w:tc>
              <w:tc>
                <w:tcPr>
                  <w:tcW w:w="1699" w:type="dxa"/>
                  <w:vAlign w:val="center"/>
                </w:tcPr>
                <w:p w14:paraId="23C96710">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废包装桶</w:t>
                  </w:r>
                </w:p>
              </w:tc>
              <w:tc>
                <w:tcPr>
                  <w:tcW w:w="2337" w:type="dxa"/>
                  <w:vMerge w:val="continue"/>
                  <w:vAlign w:val="center"/>
                </w:tcPr>
                <w:p w14:paraId="00839D52">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p>
              </w:tc>
            </w:tr>
            <w:tr w14:paraId="3A6B3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5AD63475">
                  <w:pPr>
                    <w:adjustRightInd w:val="0"/>
                    <w:snapToGrid w:val="0"/>
                    <w:jc w:val="center"/>
                    <w:rPr>
                      <w:color w:val="000000" w:themeColor="text1"/>
                      <w:szCs w:val="21"/>
                      <w14:textFill>
                        <w14:solidFill>
                          <w14:schemeClr w14:val="tx1"/>
                        </w14:solidFill>
                      </w14:textFill>
                    </w:rPr>
                  </w:pPr>
                </w:p>
              </w:tc>
              <w:tc>
                <w:tcPr>
                  <w:tcW w:w="1416" w:type="dxa"/>
                  <w:vAlign w:val="center"/>
                </w:tcPr>
                <w:p w14:paraId="66A7503B">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漆渣</w:t>
                  </w:r>
                </w:p>
              </w:tc>
              <w:tc>
                <w:tcPr>
                  <w:tcW w:w="991" w:type="dxa"/>
                  <w:vAlign w:val="center"/>
                </w:tcPr>
                <w:p w14:paraId="3BBDDE92">
                  <w:pPr>
                    <w:adjustRightInd w:val="0"/>
                    <w:snapToGrid w:val="0"/>
                    <w:jc w:val="center"/>
                    <w:rPr>
                      <w:color w:val="7030A0"/>
                      <w:szCs w:val="21"/>
                    </w:rPr>
                  </w:pPr>
                  <w:r>
                    <w:rPr>
                      <w:rFonts w:hint="eastAsia"/>
                      <w:color w:val="000000" w:themeColor="text1"/>
                      <w:szCs w:val="21"/>
                      <w14:textFill>
                        <w14:solidFill>
                          <w14:schemeClr w14:val="tx1"/>
                        </w14:solidFill>
                      </w14:textFill>
                    </w:rPr>
                    <w:t>喷漆</w:t>
                  </w:r>
                </w:p>
              </w:tc>
              <w:tc>
                <w:tcPr>
                  <w:tcW w:w="1416" w:type="dxa"/>
                  <w:vMerge w:val="continue"/>
                  <w:vAlign w:val="center"/>
                </w:tcPr>
                <w:p w14:paraId="7E105988">
                  <w:pPr>
                    <w:adjustRightInd w:val="0"/>
                    <w:snapToGrid w:val="0"/>
                    <w:jc w:val="center"/>
                    <w:rPr>
                      <w:color w:val="000000" w:themeColor="text1"/>
                      <w:szCs w:val="21"/>
                      <w14:textFill>
                        <w14:solidFill>
                          <w14:schemeClr w14:val="tx1"/>
                        </w14:solidFill>
                      </w14:textFill>
                    </w:rPr>
                  </w:pPr>
                </w:p>
              </w:tc>
              <w:tc>
                <w:tcPr>
                  <w:tcW w:w="1699" w:type="dxa"/>
                  <w:vAlign w:val="center"/>
                </w:tcPr>
                <w:p w14:paraId="5447B615">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漆渣</w:t>
                  </w:r>
                </w:p>
              </w:tc>
              <w:tc>
                <w:tcPr>
                  <w:tcW w:w="2337" w:type="dxa"/>
                  <w:vMerge w:val="continue"/>
                  <w:vAlign w:val="center"/>
                </w:tcPr>
                <w:p w14:paraId="5E21313F">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p>
              </w:tc>
            </w:tr>
            <w:tr w14:paraId="78436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3DBB7B3A">
                  <w:pPr>
                    <w:adjustRightInd w:val="0"/>
                    <w:snapToGrid w:val="0"/>
                    <w:jc w:val="center"/>
                    <w:rPr>
                      <w:color w:val="000000" w:themeColor="text1"/>
                      <w:szCs w:val="21"/>
                      <w14:textFill>
                        <w14:solidFill>
                          <w14:schemeClr w14:val="tx1"/>
                        </w14:solidFill>
                      </w14:textFill>
                    </w:rPr>
                  </w:pPr>
                </w:p>
              </w:tc>
              <w:tc>
                <w:tcPr>
                  <w:tcW w:w="1416" w:type="dxa"/>
                  <w:vAlign w:val="center"/>
                </w:tcPr>
                <w:p w14:paraId="5C734479">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木材边角料</w:t>
                  </w:r>
                </w:p>
              </w:tc>
              <w:tc>
                <w:tcPr>
                  <w:tcW w:w="991" w:type="dxa"/>
                  <w:vAlign w:val="center"/>
                </w:tcPr>
                <w:p w14:paraId="4D16BF1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开料、雕刻</w:t>
                  </w:r>
                </w:p>
              </w:tc>
              <w:tc>
                <w:tcPr>
                  <w:tcW w:w="1416" w:type="dxa"/>
                  <w:vMerge w:val="restart"/>
                  <w:vAlign w:val="center"/>
                </w:tcPr>
                <w:p w14:paraId="7CAD5C6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1699" w:type="dxa"/>
                  <w:vAlign w:val="center"/>
                </w:tcPr>
                <w:p w14:paraId="21BE91BE">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木材边角料</w:t>
                  </w:r>
                </w:p>
              </w:tc>
              <w:tc>
                <w:tcPr>
                  <w:tcW w:w="2337" w:type="dxa"/>
                  <w:vMerge w:val="restart"/>
                  <w:vAlign w:val="center"/>
                </w:tcPr>
                <w:p w14:paraId="26E9F407">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由专业公司回收处理</w:t>
                  </w:r>
                </w:p>
              </w:tc>
            </w:tr>
            <w:tr w14:paraId="4CFCA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4CE23FAB">
                  <w:pPr>
                    <w:adjustRightInd w:val="0"/>
                    <w:snapToGrid w:val="0"/>
                    <w:jc w:val="center"/>
                    <w:rPr>
                      <w:color w:val="000000" w:themeColor="text1"/>
                      <w:szCs w:val="21"/>
                      <w14:textFill>
                        <w14:solidFill>
                          <w14:schemeClr w14:val="tx1"/>
                        </w14:solidFill>
                      </w14:textFill>
                    </w:rPr>
                  </w:pPr>
                </w:p>
              </w:tc>
              <w:tc>
                <w:tcPr>
                  <w:tcW w:w="1416" w:type="dxa"/>
                  <w:vAlign w:val="center"/>
                </w:tcPr>
                <w:p w14:paraId="1EB162F5">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金属边角料</w:t>
                  </w:r>
                </w:p>
              </w:tc>
              <w:tc>
                <w:tcPr>
                  <w:tcW w:w="991" w:type="dxa"/>
                  <w:vAlign w:val="center"/>
                </w:tcPr>
                <w:p w14:paraId="162E10B2">
                  <w:pPr>
                    <w:adjustRightInd w:val="0"/>
                    <w:snapToGrid w:val="0"/>
                    <w:jc w:val="center"/>
                    <w:rPr>
                      <w:color w:val="7030A0"/>
                      <w:szCs w:val="21"/>
                    </w:rPr>
                  </w:pPr>
                  <w:r>
                    <w:rPr>
                      <w:rFonts w:hint="eastAsia"/>
                      <w:color w:val="000000" w:themeColor="text1"/>
                      <w:szCs w:val="21"/>
                      <w14:textFill>
                        <w14:solidFill>
                          <w14:schemeClr w14:val="tx1"/>
                        </w14:solidFill>
                      </w14:textFill>
                    </w:rPr>
                    <w:t>切割</w:t>
                  </w:r>
                </w:p>
              </w:tc>
              <w:tc>
                <w:tcPr>
                  <w:tcW w:w="1416" w:type="dxa"/>
                  <w:vMerge w:val="continue"/>
                  <w:vAlign w:val="center"/>
                </w:tcPr>
                <w:p w14:paraId="00433F48">
                  <w:pPr>
                    <w:adjustRightInd w:val="0"/>
                    <w:snapToGrid w:val="0"/>
                    <w:jc w:val="center"/>
                    <w:rPr>
                      <w:color w:val="000000" w:themeColor="text1"/>
                      <w:szCs w:val="21"/>
                      <w14:textFill>
                        <w14:solidFill>
                          <w14:schemeClr w14:val="tx1"/>
                        </w14:solidFill>
                      </w14:textFill>
                    </w:rPr>
                  </w:pPr>
                </w:p>
              </w:tc>
              <w:tc>
                <w:tcPr>
                  <w:tcW w:w="1699" w:type="dxa"/>
                  <w:vAlign w:val="center"/>
                </w:tcPr>
                <w:p w14:paraId="2EDF4CA1">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金属边角料</w:t>
                  </w:r>
                </w:p>
              </w:tc>
              <w:tc>
                <w:tcPr>
                  <w:tcW w:w="2337" w:type="dxa"/>
                  <w:vMerge w:val="continue"/>
                  <w:vAlign w:val="center"/>
                </w:tcPr>
                <w:p w14:paraId="478B7B0E">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p>
              </w:tc>
            </w:tr>
            <w:tr w14:paraId="4A8A2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131EEFCC">
                  <w:pPr>
                    <w:adjustRightInd w:val="0"/>
                    <w:snapToGrid w:val="0"/>
                    <w:jc w:val="center"/>
                    <w:rPr>
                      <w:color w:val="000000" w:themeColor="text1"/>
                      <w:szCs w:val="21"/>
                      <w14:textFill>
                        <w14:solidFill>
                          <w14:schemeClr w14:val="tx1"/>
                        </w14:solidFill>
                      </w14:textFill>
                    </w:rPr>
                  </w:pPr>
                </w:p>
              </w:tc>
              <w:tc>
                <w:tcPr>
                  <w:tcW w:w="1416" w:type="dxa"/>
                  <w:vAlign w:val="center"/>
                </w:tcPr>
                <w:p w14:paraId="24E22C71">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车间地面及布袋除尘器收集到的颗粒物</w:t>
                  </w:r>
                </w:p>
              </w:tc>
              <w:tc>
                <w:tcPr>
                  <w:tcW w:w="991" w:type="dxa"/>
                  <w:vAlign w:val="center"/>
                </w:tcPr>
                <w:p w14:paraId="13CFC1E5">
                  <w:pPr>
                    <w:adjustRightInd w:val="0"/>
                    <w:snapToGrid w:val="0"/>
                    <w:jc w:val="center"/>
                    <w:rPr>
                      <w:color w:val="7030A0"/>
                      <w:szCs w:val="21"/>
                    </w:rPr>
                  </w:pPr>
                  <w:r>
                    <w:rPr>
                      <w:rFonts w:hint="eastAsia"/>
                      <w:color w:val="000000" w:themeColor="text1"/>
                      <w:szCs w:val="21"/>
                      <w14:textFill>
                        <w14:solidFill>
                          <w14:schemeClr w14:val="tx1"/>
                        </w14:solidFill>
                      </w14:textFill>
                    </w:rPr>
                    <w:t>开料、雕刻、打磨、切割、焊接</w:t>
                  </w:r>
                </w:p>
              </w:tc>
              <w:tc>
                <w:tcPr>
                  <w:tcW w:w="1416" w:type="dxa"/>
                  <w:vMerge w:val="continue"/>
                  <w:vAlign w:val="center"/>
                </w:tcPr>
                <w:p w14:paraId="244E35AD">
                  <w:pPr>
                    <w:adjustRightInd w:val="0"/>
                    <w:snapToGrid w:val="0"/>
                    <w:jc w:val="center"/>
                    <w:rPr>
                      <w:color w:val="000000" w:themeColor="text1"/>
                      <w:szCs w:val="21"/>
                      <w14:textFill>
                        <w14:solidFill>
                          <w14:schemeClr w14:val="tx1"/>
                        </w14:solidFill>
                      </w14:textFill>
                    </w:rPr>
                  </w:pPr>
                </w:p>
              </w:tc>
              <w:tc>
                <w:tcPr>
                  <w:tcW w:w="1699" w:type="dxa"/>
                  <w:vAlign w:val="center"/>
                </w:tcPr>
                <w:p w14:paraId="676DEC43">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废抹布</w:t>
                  </w:r>
                </w:p>
              </w:tc>
              <w:tc>
                <w:tcPr>
                  <w:tcW w:w="2337" w:type="dxa"/>
                  <w:vMerge w:val="continue"/>
                  <w:vAlign w:val="center"/>
                </w:tcPr>
                <w:p w14:paraId="7F0DABF0">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p>
              </w:tc>
            </w:tr>
            <w:tr w14:paraId="02D1D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304A37E7">
                  <w:pPr>
                    <w:adjustRightInd w:val="0"/>
                    <w:snapToGrid w:val="0"/>
                    <w:jc w:val="center"/>
                    <w:rPr>
                      <w:color w:val="000000" w:themeColor="text1"/>
                      <w:szCs w:val="21"/>
                      <w14:textFill>
                        <w14:solidFill>
                          <w14:schemeClr w14:val="tx1"/>
                        </w14:solidFill>
                      </w14:textFill>
                    </w:rPr>
                  </w:pPr>
                </w:p>
              </w:tc>
              <w:tc>
                <w:tcPr>
                  <w:tcW w:w="1416" w:type="dxa"/>
                  <w:vAlign w:val="center"/>
                </w:tcPr>
                <w:p w14:paraId="2A4F5C35">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包装废物</w:t>
                  </w:r>
                </w:p>
              </w:tc>
              <w:tc>
                <w:tcPr>
                  <w:tcW w:w="991" w:type="dxa"/>
                  <w:vAlign w:val="center"/>
                </w:tcPr>
                <w:p w14:paraId="41911513">
                  <w:pPr>
                    <w:adjustRightInd w:val="0"/>
                    <w:snapToGrid w:val="0"/>
                    <w:jc w:val="center"/>
                    <w:rPr>
                      <w:color w:val="7030A0"/>
                      <w:szCs w:val="21"/>
                    </w:rPr>
                  </w:pPr>
                  <w:r>
                    <w:rPr>
                      <w:rFonts w:hint="eastAsia"/>
                      <w:color w:val="000000" w:themeColor="text1"/>
                      <w:szCs w:val="21"/>
                      <w14:textFill>
                        <w14:solidFill>
                          <w14:schemeClr w14:val="tx1"/>
                        </w14:solidFill>
                      </w14:textFill>
                    </w:rPr>
                    <w:t>贴标、包装</w:t>
                  </w:r>
                </w:p>
              </w:tc>
              <w:tc>
                <w:tcPr>
                  <w:tcW w:w="1416" w:type="dxa"/>
                  <w:vMerge w:val="continue"/>
                  <w:vAlign w:val="center"/>
                </w:tcPr>
                <w:p w14:paraId="75E2601A">
                  <w:pPr>
                    <w:adjustRightInd w:val="0"/>
                    <w:snapToGrid w:val="0"/>
                    <w:jc w:val="center"/>
                    <w:rPr>
                      <w:color w:val="000000" w:themeColor="text1"/>
                      <w:szCs w:val="21"/>
                      <w14:textFill>
                        <w14:solidFill>
                          <w14:schemeClr w14:val="tx1"/>
                        </w14:solidFill>
                      </w14:textFill>
                    </w:rPr>
                  </w:pPr>
                </w:p>
              </w:tc>
              <w:tc>
                <w:tcPr>
                  <w:tcW w:w="1699" w:type="dxa"/>
                  <w:vAlign w:val="center"/>
                </w:tcPr>
                <w:p w14:paraId="088DBC5C">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废包</w:t>
                  </w:r>
                  <w:r>
                    <w:rPr>
                      <w:rFonts w:hint="eastAsia"/>
                      <w:color w:val="000000" w:themeColor="text1"/>
                      <w:szCs w:val="21"/>
                      <w14:textFill>
                        <w14:solidFill>
                          <w14:schemeClr w14:val="tx1"/>
                        </w14:solidFill>
                      </w14:textFill>
                    </w:rPr>
                    <w:t>废物</w:t>
                  </w:r>
                </w:p>
              </w:tc>
              <w:tc>
                <w:tcPr>
                  <w:tcW w:w="2337" w:type="dxa"/>
                  <w:vMerge w:val="continue"/>
                  <w:vAlign w:val="center"/>
                </w:tcPr>
                <w:p w14:paraId="407FD317">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p>
              </w:tc>
            </w:tr>
            <w:tr w14:paraId="661C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Merge w:val="continue"/>
                  <w:vAlign w:val="center"/>
                </w:tcPr>
                <w:p w14:paraId="487D5897">
                  <w:pPr>
                    <w:adjustRightInd w:val="0"/>
                    <w:snapToGrid w:val="0"/>
                    <w:jc w:val="center"/>
                    <w:rPr>
                      <w:color w:val="000000" w:themeColor="text1"/>
                      <w:szCs w:val="21"/>
                      <w14:textFill>
                        <w14:solidFill>
                          <w14:schemeClr w14:val="tx1"/>
                        </w14:solidFill>
                      </w14:textFill>
                    </w:rPr>
                  </w:pPr>
                </w:p>
              </w:tc>
              <w:tc>
                <w:tcPr>
                  <w:tcW w:w="1416" w:type="dxa"/>
                  <w:vAlign w:val="center"/>
                </w:tcPr>
                <w:p w14:paraId="0BBC73A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991" w:type="dxa"/>
                  <w:vAlign w:val="center"/>
                </w:tcPr>
                <w:p w14:paraId="57AE5DA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办公生活</w:t>
                  </w:r>
                </w:p>
              </w:tc>
              <w:tc>
                <w:tcPr>
                  <w:tcW w:w="1416" w:type="dxa"/>
                  <w:vAlign w:val="center"/>
                </w:tcPr>
                <w:p w14:paraId="574BDD8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1699" w:type="dxa"/>
                  <w:vAlign w:val="center"/>
                </w:tcPr>
                <w:p w14:paraId="147D982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2337" w:type="dxa"/>
                  <w:vAlign w:val="center"/>
                </w:tcPr>
                <w:p w14:paraId="3142AE1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交由环卫部门统一清运</w:t>
                  </w:r>
                </w:p>
              </w:tc>
            </w:tr>
            <w:tr w14:paraId="6BF2F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vAlign w:val="center"/>
                </w:tcPr>
                <w:p w14:paraId="6F94D9E9">
                  <w:pPr>
                    <w:adjustRightInd w:val="0"/>
                    <w:snapToGrid w:val="0"/>
                    <w:jc w:val="center"/>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噪声</w:t>
                  </w:r>
                </w:p>
              </w:tc>
              <w:tc>
                <w:tcPr>
                  <w:tcW w:w="5522" w:type="dxa"/>
                  <w:gridSpan w:val="4"/>
                  <w:vAlign w:val="center"/>
                </w:tcPr>
                <w:p w14:paraId="3C78BB6D">
                  <w:pPr>
                    <w:adjustRightInd w:val="0"/>
                    <w:snapToGrid w:val="0"/>
                    <w:jc w:val="center"/>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主要噪声源为生产设备，连续排放。</w:t>
                  </w:r>
                </w:p>
              </w:tc>
              <w:tc>
                <w:tcPr>
                  <w:tcW w:w="2337" w:type="dxa"/>
                  <w:vAlign w:val="center"/>
                </w:tcPr>
                <w:p w14:paraId="7EBB212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合理布局、利用墙体隔声和控制经营作业时间等</w:t>
                  </w:r>
                </w:p>
              </w:tc>
            </w:tr>
          </w:tbl>
          <w:p w14:paraId="0CE0F703">
            <w:pPr>
              <w:pStyle w:val="2"/>
              <w:rPr>
                <w:color w:val="000000" w:themeColor="text1"/>
                <w14:textFill>
                  <w14:solidFill>
                    <w14:schemeClr w14:val="tx1"/>
                  </w14:solidFill>
                </w14:textFill>
              </w:rPr>
            </w:pPr>
          </w:p>
        </w:tc>
      </w:tr>
      <w:tr w14:paraId="08DC8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323" w:hRule="atLeast"/>
          <w:jc w:val="center"/>
        </w:trPr>
        <w:tc>
          <w:tcPr>
            <w:tcW w:w="699" w:type="dxa"/>
            <w:vAlign w:val="center"/>
          </w:tcPr>
          <w:p w14:paraId="60A3D129">
            <w:pPr>
              <w:pStyle w:val="35"/>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与项目有关的原有环境污染问题</w:t>
            </w:r>
          </w:p>
        </w:tc>
        <w:tc>
          <w:tcPr>
            <w:tcW w:w="8285" w:type="dxa"/>
            <w:vAlign w:val="center"/>
          </w:tcPr>
          <w:p w14:paraId="079C0E47">
            <w:pPr>
              <w:spacing w:line="360" w:lineRule="auto"/>
              <w:ind w:firstLine="480" w:firstLineChars="200"/>
              <w:jc w:val="center"/>
              <w:rPr>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本项目属于新建项目，不存在原有环境污染问题。</w:t>
            </w:r>
          </w:p>
        </w:tc>
      </w:tr>
    </w:tbl>
    <w:p w14:paraId="0E5B1F15">
      <w:pPr>
        <w:jc w:val="center"/>
        <w:rPr>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14:paraId="58C423BF">
      <w:pPr>
        <w:jc w:val="center"/>
        <w:outlineLvl w:val="0"/>
        <w:rPr>
          <w:rFonts w:hint="eastAsia"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三</w:t>
      </w:r>
      <w:r>
        <w:rPr>
          <w:rFonts w:ascii="黑体" w:hAnsi="黑体" w:eastAsia="黑体"/>
          <w:color w:val="000000" w:themeColor="text1"/>
          <w:sz w:val="30"/>
          <w14:textFill>
            <w14:solidFill>
              <w14:schemeClr w14:val="tx1"/>
            </w14:solidFill>
          </w14:textFill>
        </w:rPr>
        <w:t>、区域环境质量现状、环境保护目标及评价标准</w:t>
      </w:r>
    </w:p>
    <w:tbl>
      <w:tblPr>
        <w:tblStyle w:val="40"/>
        <w:tblpPr w:leftFromText="180" w:rightFromText="180" w:vertAnchor="text" w:tblpXSpec="center" w:tblpY="1"/>
        <w:tblOverlap w:val="never"/>
        <w:tblW w:w="904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57" w:type="dxa"/>
          <w:bottom w:w="57" w:type="dxa"/>
          <w:right w:w="57" w:type="dxa"/>
        </w:tblCellMar>
      </w:tblPr>
      <w:tblGrid>
        <w:gridCol w:w="624"/>
        <w:gridCol w:w="8424"/>
      </w:tblGrid>
      <w:tr w14:paraId="7CB674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1230" w:hRule="atLeast"/>
        </w:trPr>
        <w:tc>
          <w:tcPr>
            <w:tcW w:w="624" w:type="dxa"/>
            <w:vAlign w:val="center"/>
          </w:tcPr>
          <w:p w14:paraId="779C3C49">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区域</w:t>
            </w:r>
          </w:p>
          <w:p w14:paraId="3FC1BDEC">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环境</w:t>
            </w:r>
          </w:p>
          <w:p w14:paraId="069FD4E3">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质量</w:t>
            </w:r>
          </w:p>
          <w:p w14:paraId="3CB6CD40">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现状</w:t>
            </w:r>
          </w:p>
        </w:tc>
        <w:tc>
          <w:tcPr>
            <w:tcW w:w="8424" w:type="dxa"/>
            <w:vAlign w:val="center"/>
          </w:tcPr>
          <w:p w14:paraId="2BDF24E6">
            <w:pPr>
              <w:pStyle w:val="6"/>
              <w:numPr>
                <w:ilvl w:val="0"/>
                <w:numId w:val="10"/>
              </w:numPr>
              <w:spacing w:before="0" w:after="0" w:line="360" w:lineRule="auto"/>
              <w:ind w:left="0" w:firstLine="586"/>
              <w:rPr>
                <w:rFonts w:ascii="Times New Roman" w:hAnsi="Times New Roman" w:eastAsia="宋体"/>
                <w:color w:val="000000"/>
                <w:sz w:val="24"/>
                <w:szCs w:val="24"/>
              </w:rPr>
            </w:pPr>
            <w:r>
              <w:rPr>
                <w:rFonts w:ascii="Times New Roman" w:hAnsi="Times New Roman" w:eastAsia="宋体"/>
                <w:color w:val="000000"/>
                <w:sz w:val="24"/>
                <w:szCs w:val="24"/>
              </w:rPr>
              <w:t>环境空气质量现状</w:t>
            </w:r>
          </w:p>
          <w:p w14:paraId="2A9750DD">
            <w:pPr>
              <w:tabs>
                <w:tab w:val="left" w:pos="312"/>
              </w:tabs>
              <w:spacing w:line="360" w:lineRule="auto"/>
              <w:ind w:firstLine="482" w:firstLineChars="200"/>
              <w:rPr>
                <w:b/>
                <w:bCs/>
                <w:color w:val="000000"/>
                <w:sz w:val="24"/>
              </w:rPr>
            </w:pPr>
            <w:r>
              <w:rPr>
                <w:b/>
                <w:bCs/>
                <w:color w:val="000000"/>
                <w:sz w:val="24"/>
              </w:rPr>
              <w:t>（1）区域环境空气质量达标情况</w:t>
            </w:r>
          </w:p>
          <w:p w14:paraId="0A0608CD">
            <w:pPr>
              <w:pStyle w:val="35"/>
              <w:shd w:val="clear" w:color="auto" w:fill="FFFFFF"/>
              <w:spacing w:before="0" w:beforeAutospacing="0" w:after="0" w:afterAutospacing="0" w:line="360" w:lineRule="auto"/>
              <w:ind w:firstLine="48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szCs w:val="21"/>
              </w:rPr>
              <w:t>项</w:t>
            </w:r>
            <w:r>
              <w:rPr>
                <w:rFonts w:ascii="Times New Roman" w:hAnsi="Times New Roman"/>
                <w:color w:val="000000" w:themeColor="text1"/>
                <w:szCs w:val="21"/>
                <w14:textFill>
                  <w14:solidFill>
                    <w14:schemeClr w14:val="tx1"/>
                  </w14:solidFill>
                </w14:textFill>
              </w:rPr>
              <w:t>目位于博罗县</w:t>
            </w:r>
            <w:r>
              <w:rPr>
                <w:rFonts w:hint="eastAsia" w:ascii="Times New Roman" w:hAnsi="Times New Roman"/>
                <w:color w:val="000000" w:themeColor="text1"/>
                <w:szCs w:val="21"/>
                <w14:textFill>
                  <w14:solidFill>
                    <w14:schemeClr w14:val="tx1"/>
                  </w14:solidFill>
                </w14:textFill>
              </w:rPr>
              <w:t>长宁</w:t>
            </w:r>
            <w:r>
              <w:rPr>
                <w:rFonts w:ascii="Times New Roman" w:hAnsi="Times New Roman"/>
                <w:color w:val="000000" w:themeColor="text1"/>
                <w:szCs w:val="21"/>
                <w14:textFill>
                  <w14:solidFill>
                    <w14:schemeClr w14:val="tx1"/>
                  </w14:solidFill>
                </w14:textFill>
              </w:rPr>
              <w:t>镇福田，</w:t>
            </w:r>
            <w:r>
              <w:rPr>
                <w:color w:val="000000" w:themeColor="text1"/>
                <w14:textFill>
                  <w14:solidFill>
                    <w14:schemeClr w14:val="tx1"/>
                  </w14:solidFill>
                </w14:textFill>
              </w:rPr>
              <w:t>根</w:t>
            </w:r>
            <w:r>
              <w:rPr>
                <w:rFonts w:ascii="Times New Roman" w:hAnsi="Times New Roman"/>
                <w:color w:val="000000" w:themeColor="text1"/>
                <w14:textFill>
                  <w14:solidFill>
                    <w14:schemeClr w14:val="tx1"/>
                  </w14:solidFill>
                </w14:textFill>
              </w:rPr>
              <w:t>据《惠州市环境空气质量功能区划分方案》（2024年修订）（惠市环</w:t>
            </w:r>
            <w:r>
              <w:rPr>
                <w:rFonts w:hint="eastAsia"/>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2024</w:t>
            </w:r>
            <w:r>
              <w:rPr>
                <w:rFonts w:hint="eastAsia"/>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16号）</w:t>
            </w:r>
            <w:r>
              <w:rPr>
                <w:rFonts w:hint="eastAsia" w:ascii="Times New Roman" w:hAnsi="Times New Roman"/>
                <w:color w:val="000000" w:themeColor="text1"/>
                <w14:textFill>
                  <w14:solidFill>
                    <w14:schemeClr w14:val="tx1"/>
                  </w14:solidFill>
                </w14:textFill>
              </w:rPr>
              <w:t>（详见附图8）</w:t>
            </w:r>
            <w:r>
              <w:rPr>
                <w:color w:val="000000" w:themeColor="text1"/>
                <w14:textFill>
                  <w14:solidFill>
                    <w14:schemeClr w14:val="tx1"/>
                  </w14:solidFill>
                </w14:textFill>
              </w:rPr>
              <w:t>，</w:t>
            </w:r>
            <w:r>
              <w:rPr>
                <w:rFonts w:ascii="Times New Roman" w:hAnsi="Times New Roman"/>
                <w:color w:val="000000" w:themeColor="text1"/>
                <w:szCs w:val="21"/>
                <w14:textFill>
                  <w14:solidFill>
                    <w14:schemeClr w14:val="tx1"/>
                  </w14:solidFill>
                </w14:textFill>
              </w:rPr>
              <w:t>本项目所在区域属二类功能区，执行《环境空气质量标准》（GB3095-2012）二级标准及其修改单的相关规定。</w:t>
            </w:r>
          </w:p>
          <w:p w14:paraId="13C0907B">
            <w:pPr>
              <w:pStyle w:val="22"/>
              <w:autoSpaceDE w:val="0"/>
              <w:ind w:firstLine="48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根据202</w:t>
            </w:r>
            <w:r>
              <w:rPr>
                <w:rFonts w:hint="eastAsia" w:ascii="Times New Roman" w:hAnsi="Times New Roman"/>
                <w:color w:val="000000" w:themeColor="text1"/>
                <w:sz w:val="24"/>
                <w:szCs w:val="24"/>
                <w14:textFill>
                  <w14:solidFill>
                    <w14:schemeClr w14:val="tx1"/>
                  </w14:solidFill>
                </w14:textFill>
              </w:rPr>
              <w:t>4</w:t>
            </w:r>
            <w:r>
              <w:rPr>
                <w:rFonts w:ascii="Times New Roman" w:hAnsi="Times New Roman"/>
                <w:color w:val="000000" w:themeColor="text1"/>
                <w:sz w:val="24"/>
                <w:szCs w:val="24"/>
                <w14:textFill>
                  <w14:solidFill>
                    <w14:schemeClr w14:val="tx1"/>
                  </w14:solidFill>
                </w14:textFill>
              </w:rPr>
              <w:t>年惠州市生态环境状况公报：</w:t>
            </w:r>
          </w:p>
          <w:p w14:paraId="5D73687E">
            <w:pPr>
              <w:pStyle w:val="35"/>
              <w:shd w:val="clear" w:color="auto" w:fill="FFFFFF"/>
              <w:spacing w:before="0" w:beforeAutospacing="0" w:after="0" w:afterAutospacing="0" w:line="360" w:lineRule="auto"/>
              <w:ind w:firstLine="482" w:firstLineChars="200"/>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14:textFill>
                  <w14:solidFill>
                    <w14:schemeClr w14:val="tx1"/>
                  </w14:solidFill>
                </w14:textFill>
              </w:rPr>
              <w:t>市区空气质量：</w:t>
            </w:r>
            <w:r>
              <w:rPr>
                <w:rFonts w:hint="eastAsia" w:ascii="Times New Roman" w:hAnsi="Times New Roman"/>
                <w:color w:val="000000" w:themeColor="text1"/>
                <w:szCs w:val="21"/>
                <w14:textFill>
                  <w14:solidFill>
                    <w14:schemeClr w14:val="tx1"/>
                  </w14:solidFill>
                </w14:textFill>
              </w:rPr>
              <w:t>2024年，惠州市环境空气质量优良。六项污染物年评价浓度均达标，其中，二氧化硫、 二氧化氮、一氧化碳和可吸入颗粒物PM</w:t>
            </w:r>
            <w:r>
              <w:rPr>
                <w:rFonts w:hint="eastAsia" w:ascii="Times New Roman" w:hAnsi="Times New Roman"/>
                <w:color w:val="000000" w:themeColor="text1"/>
                <w:szCs w:val="21"/>
                <w:vertAlign w:val="subscript"/>
                <w14:textFill>
                  <w14:solidFill>
                    <w14:schemeClr w14:val="tx1"/>
                  </w14:solidFill>
                </w14:textFill>
              </w:rPr>
              <w:t>10</w:t>
            </w:r>
            <w:r>
              <w:rPr>
                <w:rFonts w:hint="eastAsia" w:ascii="Times New Roman" w:hAnsi="Times New Roman"/>
                <w:color w:val="000000" w:themeColor="text1"/>
                <w:szCs w:val="21"/>
                <w14:textFill>
                  <w14:solidFill>
                    <w14:schemeClr w14:val="tx1"/>
                  </w14:solidFill>
                </w14:textFill>
              </w:rPr>
              <w:t>年评价浓度达到国家一级标准；细颗粒物PM</w:t>
            </w:r>
            <w:r>
              <w:rPr>
                <w:rFonts w:hint="eastAsia" w:ascii="Times New Roman" w:hAnsi="Times New Roman"/>
                <w:color w:val="000000" w:themeColor="text1"/>
                <w:szCs w:val="21"/>
                <w:vertAlign w:val="subscript"/>
                <w14:textFill>
                  <w14:solidFill>
                    <w14:schemeClr w14:val="tx1"/>
                  </w14:solidFill>
                </w14:textFill>
              </w:rPr>
              <w:t>2.5</w:t>
            </w:r>
            <w:r>
              <w:rPr>
                <w:rFonts w:hint="eastAsia" w:ascii="Times New Roman" w:hAnsi="Times New Roman"/>
                <w:color w:val="000000" w:themeColor="text1"/>
                <w:szCs w:val="21"/>
                <w14:textFill>
                  <w14:solidFill>
                    <w14:schemeClr w14:val="tx1"/>
                  </w14:solidFill>
                </w14:textFill>
              </w:rPr>
              <w:t>和臭氧年评价浓度达到国家二级标准。综合指数为2.48，AQI达标率为95.9%，其中，优224天，良127天，轻度污染15天，无中度及以上污染，超标污染物为臭氧。</w:t>
            </w:r>
          </w:p>
          <w:p w14:paraId="2F7C9140">
            <w:pPr>
              <w:pStyle w:val="35"/>
              <w:shd w:val="clear" w:color="auto" w:fill="FFFFFF"/>
              <w:spacing w:before="0" w:beforeAutospacing="0" w:after="0" w:afterAutospacing="0" w:line="360" w:lineRule="auto"/>
              <w:ind w:firstLine="480" w:firstLineChars="20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与2023年相比，综合指数改善3.1%，AQI达标率下降2.5个百分点，可吸入颗粒物PM</w:t>
            </w:r>
            <w:r>
              <w:rPr>
                <w:rFonts w:hint="eastAsia" w:ascii="Times New Roman" w:hAnsi="Times New Roman"/>
                <w:color w:val="000000" w:themeColor="text1"/>
                <w:szCs w:val="21"/>
                <w:vertAlign w:val="subscript"/>
                <w14:textFill>
                  <w14:solidFill>
                    <w14:schemeClr w14:val="tx1"/>
                  </w14:solidFill>
                </w14:textFill>
              </w:rPr>
              <w:t>10</w:t>
            </w:r>
            <w:r>
              <w:rPr>
                <w:rFonts w:hint="eastAsia" w:ascii="Times New Roman" w:hAnsi="Times New Roman"/>
                <w:color w:val="000000" w:themeColor="text1"/>
                <w:szCs w:val="21"/>
                <w14:textFill>
                  <w14:solidFill>
                    <w14:schemeClr w14:val="tx1"/>
                  </w14:solidFill>
                </w14:textFill>
              </w:rPr>
              <w:t>、细颗粒物PM</w:t>
            </w:r>
            <w:r>
              <w:rPr>
                <w:rFonts w:hint="eastAsia" w:ascii="Times New Roman" w:hAnsi="Times New Roman"/>
                <w:color w:val="000000" w:themeColor="text1"/>
                <w:szCs w:val="21"/>
                <w:vertAlign w:val="subscript"/>
                <w14:textFill>
                  <w14:solidFill>
                    <w14:schemeClr w14:val="tx1"/>
                  </w14:solidFill>
                </w14:textFill>
              </w:rPr>
              <w:t>2.5</w:t>
            </w:r>
            <w:r>
              <w:rPr>
                <w:rFonts w:hint="eastAsia" w:ascii="Times New Roman" w:hAnsi="Times New Roman"/>
                <w:color w:val="000000" w:themeColor="text1"/>
                <w:szCs w:val="21"/>
                <w14:textFill>
                  <w14:solidFill>
                    <w14:schemeClr w14:val="tx1"/>
                  </w14:solidFill>
                </w14:textFill>
              </w:rPr>
              <w:t>、二氧化氮分别改善11.1%、5.3%、12.5%，一氧化碳和二氧化硫持平，臭氧上升6.2%。</w:t>
            </w:r>
          </w:p>
          <w:p w14:paraId="58DD182B">
            <w:pPr>
              <w:spacing w:line="360" w:lineRule="auto"/>
              <w:ind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各县（区）空气质量：</w:t>
            </w:r>
            <w:r>
              <w:rPr>
                <w:rFonts w:hint="eastAsia"/>
                <w:color w:val="000000" w:themeColor="text1"/>
                <w:sz w:val="24"/>
                <w14:textFill>
                  <w14:solidFill>
                    <w14:schemeClr w14:val="tx1"/>
                  </w14:solidFill>
                </w14:textFill>
              </w:rPr>
              <w:t>2024年，各县区环境空气质量总体优良。六项污染物年评价浓度均达标，综合指数1.88（龙门县）～2.57（惠阳区），AQI达标率96.2%（惠阳区）～100%（龙门县），超标污染物均为臭氧。与2023年相比，各县区空气质量综合指数均有所改善，改善幅度为0.8%～8.7%。</w:t>
            </w:r>
          </w:p>
          <w:p w14:paraId="34F5143F">
            <w:pPr>
              <w:widowControl/>
              <w:shd w:val="clear" w:color="auto" w:fill="FFFFFF"/>
              <w:spacing w:line="360" w:lineRule="auto"/>
              <w:ind w:firstLine="482" w:firstLineChars="200"/>
              <w:jc w:val="left"/>
              <w:rPr>
                <w:color w:val="000000" w:themeColor="text1"/>
                <w:sz w:val="24"/>
                <w14:textFill>
                  <w14:solidFill>
                    <w14:schemeClr w14:val="tx1"/>
                  </w14:solidFill>
                </w14:textFill>
              </w:rPr>
            </w:pPr>
            <w:r>
              <w:rPr>
                <w:b/>
                <w:bCs/>
                <w:color w:val="000000" w:themeColor="text1"/>
                <w:sz w:val="24"/>
                <w14:textFill>
                  <w14:solidFill>
                    <w14:schemeClr w14:val="tx1"/>
                  </w14:solidFill>
                </w14:textFill>
              </w:rPr>
              <w:t>城市降水：</w:t>
            </w:r>
            <w:r>
              <w:rPr>
                <w:rFonts w:hint="eastAsia"/>
                <w:color w:val="000000" w:themeColor="text1"/>
                <w:sz w:val="24"/>
                <w14:textFill>
                  <w14:solidFill>
                    <w14:schemeClr w14:val="tx1"/>
                  </w14:solidFill>
                </w14:textFill>
              </w:rPr>
              <w:t>2024年，惠州市年降水pH均值为5.71，pH值范围在4.50～6.80之间；酸雨频率为12.4%；不属于重酸雨地区（pH均值＜4.50或4.50≤pH均值＜5.00且酸雨频率＞50.0%）。与2023年相比，年降水pH值下降0.14个pH单位，酸雨频率上升3.9个百分点，降水质量状况略有变差。</w:t>
            </w:r>
          </w:p>
          <w:p w14:paraId="39167A92">
            <w:pPr>
              <w:widowControl/>
              <w:shd w:val="clear" w:color="auto" w:fill="FFFFFF"/>
              <w:spacing w:line="360" w:lineRule="auto"/>
              <w:ind w:firstLine="480" w:firstLineChars="200"/>
              <w:jc w:val="left"/>
              <w:rPr>
                <w:color w:val="000000"/>
                <w:sz w:val="24"/>
              </w:rPr>
            </w:pPr>
            <w:r>
              <w:rPr>
                <w:color w:val="000000"/>
                <w:sz w:val="24"/>
              </w:rPr>
              <w:t>因此项目所在区域属于空气环境达标区。</w:t>
            </w:r>
          </w:p>
          <w:p w14:paraId="2E690A08">
            <w:pPr>
              <w:pStyle w:val="168"/>
              <w:jc w:val="center"/>
              <w:rPr>
                <w:rFonts w:ascii="Times New Roman" w:hAnsi="Times New Roman" w:cs="Times New Roman"/>
                <w:color w:val="000000"/>
              </w:rPr>
            </w:pPr>
            <w:r>
              <w:drawing>
                <wp:inline distT="0" distB="0" distL="0" distR="0">
                  <wp:extent cx="4919980" cy="3623945"/>
                  <wp:effectExtent l="0" t="0" r="0" b="0"/>
                  <wp:docPr id="132077423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774233" name="图片 8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919980" cy="3623945"/>
                          </a:xfrm>
                          <a:prstGeom prst="rect">
                            <a:avLst/>
                          </a:prstGeom>
                          <a:noFill/>
                          <a:ln>
                            <a:noFill/>
                          </a:ln>
                        </pic:spPr>
                      </pic:pic>
                    </a:graphicData>
                  </a:graphic>
                </wp:inline>
              </w:drawing>
            </w:r>
          </w:p>
          <w:p w14:paraId="6114F4BA">
            <w:pPr>
              <w:pStyle w:val="168"/>
              <w:numPr>
                <w:ilvl w:val="0"/>
                <w:numId w:val="8"/>
              </w:numPr>
              <w:spacing w:before="156" w:beforeLines="50" w:after="156" w:afterLines="50"/>
              <w:ind w:left="0" w:firstLine="0"/>
              <w:jc w:val="center"/>
              <w:rPr>
                <w:rFonts w:ascii="Times New Roman" w:hAnsi="Times New Roman" w:cs="Times New Roman"/>
                <w:b/>
                <w:color w:val="000000" w:themeColor="text1"/>
                <w:sz w:val="21"/>
                <w14:textFill>
                  <w14:solidFill>
                    <w14:schemeClr w14:val="tx1"/>
                  </w14:solidFill>
                </w14:textFill>
              </w:rPr>
            </w:pPr>
            <w:r>
              <w:rPr>
                <w:rFonts w:ascii="Times New Roman" w:hAnsi="Times New Roman" w:cs="Times New Roman"/>
                <w:b/>
                <w:color w:val="000000" w:themeColor="text1"/>
                <w:sz w:val="21"/>
                <w14:textFill>
                  <w14:solidFill>
                    <w14:schemeClr w14:val="tx1"/>
                  </w14:solidFill>
                </w14:textFill>
              </w:rPr>
              <w:t xml:space="preserve"> 202</w:t>
            </w:r>
            <w:r>
              <w:rPr>
                <w:rFonts w:hint="eastAsia" w:ascii="Times New Roman" w:hAnsi="Times New Roman" w:cs="Times New Roman"/>
                <w:b/>
                <w:color w:val="000000" w:themeColor="text1"/>
                <w:sz w:val="21"/>
                <w14:textFill>
                  <w14:solidFill>
                    <w14:schemeClr w14:val="tx1"/>
                  </w14:solidFill>
                </w14:textFill>
              </w:rPr>
              <w:t>4</w:t>
            </w:r>
            <w:r>
              <w:rPr>
                <w:rFonts w:ascii="Times New Roman" w:hAnsi="Times New Roman" w:cs="Times New Roman"/>
                <w:b/>
                <w:color w:val="000000" w:themeColor="text1"/>
                <w:sz w:val="21"/>
                <w14:textFill>
                  <w14:solidFill>
                    <w14:schemeClr w14:val="tx1"/>
                  </w14:solidFill>
                </w14:textFill>
              </w:rPr>
              <w:t>年惠州市环境质量状况公报截图</w:t>
            </w:r>
          </w:p>
          <w:p w14:paraId="7BFD7C93">
            <w:pPr>
              <w:tabs>
                <w:tab w:val="left" w:pos="312"/>
              </w:tabs>
              <w:spacing w:line="360" w:lineRule="auto"/>
              <w:ind w:firstLine="482" w:firstLineChars="200"/>
              <w:rPr>
                <w:b/>
                <w:bCs/>
                <w:color w:val="000000"/>
              </w:rPr>
            </w:pPr>
            <w:r>
              <w:rPr>
                <w:b/>
                <w:bCs/>
                <w:color w:val="000000"/>
                <w:sz w:val="24"/>
              </w:rPr>
              <w:t>（2）特征污染物监测情况</w:t>
            </w:r>
          </w:p>
          <w:p w14:paraId="2E12F0CA">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本次评价引用广东中诺国际检测认证有限公司于2023年7月28日~8月3日对舟拓多层（惠州）科技有限公司周边环境进行监测的数据（报告编号：CNT202302905，详见附件7</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）。引用的监测点位为A2荔枝墩村，位于本项目</w:t>
            </w:r>
            <w:r>
              <w:rPr>
                <w:rFonts w:hint="eastAsia"/>
                <w:color w:val="000000" w:themeColor="text1"/>
                <w:sz w:val="24"/>
                <w14:textFill>
                  <w14:solidFill>
                    <w14:schemeClr w14:val="tx1"/>
                  </w14:solidFill>
                </w14:textFill>
              </w:rPr>
              <w:t>西北</w:t>
            </w:r>
            <w:r>
              <w:rPr>
                <w:color w:val="000000" w:themeColor="text1"/>
                <w:sz w:val="24"/>
                <w14:textFill>
                  <w14:solidFill>
                    <w14:schemeClr w14:val="tx1"/>
                  </w14:solidFill>
                </w14:textFill>
              </w:rPr>
              <w:t>面</w:t>
            </w:r>
            <w:r>
              <w:rPr>
                <w:rFonts w:hint="eastAsia"/>
                <w:color w:val="000000" w:themeColor="text1"/>
                <w:sz w:val="24"/>
                <w14:textFill>
                  <w14:solidFill>
                    <w14:schemeClr w14:val="tx1"/>
                  </w14:solidFill>
                </w14:textFill>
              </w:rPr>
              <w:t>约0.87</w:t>
            </w:r>
            <w:r>
              <w:rPr>
                <w:color w:val="000000" w:themeColor="text1"/>
                <w:sz w:val="24"/>
                <w14:textFill>
                  <w14:solidFill>
                    <w14:schemeClr w14:val="tx1"/>
                  </w14:solidFill>
                </w14:textFill>
              </w:rPr>
              <w:t>km处，检测数据未超过3年，监测至今项目区域内无新增重大污染源情况，引用的检测数据具有代表性。监测结果见下表，监测点位见附图7</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w:t>
            </w:r>
          </w:p>
          <w:p w14:paraId="27AC506C">
            <w:pPr>
              <w:adjustRightInd w:val="0"/>
              <w:spacing w:line="360" w:lineRule="auto"/>
              <w:jc w:val="center"/>
              <w:textAlignment w:val="baseline"/>
              <w:rPr>
                <w:b/>
                <w:kern w:val="0"/>
                <w:szCs w:val="21"/>
              </w:rPr>
            </w:pPr>
            <w:r>
              <w:rPr>
                <w:b/>
                <w:kern w:val="0"/>
                <w:szCs w:val="21"/>
              </w:rPr>
              <w:t>表</w:t>
            </w:r>
            <w:r>
              <w:rPr>
                <w:rFonts w:hint="eastAsia"/>
                <w:b/>
                <w:kern w:val="0"/>
                <w:szCs w:val="21"/>
              </w:rPr>
              <w:t>3-1</w:t>
            </w:r>
            <w:r>
              <w:rPr>
                <w:b/>
                <w:kern w:val="0"/>
                <w:szCs w:val="21"/>
              </w:rPr>
              <w:t>环境质量现状（监测结果）表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289"/>
              <w:gridCol w:w="1033"/>
              <w:gridCol w:w="1222"/>
              <w:gridCol w:w="574"/>
              <w:gridCol w:w="1341"/>
              <w:gridCol w:w="1481"/>
              <w:gridCol w:w="523"/>
              <w:gridCol w:w="837"/>
            </w:tblGrid>
            <w:tr w14:paraId="0B810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trPr>
              <w:tc>
                <w:tcPr>
                  <w:tcW w:w="1289" w:type="dxa"/>
                  <w:vAlign w:val="center"/>
                </w:tcPr>
                <w:p w14:paraId="18960D50">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监测点位</w:t>
                  </w:r>
                </w:p>
              </w:tc>
              <w:tc>
                <w:tcPr>
                  <w:tcW w:w="1033" w:type="dxa"/>
                  <w:vAlign w:val="center"/>
                </w:tcPr>
                <w:p w14:paraId="4F8973E1">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污染物</w:t>
                  </w:r>
                </w:p>
              </w:tc>
              <w:tc>
                <w:tcPr>
                  <w:tcW w:w="1222" w:type="dxa"/>
                  <w:vAlign w:val="center"/>
                </w:tcPr>
                <w:p w14:paraId="672F52F5">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监测日期</w:t>
                  </w:r>
                </w:p>
              </w:tc>
              <w:tc>
                <w:tcPr>
                  <w:tcW w:w="574" w:type="dxa"/>
                  <w:vAlign w:val="center"/>
                </w:tcPr>
                <w:p w14:paraId="1D8E6124">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平均时间</w:t>
                  </w:r>
                </w:p>
              </w:tc>
              <w:tc>
                <w:tcPr>
                  <w:tcW w:w="1341" w:type="dxa"/>
                  <w:vAlign w:val="center"/>
                </w:tcPr>
                <w:p w14:paraId="7A315746">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评价标准/</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μg/m</w:t>
                  </w:r>
                  <w:r>
                    <w:rPr>
                      <w:rFonts w:ascii="Times New Roman" w:hAnsi="Times New Roman"/>
                      <w:b/>
                      <w:bCs/>
                      <w:color w:val="000000" w:themeColor="text1"/>
                      <w:sz w:val="21"/>
                      <w:szCs w:val="21"/>
                      <w:vertAlign w:val="superscript"/>
                      <w14:textFill>
                        <w14:solidFill>
                          <w14:schemeClr w14:val="tx1"/>
                        </w14:solidFill>
                      </w14:textFill>
                    </w:rPr>
                    <w:t>3</w:t>
                  </w:r>
                  <w:r>
                    <w:rPr>
                      <w:rFonts w:hint="eastAsia" w:ascii="Times New Roman" w:hAnsi="Times New Roman"/>
                      <w:b/>
                      <w:bCs/>
                      <w:color w:val="000000" w:themeColor="text1"/>
                      <w:sz w:val="21"/>
                      <w:szCs w:val="21"/>
                      <w14:textFill>
                        <w14:solidFill>
                          <w14:schemeClr w14:val="tx1"/>
                        </w14:solidFill>
                      </w14:textFill>
                    </w:rPr>
                    <w:t>）</w:t>
                  </w:r>
                </w:p>
              </w:tc>
              <w:tc>
                <w:tcPr>
                  <w:tcW w:w="1481" w:type="dxa"/>
                  <w:vAlign w:val="center"/>
                </w:tcPr>
                <w:p w14:paraId="51EE1748">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监测浓度范围</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μg/m</w:t>
                  </w:r>
                  <w:r>
                    <w:rPr>
                      <w:rFonts w:ascii="Times New Roman" w:hAnsi="Times New Roman"/>
                      <w:b/>
                      <w:bCs/>
                      <w:color w:val="000000" w:themeColor="text1"/>
                      <w:sz w:val="21"/>
                      <w:szCs w:val="21"/>
                      <w:vertAlign w:val="superscript"/>
                      <w14:textFill>
                        <w14:solidFill>
                          <w14:schemeClr w14:val="tx1"/>
                        </w14:solidFill>
                      </w14:textFill>
                    </w:rPr>
                    <w:t>3</w:t>
                  </w:r>
                  <w:r>
                    <w:rPr>
                      <w:rFonts w:hint="eastAsia" w:ascii="Times New Roman" w:hAnsi="Times New Roman"/>
                      <w:b/>
                      <w:bCs/>
                      <w:color w:val="000000" w:themeColor="text1"/>
                      <w:sz w:val="21"/>
                      <w:szCs w:val="21"/>
                      <w14:textFill>
                        <w14:solidFill>
                          <w14:schemeClr w14:val="tx1"/>
                        </w14:solidFill>
                      </w14:textFill>
                    </w:rPr>
                    <w:t>)</w:t>
                  </w:r>
                </w:p>
              </w:tc>
              <w:tc>
                <w:tcPr>
                  <w:tcW w:w="523" w:type="dxa"/>
                  <w:vAlign w:val="center"/>
                </w:tcPr>
                <w:p w14:paraId="360012ED">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达标情况</w:t>
                  </w:r>
                </w:p>
              </w:tc>
              <w:tc>
                <w:tcPr>
                  <w:tcW w:w="837" w:type="dxa"/>
                  <w:vAlign w:val="center"/>
                </w:tcPr>
                <w:p w14:paraId="3BE2EBE9">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最大占标率%</w:t>
                  </w:r>
                </w:p>
              </w:tc>
            </w:tr>
            <w:tr w14:paraId="5EBA8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47" w:hRule="atLeast"/>
              </w:trPr>
              <w:tc>
                <w:tcPr>
                  <w:tcW w:w="1289" w:type="dxa"/>
                  <w:vMerge w:val="restart"/>
                  <w:vAlign w:val="center"/>
                </w:tcPr>
                <w:p w14:paraId="70DCC48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A2荔枝墩村</w:t>
                  </w:r>
                  <w:r>
                    <w:rPr>
                      <w:rFonts w:ascii="Times New Roman" w:hAnsi="Times New Roman"/>
                      <w:color w:val="000000" w:themeColor="text1"/>
                      <w:sz w:val="21"/>
                      <w:szCs w:val="21"/>
                      <w14:textFill>
                        <w14:solidFill>
                          <w14:schemeClr w14:val="tx1"/>
                        </w14:solidFill>
                      </w14:textFill>
                    </w:rPr>
                    <w:t>（项目</w:t>
                  </w:r>
                  <w:r>
                    <w:rPr>
                      <w:rFonts w:hint="eastAsia" w:ascii="Times New Roman" w:hAnsi="Times New Roman"/>
                      <w:color w:val="000000" w:themeColor="text1"/>
                      <w:sz w:val="21"/>
                      <w:szCs w:val="21"/>
                      <w14:textFill>
                        <w14:solidFill>
                          <w14:schemeClr w14:val="tx1"/>
                        </w14:solidFill>
                      </w14:textFill>
                    </w:rPr>
                    <w:t>西北</w:t>
                  </w:r>
                  <w:r>
                    <w:rPr>
                      <w:rFonts w:ascii="Times New Roman" w:hAnsi="Times New Roman"/>
                      <w:color w:val="000000" w:themeColor="text1"/>
                      <w:sz w:val="21"/>
                      <w:szCs w:val="21"/>
                      <w14:textFill>
                        <w14:solidFill>
                          <w14:schemeClr w14:val="tx1"/>
                        </w14:solidFill>
                      </w14:textFill>
                    </w:rPr>
                    <w:t>面</w:t>
                  </w:r>
                  <w:r>
                    <w:rPr>
                      <w:rFonts w:hint="eastAsia" w:ascii="Times New Roman" w:hAnsi="Times New Roman"/>
                      <w:color w:val="000000" w:themeColor="text1"/>
                      <w:sz w:val="21"/>
                      <w:szCs w:val="21"/>
                      <w14:textFill>
                        <w14:solidFill>
                          <w14:schemeClr w14:val="tx1"/>
                        </w14:solidFill>
                      </w14:textFill>
                    </w:rPr>
                    <w:t>约0.87k</w:t>
                  </w:r>
                  <w:r>
                    <w:rPr>
                      <w:rFonts w:ascii="Times New Roman" w:hAnsi="Times New Roman"/>
                      <w:color w:val="000000" w:themeColor="text1"/>
                      <w:sz w:val="21"/>
                      <w:szCs w:val="21"/>
                      <w14:textFill>
                        <w14:solidFill>
                          <w14:schemeClr w14:val="tx1"/>
                        </w14:solidFill>
                      </w14:textFill>
                    </w:rPr>
                    <w:t>m）</w:t>
                  </w:r>
                </w:p>
              </w:tc>
              <w:tc>
                <w:tcPr>
                  <w:tcW w:w="1033" w:type="dxa"/>
                  <w:vAlign w:val="center"/>
                </w:tcPr>
                <w:p w14:paraId="606BDE08">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TVOC</w:t>
                  </w:r>
                </w:p>
              </w:tc>
              <w:tc>
                <w:tcPr>
                  <w:tcW w:w="1222" w:type="dxa"/>
                  <w:vMerge w:val="restart"/>
                  <w:vAlign w:val="center"/>
                </w:tcPr>
                <w:p w14:paraId="2531D04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2023年7月28日~8月3日</w:t>
                  </w:r>
                </w:p>
              </w:tc>
              <w:tc>
                <w:tcPr>
                  <w:tcW w:w="574" w:type="dxa"/>
                  <w:vAlign w:val="center"/>
                </w:tcPr>
                <w:p w14:paraId="030FA81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8小时平均</w:t>
                  </w:r>
                </w:p>
              </w:tc>
              <w:tc>
                <w:tcPr>
                  <w:tcW w:w="1341" w:type="dxa"/>
                  <w:vAlign w:val="center"/>
                </w:tcPr>
                <w:p w14:paraId="0AB0E0C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600</w:t>
                  </w:r>
                </w:p>
              </w:tc>
              <w:tc>
                <w:tcPr>
                  <w:tcW w:w="1481" w:type="dxa"/>
                  <w:vAlign w:val="center"/>
                </w:tcPr>
                <w:p w14:paraId="3EAB613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52.4~75.2</w:t>
                  </w:r>
                </w:p>
              </w:tc>
              <w:tc>
                <w:tcPr>
                  <w:tcW w:w="523" w:type="dxa"/>
                  <w:vAlign w:val="center"/>
                </w:tcPr>
                <w:p w14:paraId="4FBDA40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达标</w:t>
                  </w:r>
                </w:p>
              </w:tc>
              <w:tc>
                <w:tcPr>
                  <w:tcW w:w="837" w:type="dxa"/>
                  <w:vAlign w:val="center"/>
                </w:tcPr>
                <w:p w14:paraId="3949C94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12.53</w:t>
                  </w:r>
                </w:p>
              </w:tc>
            </w:tr>
            <w:tr w14:paraId="48609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trPr>
              <w:tc>
                <w:tcPr>
                  <w:tcW w:w="1289" w:type="dxa"/>
                  <w:vMerge w:val="continue"/>
                  <w:vAlign w:val="center"/>
                </w:tcPr>
                <w:p w14:paraId="348D284B">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1033" w:type="dxa"/>
                  <w:vAlign w:val="center"/>
                </w:tcPr>
                <w:p w14:paraId="264F902D">
                  <w:pPr>
                    <w:pStyle w:val="145"/>
                    <w:spacing w:line="240" w:lineRule="auto"/>
                    <w:jc w:val="center"/>
                    <w:rPr>
                      <w:rFonts w:ascii="Times New Roman" w:hAnsi="Times New Roman"/>
                      <w:color w:val="7030A0"/>
                      <w:sz w:val="21"/>
                      <w:szCs w:val="21"/>
                    </w:rPr>
                  </w:pPr>
                  <w:r>
                    <w:rPr>
                      <w:rFonts w:ascii="Times New Roman" w:hAnsi="Times New Roman"/>
                      <w:color w:val="000000" w:themeColor="text1"/>
                      <w:sz w:val="21"/>
                      <w:szCs w:val="21"/>
                      <w14:textFill>
                        <w14:solidFill>
                          <w14:schemeClr w14:val="tx1"/>
                        </w14:solidFill>
                      </w14:textFill>
                    </w:rPr>
                    <w:t>TSP</w:t>
                  </w:r>
                </w:p>
              </w:tc>
              <w:tc>
                <w:tcPr>
                  <w:tcW w:w="1222" w:type="dxa"/>
                  <w:vMerge w:val="continue"/>
                  <w:vAlign w:val="center"/>
                </w:tcPr>
                <w:p w14:paraId="555ADA66">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574" w:type="dxa"/>
                  <w:vAlign w:val="center"/>
                </w:tcPr>
                <w:p w14:paraId="197962E8">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 xml:space="preserve">24小时值 </w:t>
                  </w:r>
                </w:p>
              </w:tc>
              <w:tc>
                <w:tcPr>
                  <w:tcW w:w="1341" w:type="dxa"/>
                  <w:vAlign w:val="center"/>
                </w:tcPr>
                <w:p w14:paraId="60D42EA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300</w:t>
                  </w:r>
                </w:p>
              </w:tc>
              <w:tc>
                <w:tcPr>
                  <w:tcW w:w="1481" w:type="dxa"/>
                  <w:vAlign w:val="center"/>
                </w:tcPr>
                <w:p w14:paraId="470F9F3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42~52</w:t>
                  </w:r>
                </w:p>
              </w:tc>
              <w:tc>
                <w:tcPr>
                  <w:tcW w:w="523" w:type="dxa"/>
                  <w:vAlign w:val="center"/>
                </w:tcPr>
                <w:p w14:paraId="3D5C61F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达标</w:t>
                  </w:r>
                </w:p>
              </w:tc>
              <w:tc>
                <w:tcPr>
                  <w:tcW w:w="837" w:type="dxa"/>
                  <w:vAlign w:val="center"/>
                </w:tcPr>
                <w:p w14:paraId="1C2812A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17.33</w:t>
                  </w:r>
                </w:p>
              </w:tc>
            </w:tr>
          </w:tbl>
          <w:p w14:paraId="12CE8BA5">
            <w:pPr>
              <w:spacing w:line="360" w:lineRule="auto"/>
              <w:ind w:firstLine="480" w:firstLineChars="200"/>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监测结果表明，总悬浮颗粒物浓度小于《环境空气质量标准》（</w:t>
            </w:r>
            <w:r>
              <w:rPr>
                <w:color w:val="000000" w:themeColor="text1"/>
                <w:sz w:val="24"/>
                <w14:textFill>
                  <w14:solidFill>
                    <w14:schemeClr w14:val="tx1"/>
                  </w14:solidFill>
                </w14:textFill>
              </w:rPr>
              <w:t>GB3095-2012</w:t>
            </w:r>
            <w:r>
              <w:rPr>
                <w:rFonts w:ascii="宋体" w:hAnsi="宋体"/>
                <w:color w:val="000000" w:themeColor="text1"/>
                <w:sz w:val="24"/>
                <w14:textFill>
                  <w14:solidFill>
                    <w14:schemeClr w14:val="tx1"/>
                  </w14:solidFill>
                </w14:textFill>
              </w:rPr>
              <w:t>）及其修改单的二级标准限值，</w:t>
            </w:r>
            <w:r>
              <w:rPr>
                <w:color w:val="000000" w:themeColor="text1"/>
                <w:sz w:val="24"/>
                <w14:textFill>
                  <w14:solidFill>
                    <w14:schemeClr w14:val="tx1"/>
                  </w14:solidFill>
                </w14:textFill>
              </w:rPr>
              <w:t>TVOC</w:t>
            </w:r>
            <w:r>
              <w:rPr>
                <w:rFonts w:ascii="宋体" w:hAnsi="宋体"/>
                <w:color w:val="000000" w:themeColor="text1"/>
                <w:sz w:val="24"/>
                <w14:textFill>
                  <w14:solidFill>
                    <w14:schemeClr w14:val="tx1"/>
                  </w14:solidFill>
                </w14:textFill>
              </w:rPr>
              <w:t>浓度小于《环境影响评价技术导则 大气环境》（</w:t>
            </w:r>
            <w:r>
              <w:rPr>
                <w:color w:val="000000" w:themeColor="text1"/>
                <w:sz w:val="24"/>
                <w14:textFill>
                  <w14:solidFill>
                    <w14:schemeClr w14:val="tx1"/>
                  </w14:solidFill>
                </w14:textFill>
              </w:rPr>
              <w:t>HJ2.2-2018</w:t>
            </w:r>
            <w:r>
              <w:rPr>
                <w:rFonts w:ascii="宋体" w:hAnsi="宋体"/>
                <w:color w:val="000000" w:themeColor="text1"/>
                <w:sz w:val="24"/>
                <w14:textFill>
                  <w14:solidFill>
                    <w14:schemeClr w14:val="tx1"/>
                  </w14:solidFill>
                </w14:textFill>
              </w:rPr>
              <w:t>）附录</w:t>
            </w:r>
            <w:r>
              <w:rPr>
                <w:color w:val="000000" w:themeColor="text1"/>
                <w:sz w:val="24"/>
                <w14:textFill>
                  <w14:solidFill>
                    <w14:schemeClr w14:val="tx1"/>
                  </w14:solidFill>
                </w14:textFill>
              </w:rPr>
              <w:t>D</w:t>
            </w:r>
            <w:r>
              <w:rPr>
                <w:rFonts w:ascii="宋体" w:hAnsi="宋体"/>
                <w:color w:val="000000" w:themeColor="text1"/>
                <w:sz w:val="24"/>
                <w14:textFill>
                  <w14:solidFill>
                    <w14:schemeClr w14:val="tx1"/>
                  </w14:solidFill>
                </w14:textFill>
              </w:rPr>
              <w:t>的浓度限值。补充监测点的总悬浮颗粒物、</w:t>
            </w:r>
            <w:r>
              <w:rPr>
                <w:color w:val="000000" w:themeColor="text1"/>
                <w:sz w:val="24"/>
                <w14:textFill>
                  <w14:solidFill>
                    <w14:schemeClr w14:val="tx1"/>
                  </w14:solidFill>
                </w14:textFill>
              </w:rPr>
              <w:t>TVOC</w:t>
            </w:r>
            <w:r>
              <w:rPr>
                <w:rFonts w:ascii="宋体" w:hAnsi="宋体"/>
                <w:color w:val="000000" w:themeColor="text1"/>
                <w:sz w:val="24"/>
                <w14:textFill>
                  <w14:solidFill>
                    <w14:schemeClr w14:val="tx1"/>
                  </w14:solidFill>
                </w14:textFill>
              </w:rPr>
              <w:t>超标率为</w:t>
            </w:r>
            <w:r>
              <w:rPr>
                <w:color w:val="000000" w:themeColor="text1"/>
                <w:sz w:val="24"/>
                <w14:textFill>
                  <w14:solidFill>
                    <w14:schemeClr w14:val="tx1"/>
                  </w14:solidFill>
                </w14:textFill>
              </w:rPr>
              <w:t>0</w:t>
            </w:r>
            <w:r>
              <w:rPr>
                <w:rFonts w:ascii="宋体" w:hAnsi="宋体"/>
                <w:color w:val="000000" w:themeColor="text1"/>
                <w:sz w:val="24"/>
                <w14:textFill>
                  <w14:solidFill>
                    <w14:schemeClr w14:val="tx1"/>
                  </w14:solidFill>
                </w14:textFill>
              </w:rPr>
              <w:t>，该项目区域环境空气质量</w:t>
            </w:r>
            <w:bookmarkStart w:id="5" w:name="OLE_LINK10"/>
            <w:r>
              <w:rPr>
                <w:rFonts w:ascii="宋体" w:hAnsi="宋体"/>
                <w:color w:val="000000" w:themeColor="text1"/>
                <w:sz w:val="24"/>
                <w14:textFill>
                  <w14:solidFill>
                    <w14:schemeClr w14:val="tx1"/>
                  </w14:solidFill>
                </w14:textFill>
              </w:rPr>
              <w:t>良好</w:t>
            </w:r>
            <w:bookmarkEnd w:id="5"/>
            <w:r>
              <w:rPr>
                <w:rFonts w:ascii="宋体" w:hAnsi="宋体"/>
                <w:color w:val="000000" w:themeColor="text1"/>
                <w:sz w:val="24"/>
                <w14:textFill>
                  <w14:solidFill>
                    <w14:schemeClr w14:val="tx1"/>
                  </w14:solidFill>
                </w14:textFill>
              </w:rPr>
              <w:t>，能够满足环境空气质量要求。</w:t>
            </w:r>
          </w:p>
          <w:p w14:paraId="3F273A5A">
            <w:pPr>
              <w:pStyle w:val="6"/>
              <w:numPr>
                <w:ilvl w:val="0"/>
                <w:numId w:val="10"/>
              </w:numPr>
              <w:spacing w:before="0" w:after="0" w:line="360" w:lineRule="auto"/>
              <w:ind w:left="0" w:firstLine="586"/>
              <w:rPr>
                <w:rFonts w:ascii="Times New Roman" w:hAnsi="Times New Roman" w:eastAsia="宋体"/>
                <w:color w:val="000000"/>
                <w:sz w:val="24"/>
                <w:szCs w:val="24"/>
              </w:rPr>
            </w:pPr>
            <w:r>
              <w:rPr>
                <w:rFonts w:ascii="Times New Roman" w:hAnsi="Times New Roman" w:eastAsia="宋体"/>
                <w:color w:val="000000"/>
                <w:sz w:val="24"/>
                <w:szCs w:val="24"/>
              </w:rPr>
              <w:t>地表水环境质量现状</w:t>
            </w:r>
          </w:p>
          <w:p w14:paraId="5EF6707A">
            <w:pPr>
              <w:pStyle w:val="11"/>
              <w:ind w:firstLine="480"/>
              <w:rPr>
                <w:color w:val="000000" w:themeColor="text1"/>
                <w14:textFill>
                  <w14:solidFill>
                    <w14:schemeClr w14:val="tx1"/>
                  </w14:solidFill>
                </w14:textFill>
              </w:rPr>
            </w:pPr>
            <w:r>
              <w:rPr>
                <w:color w:val="000000" w:themeColor="text1"/>
                <w14:textFill>
                  <w14:solidFill>
                    <w14:schemeClr w14:val="tx1"/>
                  </w14:solidFill>
                </w14:textFill>
              </w:rPr>
              <w:t>本项目所在地区属于博罗县福田镇生活污水处理厂集污范围，纳污水体为福田河，根据《惠州市环境保护规划》（2007-2020）、《关于印发&lt;</w:t>
            </w:r>
            <w:r>
              <w:rPr>
                <w:rFonts w:hint="eastAsia"/>
                <w:color w:val="000000" w:themeColor="text1"/>
                <w14:textFill>
                  <w14:solidFill>
                    <w14:schemeClr w14:val="tx1"/>
                  </w14:solidFill>
                </w14:textFill>
              </w:rPr>
              <w:t>博罗县</w:t>
            </w:r>
            <w:r>
              <w:rPr>
                <w:color w:val="000000" w:themeColor="text1"/>
                <w14:textFill>
                  <w14:solidFill>
                    <w14:schemeClr w14:val="tx1"/>
                  </w14:solidFill>
                </w14:textFill>
              </w:rPr>
              <w:t>202</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年水污染防治攻坚战工作方案&gt;的通知》（</w:t>
            </w:r>
            <w:r>
              <w:rPr>
                <w:rFonts w:hint="eastAsia"/>
                <w:color w:val="000000" w:themeColor="text1"/>
                <w14:textFill>
                  <w14:solidFill>
                    <w14:schemeClr w14:val="tx1"/>
                  </w14:solidFill>
                </w14:textFill>
              </w:rPr>
              <w:t>博环攻坚办[2023]67号</w:t>
            </w:r>
            <w:r>
              <w:rPr>
                <w:color w:val="000000" w:themeColor="text1"/>
                <w14:textFill>
                  <w14:solidFill>
                    <w14:schemeClr w14:val="tx1"/>
                  </w14:solidFill>
                </w14:textFill>
              </w:rPr>
              <w:t>）并参考目标水体的水环境功能，福田河属于Ⅴ类水，执行《地表水环境质量标准》（GB3838-2002）Ⅴ类标准。</w:t>
            </w:r>
          </w:p>
          <w:p w14:paraId="2F45D3BC">
            <w:pPr>
              <w:pStyle w:val="11"/>
              <w:ind w:firstLine="480"/>
              <w:rPr>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环境质量监测数据引用广东骥祥检测技术有限公司对福田河进行的地表水环境监测结果（详见附件7-2），测分析日期为2023年11月10日~2023年11月12日，连续监测三天，每天监测1次，共引用三个监测点位，断面名称分别为：舟拓多层（惠州）科技有限公司废水排放口上游500m断面处W1、废水排放口下游500m断面处W2及废水排放口下游2500m断面处W3。该监测报告编号：JXH3B166-A1，详细见下表。</w:t>
            </w:r>
            <w:r>
              <w:rPr>
                <w:color w:val="000000" w:themeColor="text1"/>
                <w14:textFill>
                  <w14:solidFill>
                    <w14:schemeClr w14:val="tx1"/>
                  </w14:solidFill>
                </w14:textFill>
              </w:rPr>
              <w:t>监测</w:t>
            </w:r>
            <w:r>
              <w:rPr>
                <w:rFonts w:hint="eastAsia"/>
                <w:color w:val="000000" w:themeColor="text1"/>
                <w14:textFill>
                  <w14:solidFill>
                    <w14:schemeClr w14:val="tx1"/>
                  </w14:solidFill>
                </w14:textFill>
              </w:rPr>
              <w:t>断面</w:t>
            </w:r>
            <w:r>
              <w:rPr>
                <w:color w:val="000000" w:themeColor="text1"/>
                <w14:textFill>
                  <w14:solidFill>
                    <w14:schemeClr w14:val="tx1"/>
                  </w14:solidFill>
                </w14:textFill>
              </w:rPr>
              <w:t>见附图</w:t>
            </w:r>
            <w:r>
              <w:rPr>
                <w:rFonts w:hint="eastAsia"/>
                <w:color w:val="000000" w:themeColor="text1"/>
                <w14:textFill>
                  <w14:solidFill>
                    <w14:schemeClr w14:val="tx1"/>
                  </w14:solidFill>
                </w14:textFill>
              </w:rPr>
              <w:t>9，</w:t>
            </w:r>
          </w:p>
          <w:p w14:paraId="24D89DDA">
            <w:pPr>
              <w:adjustRightInd w:val="0"/>
              <w:spacing w:line="360" w:lineRule="auto"/>
              <w:jc w:val="center"/>
              <w:textAlignment w:val="baseline"/>
              <w:rPr>
                <w:b/>
                <w:kern w:val="0"/>
                <w:szCs w:val="21"/>
              </w:rPr>
            </w:pPr>
            <w:r>
              <w:rPr>
                <w:rFonts w:hint="eastAsia"/>
                <w:b/>
                <w:kern w:val="0"/>
                <w:szCs w:val="21"/>
              </w:rPr>
              <w:t xml:space="preserve">表3-2 </w:t>
            </w:r>
            <w:r>
              <w:rPr>
                <w:b/>
                <w:kern w:val="0"/>
                <w:szCs w:val="21"/>
              </w:rPr>
              <w:t>地表水水质现状监测结果</w:t>
            </w:r>
          </w:p>
          <w:p w14:paraId="252C83C5">
            <w:pPr>
              <w:ind w:firstLine="360"/>
              <w:jc w:val="right"/>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 xml:space="preserve">单位（pH，pH值无量纲）：mg/L   </w:t>
            </w: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1876"/>
              <w:gridCol w:w="2016"/>
              <w:gridCol w:w="1880"/>
              <w:gridCol w:w="1110"/>
            </w:tblGrid>
            <w:tr w14:paraId="7866A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vMerge w:val="restart"/>
                  <w:tcMar>
                    <w:left w:w="57" w:type="dxa"/>
                    <w:right w:w="57" w:type="dxa"/>
                  </w:tcMar>
                  <w:vAlign w:val="center"/>
                </w:tcPr>
                <w:p w14:paraId="37C7F2A9">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检测项目</w:t>
                  </w:r>
                </w:p>
              </w:tc>
              <w:tc>
                <w:tcPr>
                  <w:tcW w:w="3478" w:type="pct"/>
                  <w:gridSpan w:val="3"/>
                  <w:tcMar>
                    <w:left w:w="57" w:type="dxa"/>
                    <w:right w:w="57" w:type="dxa"/>
                  </w:tcMar>
                  <w:vAlign w:val="center"/>
                </w:tcPr>
                <w:p w14:paraId="0CB50BEC">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检测结果</w:t>
                  </w:r>
                </w:p>
              </w:tc>
              <w:tc>
                <w:tcPr>
                  <w:tcW w:w="669" w:type="pct"/>
                  <w:tcMar>
                    <w:left w:w="57" w:type="dxa"/>
                    <w:right w:w="57" w:type="dxa"/>
                  </w:tcMar>
                  <w:vAlign w:val="center"/>
                </w:tcPr>
                <w:p w14:paraId="18971E00">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执行标准</w:t>
                  </w:r>
                </w:p>
              </w:tc>
            </w:tr>
            <w:tr w14:paraId="373D2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vMerge w:val="continue"/>
                  <w:tcMar>
                    <w:left w:w="57" w:type="dxa"/>
                    <w:right w:w="57" w:type="dxa"/>
                  </w:tcMar>
                  <w:vAlign w:val="center"/>
                </w:tcPr>
                <w:p w14:paraId="144E4128">
                  <w:pPr>
                    <w:pStyle w:val="145"/>
                    <w:spacing w:line="240" w:lineRule="auto"/>
                    <w:jc w:val="center"/>
                    <w:rPr>
                      <w:rFonts w:ascii="Times New Roman" w:hAnsi="Times New Roman"/>
                      <w:b/>
                      <w:bCs/>
                      <w:color w:val="000000" w:themeColor="text1"/>
                      <w:sz w:val="21"/>
                      <w:szCs w:val="21"/>
                      <w14:textFill>
                        <w14:solidFill>
                          <w14:schemeClr w14:val="tx1"/>
                        </w14:solidFill>
                      </w14:textFill>
                    </w:rPr>
                  </w:pPr>
                </w:p>
              </w:tc>
              <w:tc>
                <w:tcPr>
                  <w:tcW w:w="1130" w:type="pct"/>
                  <w:tcMar>
                    <w:left w:w="57" w:type="dxa"/>
                    <w:right w:w="57" w:type="dxa"/>
                  </w:tcMar>
                  <w:vAlign w:val="center"/>
                </w:tcPr>
                <w:p w14:paraId="1926620B">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W1：项目废水排放口上游500m断面</w:t>
                  </w:r>
                </w:p>
              </w:tc>
              <w:tc>
                <w:tcPr>
                  <w:tcW w:w="1215" w:type="pct"/>
                  <w:tcMar>
                    <w:left w:w="57" w:type="dxa"/>
                    <w:right w:w="57" w:type="dxa"/>
                  </w:tcMar>
                  <w:vAlign w:val="center"/>
                </w:tcPr>
                <w:p w14:paraId="708BF08C">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W2：项目废水排放口下游500m断面</w:t>
                  </w:r>
                </w:p>
              </w:tc>
              <w:tc>
                <w:tcPr>
                  <w:tcW w:w="1132" w:type="pct"/>
                  <w:tcMar>
                    <w:left w:w="57" w:type="dxa"/>
                    <w:right w:w="57" w:type="dxa"/>
                  </w:tcMar>
                  <w:vAlign w:val="center"/>
                </w:tcPr>
                <w:p w14:paraId="43981FAC">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W3：项目废水排放口下游2.5km断面</w:t>
                  </w:r>
                </w:p>
              </w:tc>
              <w:tc>
                <w:tcPr>
                  <w:tcW w:w="669" w:type="pct"/>
                  <w:tcMar>
                    <w:left w:w="57" w:type="dxa"/>
                    <w:right w:w="57" w:type="dxa"/>
                  </w:tcMar>
                  <w:vAlign w:val="center"/>
                </w:tcPr>
                <w:p w14:paraId="3E03EA38">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Ⅴ类标准</w:t>
                  </w:r>
                </w:p>
              </w:tc>
            </w:tr>
            <w:tr w14:paraId="118A9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40F15DF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水温</w:t>
                  </w:r>
                </w:p>
              </w:tc>
              <w:tc>
                <w:tcPr>
                  <w:tcW w:w="1130" w:type="pct"/>
                  <w:tcMar>
                    <w:left w:w="57" w:type="dxa"/>
                    <w:right w:w="57" w:type="dxa"/>
                  </w:tcMar>
                  <w:vAlign w:val="center"/>
                </w:tcPr>
                <w:p w14:paraId="06AF56E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22.3~22.5</w:t>
                  </w:r>
                </w:p>
              </w:tc>
              <w:tc>
                <w:tcPr>
                  <w:tcW w:w="1215" w:type="pct"/>
                  <w:tcMar>
                    <w:left w:w="57" w:type="dxa"/>
                    <w:right w:w="57" w:type="dxa"/>
                  </w:tcMar>
                  <w:vAlign w:val="center"/>
                </w:tcPr>
                <w:p w14:paraId="0FA4B06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22.3~22.7</w:t>
                  </w:r>
                </w:p>
              </w:tc>
              <w:tc>
                <w:tcPr>
                  <w:tcW w:w="1132" w:type="pct"/>
                  <w:tcMar>
                    <w:left w:w="57" w:type="dxa"/>
                    <w:right w:w="57" w:type="dxa"/>
                  </w:tcMar>
                  <w:vAlign w:val="center"/>
                </w:tcPr>
                <w:p w14:paraId="3C10683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22.4~22.8</w:t>
                  </w:r>
                </w:p>
              </w:tc>
              <w:tc>
                <w:tcPr>
                  <w:tcW w:w="669" w:type="pct"/>
                  <w:tcMar>
                    <w:left w:w="57" w:type="dxa"/>
                    <w:right w:w="57" w:type="dxa"/>
                  </w:tcMar>
                  <w:vAlign w:val="center"/>
                </w:tcPr>
                <w:p w14:paraId="5C7BB98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r>
            <w:tr w14:paraId="76074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0C88590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pH值</w:t>
                  </w:r>
                </w:p>
              </w:tc>
              <w:tc>
                <w:tcPr>
                  <w:tcW w:w="1130" w:type="pct"/>
                  <w:tcMar>
                    <w:left w:w="57" w:type="dxa"/>
                    <w:right w:w="57" w:type="dxa"/>
                  </w:tcMar>
                  <w:vAlign w:val="center"/>
                </w:tcPr>
                <w:p w14:paraId="65CC17F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7.1~7.2</w:t>
                  </w:r>
                </w:p>
              </w:tc>
              <w:tc>
                <w:tcPr>
                  <w:tcW w:w="1215" w:type="pct"/>
                  <w:tcMar>
                    <w:left w:w="57" w:type="dxa"/>
                    <w:right w:w="57" w:type="dxa"/>
                  </w:tcMar>
                  <w:vAlign w:val="center"/>
                </w:tcPr>
                <w:p w14:paraId="61BF4D7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7.2</w:t>
                  </w:r>
                </w:p>
              </w:tc>
              <w:tc>
                <w:tcPr>
                  <w:tcW w:w="1132" w:type="pct"/>
                  <w:tcMar>
                    <w:left w:w="57" w:type="dxa"/>
                    <w:right w:w="57" w:type="dxa"/>
                  </w:tcMar>
                  <w:vAlign w:val="center"/>
                </w:tcPr>
                <w:p w14:paraId="030AE08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7~7.1</w:t>
                  </w:r>
                </w:p>
              </w:tc>
              <w:tc>
                <w:tcPr>
                  <w:tcW w:w="669" w:type="pct"/>
                  <w:tcMar>
                    <w:left w:w="57" w:type="dxa"/>
                    <w:right w:w="57" w:type="dxa"/>
                  </w:tcMar>
                  <w:vAlign w:val="center"/>
                </w:tcPr>
                <w:p w14:paraId="5354C49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6~9</w:t>
                  </w:r>
                </w:p>
              </w:tc>
            </w:tr>
            <w:tr w14:paraId="2EB87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10B55EF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溶解氧</w:t>
                  </w:r>
                </w:p>
              </w:tc>
              <w:tc>
                <w:tcPr>
                  <w:tcW w:w="1130" w:type="pct"/>
                  <w:tcMar>
                    <w:left w:w="57" w:type="dxa"/>
                    <w:right w:w="57" w:type="dxa"/>
                  </w:tcMar>
                  <w:vAlign w:val="center"/>
                </w:tcPr>
                <w:p w14:paraId="1909E40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6.19~6.23</w:t>
                  </w:r>
                </w:p>
              </w:tc>
              <w:tc>
                <w:tcPr>
                  <w:tcW w:w="1215" w:type="pct"/>
                  <w:tcMar>
                    <w:left w:w="57" w:type="dxa"/>
                    <w:right w:w="57" w:type="dxa"/>
                  </w:tcMar>
                  <w:vAlign w:val="center"/>
                </w:tcPr>
                <w:p w14:paraId="2B7EC64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6.16~6.18</w:t>
                  </w:r>
                </w:p>
              </w:tc>
              <w:tc>
                <w:tcPr>
                  <w:tcW w:w="1132" w:type="pct"/>
                  <w:tcMar>
                    <w:left w:w="57" w:type="dxa"/>
                    <w:right w:w="57" w:type="dxa"/>
                  </w:tcMar>
                  <w:vAlign w:val="center"/>
                </w:tcPr>
                <w:p w14:paraId="398864E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6.15~6.22</w:t>
                  </w:r>
                </w:p>
              </w:tc>
              <w:tc>
                <w:tcPr>
                  <w:tcW w:w="669" w:type="pct"/>
                  <w:tcMar>
                    <w:left w:w="57" w:type="dxa"/>
                    <w:right w:w="57" w:type="dxa"/>
                  </w:tcMar>
                  <w:vAlign w:val="center"/>
                </w:tcPr>
                <w:p w14:paraId="4094FCF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r>
            <w:tr w14:paraId="74A34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75567ED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悬浮物</w:t>
                  </w:r>
                </w:p>
              </w:tc>
              <w:tc>
                <w:tcPr>
                  <w:tcW w:w="1130" w:type="pct"/>
                  <w:tcMar>
                    <w:left w:w="57" w:type="dxa"/>
                    <w:right w:w="57" w:type="dxa"/>
                  </w:tcMar>
                  <w:vAlign w:val="center"/>
                </w:tcPr>
                <w:p w14:paraId="124DD04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7~8</w:t>
                  </w:r>
                </w:p>
              </w:tc>
              <w:tc>
                <w:tcPr>
                  <w:tcW w:w="1215" w:type="pct"/>
                  <w:tcMar>
                    <w:left w:w="57" w:type="dxa"/>
                    <w:right w:w="57" w:type="dxa"/>
                  </w:tcMar>
                  <w:vAlign w:val="center"/>
                </w:tcPr>
                <w:p w14:paraId="4E3B441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8~9</w:t>
                  </w:r>
                </w:p>
              </w:tc>
              <w:tc>
                <w:tcPr>
                  <w:tcW w:w="1132" w:type="pct"/>
                  <w:tcMar>
                    <w:left w:w="57" w:type="dxa"/>
                    <w:right w:w="57" w:type="dxa"/>
                  </w:tcMar>
                  <w:vAlign w:val="center"/>
                </w:tcPr>
                <w:p w14:paraId="52AF6D6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7~8</w:t>
                  </w:r>
                </w:p>
              </w:tc>
              <w:tc>
                <w:tcPr>
                  <w:tcW w:w="669" w:type="pct"/>
                  <w:tcMar>
                    <w:left w:w="57" w:type="dxa"/>
                    <w:right w:w="57" w:type="dxa"/>
                  </w:tcMar>
                  <w:vAlign w:val="center"/>
                </w:tcPr>
                <w:p w14:paraId="2F052D3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60</w:t>
                  </w:r>
                </w:p>
              </w:tc>
            </w:tr>
            <w:tr w14:paraId="26084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38008F5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COD</w:t>
                  </w:r>
                </w:p>
              </w:tc>
              <w:tc>
                <w:tcPr>
                  <w:tcW w:w="1130" w:type="pct"/>
                  <w:tcMar>
                    <w:left w:w="57" w:type="dxa"/>
                    <w:right w:w="57" w:type="dxa"/>
                  </w:tcMar>
                  <w:vAlign w:val="center"/>
                </w:tcPr>
                <w:p w14:paraId="088881B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11~13</w:t>
                  </w:r>
                </w:p>
              </w:tc>
              <w:tc>
                <w:tcPr>
                  <w:tcW w:w="1215" w:type="pct"/>
                  <w:tcMar>
                    <w:left w:w="57" w:type="dxa"/>
                    <w:right w:w="57" w:type="dxa"/>
                  </w:tcMar>
                  <w:vAlign w:val="center"/>
                </w:tcPr>
                <w:p w14:paraId="77E5BD7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20~23</w:t>
                  </w:r>
                </w:p>
              </w:tc>
              <w:tc>
                <w:tcPr>
                  <w:tcW w:w="1132" w:type="pct"/>
                  <w:tcMar>
                    <w:left w:w="57" w:type="dxa"/>
                    <w:right w:w="57" w:type="dxa"/>
                  </w:tcMar>
                  <w:vAlign w:val="center"/>
                </w:tcPr>
                <w:p w14:paraId="43A1A87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9~10</w:t>
                  </w:r>
                </w:p>
              </w:tc>
              <w:tc>
                <w:tcPr>
                  <w:tcW w:w="669" w:type="pct"/>
                  <w:tcMar>
                    <w:left w:w="57" w:type="dxa"/>
                    <w:right w:w="57" w:type="dxa"/>
                  </w:tcMar>
                  <w:vAlign w:val="center"/>
                </w:tcPr>
                <w:p w14:paraId="2BC7AB6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w:t>
                  </w:r>
                </w:p>
              </w:tc>
            </w:tr>
            <w:tr w14:paraId="762CE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2785128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BOD</w:t>
                  </w:r>
                </w:p>
              </w:tc>
              <w:tc>
                <w:tcPr>
                  <w:tcW w:w="1130" w:type="pct"/>
                  <w:tcMar>
                    <w:left w:w="57" w:type="dxa"/>
                    <w:right w:w="57" w:type="dxa"/>
                  </w:tcMar>
                  <w:vAlign w:val="center"/>
                </w:tcPr>
                <w:p w14:paraId="3725CAA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3.4~3.6</w:t>
                  </w:r>
                </w:p>
              </w:tc>
              <w:tc>
                <w:tcPr>
                  <w:tcW w:w="1215" w:type="pct"/>
                  <w:tcMar>
                    <w:left w:w="57" w:type="dxa"/>
                    <w:right w:w="57" w:type="dxa"/>
                  </w:tcMar>
                  <w:vAlign w:val="center"/>
                </w:tcPr>
                <w:p w14:paraId="3FDCF05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7.2~7.7</w:t>
                  </w:r>
                </w:p>
              </w:tc>
              <w:tc>
                <w:tcPr>
                  <w:tcW w:w="1132" w:type="pct"/>
                  <w:tcMar>
                    <w:left w:w="57" w:type="dxa"/>
                    <w:right w:w="57" w:type="dxa"/>
                  </w:tcMar>
                  <w:vAlign w:val="center"/>
                </w:tcPr>
                <w:p w14:paraId="19FD1AD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3.5~3.6</w:t>
                  </w:r>
                </w:p>
              </w:tc>
              <w:tc>
                <w:tcPr>
                  <w:tcW w:w="669" w:type="pct"/>
                  <w:tcMar>
                    <w:left w:w="57" w:type="dxa"/>
                    <w:right w:w="57" w:type="dxa"/>
                  </w:tcMar>
                  <w:vAlign w:val="center"/>
                </w:tcPr>
                <w:p w14:paraId="1DFC614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r>
            <w:tr w14:paraId="51CEC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34C8B0E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氨氮</w:t>
                  </w:r>
                </w:p>
              </w:tc>
              <w:tc>
                <w:tcPr>
                  <w:tcW w:w="1130" w:type="pct"/>
                  <w:tcMar>
                    <w:left w:w="57" w:type="dxa"/>
                    <w:right w:w="57" w:type="dxa"/>
                  </w:tcMar>
                  <w:vAlign w:val="center"/>
                </w:tcPr>
                <w:p w14:paraId="1237566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0.804~0.846</w:t>
                  </w:r>
                </w:p>
              </w:tc>
              <w:tc>
                <w:tcPr>
                  <w:tcW w:w="1215" w:type="pct"/>
                  <w:tcMar>
                    <w:left w:w="57" w:type="dxa"/>
                    <w:right w:w="57" w:type="dxa"/>
                  </w:tcMar>
                  <w:vAlign w:val="center"/>
                </w:tcPr>
                <w:p w14:paraId="6FF96D26">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0.81~1.52</w:t>
                  </w:r>
                </w:p>
              </w:tc>
              <w:tc>
                <w:tcPr>
                  <w:tcW w:w="1132" w:type="pct"/>
                  <w:tcMar>
                    <w:left w:w="57" w:type="dxa"/>
                    <w:right w:w="57" w:type="dxa"/>
                  </w:tcMar>
                  <w:vAlign w:val="center"/>
                </w:tcPr>
                <w:p w14:paraId="4EDD478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0.775~0.823</w:t>
                  </w:r>
                </w:p>
              </w:tc>
              <w:tc>
                <w:tcPr>
                  <w:tcW w:w="669" w:type="pct"/>
                  <w:tcMar>
                    <w:left w:w="57" w:type="dxa"/>
                    <w:right w:w="57" w:type="dxa"/>
                  </w:tcMar>
                  <w:vAlign w:val="center"/>
                </w:tcPr>
                <w:p w14:paraId="1A0F236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r>
            <w:tr w14:paraId="68D76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044F433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总磷</w:t>
                  </w:r>
                </w:p>
              </w:tc>
              <w:tc>
                <w:tcPr>
                  <w:tcW w:w="1130" w:type="pct"/>
                  <w:tcMar>
                    <w:left w:w="57" w:type="dxa"/>
                    <w:right w:w="57" w:type="dxa"/>
                  </w:tcMar>
                  <w:vAlign w:val="center"/>
                </w:tcPr>
                <w:p w14:paraId="6FD1F68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0.18~0.24</w:t>
                  </w:r>
                </w:p>
              </w:tc>
              <w:tc>
                <w:tcPr>
                  <w:tcW w:w="1215" w:type="pct"/>
                  <w:tcMar>
                    <w:left w:w="57" w:type="dxa"/>
                    <w:right w:w="57" w:type="dxa"/>
                  </w:tcMar>
                  <w:vAlign w:val="center"/>
                </w:tcPr>
                <w:p w14:paraId="64ECAF8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0.18~0.23</w:t>
                  </w:r>
                </w:p>
              </w:tc>
              <w:tc>
                <w:tcPr>
                  <w:tcW w:w="1132" w:type="pct"/>
                  <w:tcMar>
                    <w:left w:w="57" w:type="dxa"/>
                    <w:right w:w="57" w:type="dxa"/>
                  </w:tcMar>
                  <w:vAlign w:val="center"/>
                </w:tcPr>
                <w:p w14:paraId="6716B75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0.2~0.21</w:t>
                  </w:r>
                </w:p>
              </w:tc>
              <w:tc>
                <w:tcPr>
                  <w:tcW w:w="669" w:type="pct"/>
                  <w:tcMar>
                    <w:left w:w="57" w:type="dxa"/>
                    <w:right w:w="57" w:type="dxa"/>
                  </w:tcMar>
                  <w:vAlign w:val="center"/>
                </w:tcPr>
                <w:p w14:paraId="6D83802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0.4</w:t>
                  </w:r>
                </w:p>
              </w:tc>
            </w:tr>
            <w:tr w14:paraId="7FAA3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2B759CD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阴离子表面活性剂</w:t>
                  </w:r>
                </w:p>
              </w:tc>
              <w:tc>
                <w:tcPr>
                  <w:tcW w:w="1130" w:type="pct"/>
                  <w:tcMar>
                    <w:left w:w="57" w:type="dxa"/>
                    <w:right w:w="57" w:type="dxa"/>
                  </w:tcMar>
                  <w:vAlign w:val="center"/>
                </w:tcPr>
                <w:p w14:paraId="5A0F7A1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0.05L</w:t>
                  </w:r>
                </w:p>
              </w:tc>
              <w:tc>
                <w:tcPr>
                  <w:tcW w:w="1215" w:type="pct"/>
                  <w:tcMar>
                    <w:left w:w="57" w:type="dxa"/>
                    <w:right w:w="57" w:type="dxa"/>
                  </w:tcMar>
                  <w:vAlign w:val="center"/>
                </w:tcPr>
                <w:p w14:paraId="1ECB99D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0.052~0.057</w:t>
                  </w:r>
                </w:p>
              </w:tc>
              <w:tc>
                <w:tcPr>
                  <w:tcW w:w="1132" w:type="pct"/>
                  <w:tcMar>
                    <w:left w:w="57" w:type="dxa"/>
                    <w:right w:w="57" w:type="dxa"/>
                  </w:tcMar>
                  <w:vAlign w:val="center"/>
                </w:tcPr>
                <w:p w14:paraId="03D9FD5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0.05L</w:t>
                  </w:r>
                </w:p>
              </w:tc>
              <w:tc>
                <w:tcPr>
                  <w:tcW w:w="669" w:type="pct"/>
                  <w:tcMar>
                    <w:left w:w="57" w:type="dxa"/>
                    <w:right w:w="57" w:type="dxa"/>
                  </w:tcMar>
                  <w:vAlign w:val="center"/>
                </w:tcPr>
                <w:p w14:paraId="5CD8AE7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0.3</w:t>
                  </w:r>
                </w:p>
              </w:tc>
            </w:tr>
            <w:tr w14:paraId="2823F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 w:type="pct"/>
                  <w:tcMar>
                    <w:left w:w="57" w:type="dxa"/>
                    <w:right w:w="57" w:type="dxa"/>
                  </w:tcMar>
                  <w:vAlign w:val="center"/>
                </w:tcPr>
                <w:p w14:paraId="4005C81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粪大肠菌群</w:t>
                  </w:r>
                </w:p>
              </w:tc>
              <w:tc>
                <w:tcPr>
                  <w:tcW w:w="1130" w:type="pct"/>
                  <w:tcMar>
                    <w:left w:w="57" w:type="dxa"/>
                    <w:right w:w="57" w:type="dxa"/>
                  </w:tcMar>
                  <w:vAlign w:val="center"/>
                </w:tcPr>
                <w:p w14:paraId="38DAF8C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4.7×10</w:t>
                  </w:r>
                  <w:r>
                    <w:rPr>
                      <w:rFonts w:ascii="Times New Roman" w:hAnsi="Times New Roman"/>
                      <w:color w:val="000000" w:themeColor="text1"/>
                      <w:sz w:val="21"/>
                      <w:szCs w:val="21"/>
                      <w:vertAlign w:val="superscript"/>
                      <w14:textFill>
                        <w14:solidFill>
                          <w14:schemeClr w14:val="tx1"/>
                        </w14:solidFill>
                      </w14:textFill>
                    </w:rPr>
                    <w:t>2</w:t>
                  </w:r>
                </w:p>
                <w:p w14:paraId="4387720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~9.4×10</w:t>
                  </w:r>
                  <w:r>
                    <w:rPr>
                      <w:rFonts w:ascii="Times New Roman" w:hAnsi="Times New Roman"/>
                      <w:color w:val="000000" w:themeColor="text1"/>
                      <w:sz w:val="21"/>
                      <w:szCs w:val="21"/>
                      <w:vertAlign w:val="superscript"/>
                      <w14:textFill>
                        <w14:solidFill>
                          <w14:schemeClr w14:val="tx1"/>
                        </w14:solidFill>
                      </w14:textFill>
                    </w:rPr>
                    <w:t>2</w:t>
                  </w:r>
                </w:p>
              </w:tc>
              <w:tc>
                <w:tcPr>
                  <w:tcW w:w="1215" w:type="pct"/>
                  <w:tcMar>
                    <w:left w:w="57" w:type="dxa"/>
                    <w:right w:w="57" w:type="dxa"/>
                  </w:tcMar>
                  <w:vAlign w:val="center"/>
                </w:tcPr>
                <w:p w14:paraId="3E2ED1D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7.0×10</w:t>
                  </w:r>
                  <w:r>
                    <w:rPr>
                      <w:rFonts w:ascii="Times New Roman" w:hAnsi="Times New Roman"/>
                      <w:color w:val="000000" w:themeColor="text1"/>
                      <w:sz w:val="21"/>
                      <w:szCs w:val="21"/>
                      <w:vertAlign w:val="superscript"/>
                      <w14:textFill>
                        <w14:solidFill>
                          <w14:schemeClr w14:val="tx1"/>
                        </w14:solidFill>
                      </w14:textFill>
                    </w:rPr>
                    <w:t>2</w:t>
                  </w:r>
                </w:p>
                <w:p w14:paraId="2535B1C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~2.8×10</w:t>
                  </w:r>
                  <w:r>
                    <w:rPr>
                      <w:rFonts w:ascii="Times New Roman" w:hAnsi="Times New Roman"/>
                      <w:color w:val="000000" w:themeColor="text1"/>
                      <w:sz w:val="21"/>
                      <w:szCs w:val="21"/>
                      <w:vertAlign w:val="superscript"/>
                      <w14:textFill>
                        <w14:solidFill>
                          <w14:schemeClr w14:val="tx1"/>
                        </w14:solidFill>
                      </w14:textFill>
                    </w:rPr>
                    <w:t>3</w:t>
                  </w:r>
                </w:p>
              </w:tc>
              <w:tc>
                <w:tcPr>
                  <w:tcW w:w="1132" w:type="pct"/>
                  <w:tcMar>
                    <w:left w:w="57" w:type="dxa"/>
                    <w:right w:w="57" w:type="dxa"/>
                  </w:tcMar>
                  <w:vAlign w:val="center"/>
                </w:tcPr>
                <w:p w14:paraId="17F2C6E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1.1×10</w:t>
                  </w:r>
                  <w:r>
                    <w:rPr>
                      <w:rFonts w:ascii="Times New Roman" w:hAnsi="Times New Roman"/>
                      <w:color w:val="000000" w:themeColor="text1"/>
                      <w:sz w:val="21"/>
                      <w:szCs w:val="21"/>
                      <w:vertAlign w:val="superscript"/>
                      <w14:textFill>
                        <w14:solidFill>
                          <w14:schemeClr w14:val="tx1"/>
                        </w14:solidFill>
                      </w14:textFill>
                    </w:rPr>
                    <w:t>3</w:t>
                  </w:r>
                </w:p>
                <w:p w14:paraId="57C4BBE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~1.8×10</w:t>
                  </w:r>
                  <w:r>
                    <w:rPr>
                      <w:rFonts w:ascii="Times New Roman" w:hAnsi="Times New Roman"/>
                      <w:color w:val="000000" w:themeColor="text1"/>
                      <w:sz w:val="21"/>
                      <w:szCs w:val="21"/>
                      <w:vertAlign w:val="superscript"/>
                      <w14:textFill>
                        <w14:solidFill>
                          <w14:schemeClr w14:val="tx1"/>
                        </w14:solidFill>
                      </w14:textFill>
                    </w:rPr>
                    <w:t>3</w:t>
                  </w:r>
                </w:p>
              </w:tc>
              <w:tc>
                <w:tcPr>
                  <w:tcW w:w="669" w:type="pct"/>
                  <w:tcMar>
                    <w:left w:w="57" w:type="dxa"/>
                    <w:right w:w="57" w:type="dxa"/>
                  </w:tcMar>
                  <w:vAlign w:val="center"/>
                </w:tcPr>
                <w:p w14:paraId="31691A5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40000</w:t>
                  </w:r>
                </w:p>
              </w:tc>
            </w:tr>
          </w:tbl>
          <w:p w14:paraId="06A38CB9">
            <w:pPr>
              <w:pStyle w:val="11"/>
              <w:spacing w:line="240" w:lineRule="auto"/>
              <w:ind w:firstLine="0" w:firstLineChars="0"/>
              <w:jc w:val="left"/>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注：悬浮物参考执行《农田灌溉水质标准》（GB5084-2021）中蔬菜灌溉的标准。</w:t>
            </w:r>
          </w:p>
          <w:p w14:paraId="4B5A3E91">
            <w:pPr>
              <w:adjustRightInd w:val="0"/>
              <w:spacing w:line="360" w:lineRule="auto"/>
              <w:jc w:val="center"/>
              <w:textAlignment w:val="baseline"/>
              <w:rPr>
                <w:b/>
                <w:kern w:val="0"/>
                <w:szCs w:val="21"/>
              </w:rPr>
            </w:pPr>
            <w:r>
              <w:rPr>
                <w:rFonts w:hint="eastAsia"/>
                <w:b/>
                <w:kern w:val="0"/>
                <w:szCs w:val="21"/>
              </w:rPr>
              <w:t xml:space="preserve">表3-3  </w:t>
            </w:r>
            <w:r>
              <w:rPr>
                <w:b/>
                <w:kern w:val="0"/>
                <w:szCs w:val="21"/>
              </w:rPr>
              <w:t>地表水水质标准指数表</w:t>
            </w:r>
          </w:p>
          <w:tbl>
            <w:tblPr>
              <w:tblStyle w:val="4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2"/>
              <w:gridCol w:w="2007"/>
              <w:gridCol w:w="1721"/>
              <w:gridCol w:w="2008"/>
            </w:tblGrid>
            <w:tr w14:paraId="36B81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Merge w:val="restart"/>
                  <w:vAlign w:val="center"/>
                </w:tcPr>
                <w:p w14:paraId="601F24B4">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检测项目</w:t>
                  </w:r>
                </w:p>
              </w:tc>
              <w:tc>
                <w:tcPr>
                  <w:tcW w:w="3456" w:type="pct"/>
                  <w:gridSpan w:val="3"/>
                  <w:vAlign w:val="center"/>
                </w:tcPr>
                <w:p w14:paraId="25CFFA0A">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标准指数</w:t>
                  </w:r>
                </w:p>
              </w:tc>
            </w:tr>
            <w:tr w14:paraId="1BFFF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Merge w:val="continue"/>
                  <w:vAlign w:val="center"/>
                </w:tcPr>
                <w:p w14:paraId="4ED67BC1">
                  <w:pPr>
                    <w:pStyle w:val="145"/>
                    <w:spacing w:line="240" w:lineRule="auto"/>
                    <w:jc w:val="center"/>
                    <w:rPr>
                      <w:rFonts w:ascii="Times New Roman" w:hAnsi="Times New Roman"/>
                      <w:b/>
                      <w:bCs/>
                      <w:color w:val="000000" w:themeColor="text1"/>
                      <w:sz w:val="21"/>
                      <w:szCs w:val="21"/>
                      <w14:textFill>
                        <w14:solidFill>
                          <w14:schemeClr w14:val="tx1"/>
                        </w14:solidFill>
                      </w14:textFill>
                    </w:rPr>
                  </w:pPr>
                </w:p>
              </w:tc>
              <w:tc>
                <w:tcPr>
                  <w:tcW w:w="1209" w:type="pct"/>
                  <w:vAlign w:val="center"/>
                </w:tcPr>
                <w:p w14:paraId="15567AA6">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W1</w:t>
                  </w:r>
                </w:p>
              </w:tc>
              <w:tc>
                <w:tcPr>
                  <w:tcW w:w="1037" w:type="pct"/>
                  <w:vAlign w:val="center"/>
                </w:tcPr>
                <w:p w14:paraId="31ABFC7C">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W2</w:t>
                  </w:r>
                </w:p>
              </w:tc>
              <w:tc>
                <w:tcPr>
                  <w:tcW w:w="1209" w:type="pct"/>
                  <w:vAlign w:val="center"/>
                </w:tcPr>
                <w:p w14:paraId="2E01F425">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W3</w:t>
                  </w:r>
                </w:p>
              </w:tc>
            </w:tr>
            <w:tr w14:paraId="3C806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4537E5F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pH值</w:t>
                  </w:r>
                </w:p>
              </w:tc>
              <w:tc>
                <w:tcPr>
                  <w:tcW w:w="1209" w:type="pct"/>
                  <w:vAlign w:val="center"/>
                </w:tcPr>
                <w:p w14:paraId="0C7D47C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0.05~0.1</w:t>
                  </w:r>
                </w:p>
              </w:tc>
              <w:tc>
                <w:tcPr>
                  <w:tcW w:w="1037" w:type="pct"/>
                  <w:vAlign w:val="center"/>
                </w:tcPr>
                <w:p w14:paraId="3D37BFD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w:t>
                  </w:r>
                </w:p>
              </w:tc>
              <w:tc>
                <w:tcPr>
                  <w:tcW w:w="1209" w:type="pct"/>
                  <w:vAlign w:val="center"/>
                </w:tcPr>
                <w:p w14:paraId="1EC6679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0~0.05</w:t>
                  </w:r>
                </w:p>
              </w:tc>
            </w:tr>
            <w:tr w14:paraId="69A5A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258303F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溶解氧</w:t>
                  </w:r>
                </w:p>
              </w:tc>
              <w:tc>
                <w:tcPr>
                  <w:tcW w:w="1209" w:type="pct"/>
                  <w:vAlign w:val="center"/>
                </w:tcPr>
                <w:p w14:paraId="2E3B4B6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0.364~0.370</w:t>
                  </w:r>
                </w:p>
              </w:tc>
              <w:tc>
                <w:tcPr>
                  <w:tcW w:w="1037" w:type="pct"/>
                  <w:vAlign w:val="center"/>
                </w:tcPr>
                <w:p w14:paraId="33C7BAB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0.371~0.374</w:t>
                  </w:r>
                </w:p>
              </w:tc>
              <w:tc>
                <w:tcPr>
                  <w:tcW w:w="1209" w:type="pct"/>
                  <w:vAlign w:val="center"/>
                </w:tcPr>
                <w:p w14:paraId="1053606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0.365~0.376</w:t>
                  </w:r>
                </w:p>
              </w:tc>
            </w:tr>
            <w:tr w14:paraId="6979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134218B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悬浮物</w:t>
                  </w:r>
                </w:p>
              </w:tc>
              <w:tc>
                <w:tcPr>
                  <w:tcW w:w="1209" w:type="pct"/>
                  <w:vAlign w:val="center"/>
                </w:tcPr>
                <w:p w14:paraId="69BA756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0.117~0.133</w:t>
                  </w:r>
                </w:p>
              </w:tc>
              <w:tc>
                <w:tcPr>
                  <w:tcW w:w="1037" w:type="pct"/>
                  <w:vAlign w:val="center"/>
                </w:tcPr>
                <w:p w14:paraId="3137ADB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0.133~0.15</w:t>
                  </w:r>
                </w:p>
              </w:tc>
              <w:tc>
                <w:tcPr>
                  <w:tcW w:w="1209" w:type="pct"/>
                  <w:vAlign w:val="center"/>
                </w:tcPr>
                <w:p w14:paraId="40110F0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0.117~0.133</w:t>
                  </w:r>
                </w:p>
              </w:tc>
            </w:tr>
            <w:tr w14:paraId="2CBFE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03AFE67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COD</w:t>
                  </w:r>
                </w:p>
              </w:tc>
              <w:tc>
                <w:tcPr>
                  <w:tcW w:w="1209" w:type="pct"/>
                  <w:vAlign w:val="center"/>
                </w:tcPr>
                <w:p w14:paraId="0E2A20D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0.275~0.325</w:t>
                  </w:r>
                </w:p>
              </w:tc>
              <w:tc>
                <w:tcPr>
                  <w:tcW w:w="1037" w:type="pct"/>
                  <w:vAlign w:val="center"/>
                </w:tcPr>
                <w:p w14:paraId="013B241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0.5~0.575</w:t>
                  </w:r>
                </w:p>
              </w:tc>
              <w:tc>
                <w:tcPr>
                  <w:tcW w:w="1209" w:type="pct"/>
                  <w:vAlign w:val="center"/>
                </w:tcPr>
                <w:p w14:paraId="54E33D9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0.225~0.25</w:t>
                  </w:r>
                </w:p>
              </w:tc>
            </w:tr>
            <w:tr w14:paraId="500CE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58CEF59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BOD</w:t>
                  </w:r>
                </w:p>
              </w:tc>
              <w:tc>
                <w:tcPr>
                  <w:tcW w:w="1209" w:type="pct"/>
                  <w:vAlign w:val="center"/>
                </w:tcPr>
                <w:p w14:paraId="16B1067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0.34~0.36</w:t>
                  </w:r>
                </w:p>
              </w:tc>
              <w:tc>
                <w:tcPr>
                  <w:tcW w:w="1037" w:type="pct"/>
                  <w:vAlign w:val="center"/>
                </w:tcPr>
                <w:p w14:paraId="2051BDD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0.72~0.77</w:t>
                  </w:r>
                </w:p>
              </w:tc>
              <w:tc>
                <w:tcPr>
                  <w:tcW w:w="1209" w:type="pct"/>
                  <w:vAlign w:val="center"/>
                </w:tcPr>
                <w:p w14:paraId="7AEC232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0.35~0.36</w:t>
                  </w:r>
                </w:p>
              </w:tc>
            </w:tr>
            <w:tr w14:paraId="6A574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1B03F86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氨氮</w:t>
                  </w:r>
                </w:p>
              </w:tc>
              <w:tc>
                <w:tcPr>
                  <w:tcW w:w="1209" w:type="pct"/>
                  <w:vAlign w:val="center"/>
                </w:tcPr>
                <w:p w14:paraId="025D378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0.402~0.423</w:t>
                  </w:r>
                </w:p>
              </w:tc>
              <w:tc>
                <w:tcPr>
                  <w:tcW w:w="1037" w:type="pct"/>
                  <w:vAlign w:val="center"/>
                </w:tcPr>
                <w:p w14:paraId="4D27DAA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0.405~0.745</w:t>
                  </w:r>
                </w:p>
              </w:tc>
              <w:tc>
                <w:tcPr>
                  <w:tcW w:w="1209" w:type="pct"/>
                  <w:vAlign w:val="center"/>
                </w:tcPr>
                <w:p w14:paraId="0CFD3E9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0.3875~0.4115</w:t>
                  </w:r>
                </w:p>
              </w:tc>
            </w:tr>
            <w:tr w14:paraId="5348D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3170235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总磷</w:t>
                  </w:r>
                </w:p>
              </w:tc>
              <w:tc>
                <w:tcPr>
                  <w:tcW w:w="1209" w:type="pct"/>
                  <w:vAlign w:val="center"/>
                </w:tcPr>
                <w:p w14:paraId="3608E0A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0.45~0.6</w:t>
                  </w:r>
                </w:p>
              </w:tc>
              <w:tc>
                <w:tcPr>
                  <w:tcW w:w="1037" w:type="pct"/>
                  <w:vAlign w:val="center"/>
                </w:tcPr>
                <w:p w14:paraId="0D9F3FE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0.45~0.575</w:t>
                  </w:r>
                </w:p>
              </w:tc>
              <w:tc>
                <w:tcPr>
                  <w:tcW w:w="1209" w:type="pct"/>
                  <w:vAlign w:val="center"/>
                </w:tcPr>
                <w:p w14:paraId="31638DE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0.5~0.525</w:t>
                  </w:r>
                </w:p>
              </w:tc>
            </w:tr>
            <w:tr w14:paraId="576B2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2D728C8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阴离子表面活性剂</w:t>
                  </w:r>
                </w:p>
              </w:tc>
              <w:tc>
                <w:tcPr>
                  <w:tcW w:w="1209" w:type="pct"/>
                  <w:vAlign w:val="center"/>
                </w:tcPr>
                <w:p w14:paraId="1E858BE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0.083</w:t>
                  </w:r>
                </w:p>
              </w:tc>
              <w:tc>
                <w:tcPr>
                  <w:tcW w:w="1037" w:type="pct"/>
                  <w:vAlign w:val="center"/>
                </w:tcPr>
                <w:p w14:paraId="04540E1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0.083</w:t>
                  </w:r>
                </w:p>
              </w:tc>
              <w:tc>
                <w:tcPr>
                  <w:tcW w:w="1209" w:type="pct"/>
                  <w:vAlign w:val="center"/>
                </w:tcPr>
                <w:p w14:paraId="27ADF3B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0.083</w:t>
                  </w:r>
                </w:p>
              </w:tc>
            </w:tr>
            <w:tr w14:paraId="76EDE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3" w:type="pct"/>
                  <w:vAlign w:val="center"/>
                </w:tcPr>
                <w:p w14:paraId="45EAD7C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粪大肠菌群</w:t>
                  </w:r>
                </w:p>
              </w:tc>
              <w:tc>
                <w:tcPr>
                  <w:tcW w:w="1209" w:type="pct"/>
                  <w:vAlign w:val="center"/>
                </w:tcPr>
                <w:p w14:paraId="5D65A05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0.0118~0.0235</w:t>
                  </w:r>
                </w:p>
              </w:tc>
              <w:tc>
                <w:tcPr>
                  <w:tcW w:w="1037" w:type="pct"/>
                  <w:vAlign w:val="center"/>
                </w:tcPr>
                <w:p w14:paraId="1EC55E1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0.0325~0.07</w:t>
                  </w:r>
                </w:p>
              </w:tc>
              <w:tc>
                <w:tcPr>
                  <w:tcW w:w="1209" w:type="pct"/>
                  <w:vAlign w:val="center"/>
                </w:tcPr>
                <w:p w14:paraId="14B8219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0.0275~0.045</w:t>
                  </w:r>
                </w:p>
              </w:tc>
            </w:tr>
          </w:tbl>
          <w:p w14:paraId="2060722D">
            <w:pPr>
              <w:pStyle w:val="11"/>
              <w:ind w:firstLine="0" w:firstLineChars="0"/>
              <w:jc w:val="left"/>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注：低于检出限的按检出限的50%进行计算。</w:t>
            </w:r>
          </w:p>
          <w:p w14:paraId="2F08F167">
            <w:pPr>
              <w:spacing w:before="156" w:beforeLines="5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纳污水体福田河的监测结果表明，项目所在地地表水环境的各监测指标均达到《地表水环境质量标准》（GB3838-2002）中的Ⅴ类标准，福田河水质符合《地表水环境质量标准》（GB3838-2002）中的Ⅴ类标准要求。</w:t>
            </w:r>
          </w:p>
          <w:p w14:paraId="0521DA15">
            <w:pPr>
              <w:pStyle w:val="6"/>
              <w:numPr>
                <w:ilvl w:val="0"/>
                <w:numId w:val="10"/>
              </w:numPr>
              <w:spacing w:before="0" w:after="0" w:line="360" w:lineRule="auto"/>
              <w:ind w:left="0" w:firstLine="586"/>
              <w:rPr>
                <w:rFonts w:ascii="Times New Roman" w:hAnsi="Times New Roman" w:eastAsia="宋体"/>
                <w:color w:val="000000" w:themeColor="text1"/>
                <w:sz w:val="24"/>
                <w:szCs w:val="24"/>
                <w14:textFill>
                  <w14:solidFill>
                    <w14:schemeClr w14:val="tx1"/>
                  </w14:solidFill>
                </w14:textFill>
              </w:rPr>
            </w:pPr>
            <w:r>
              <w:rPr>
                <w:rFonts w:ascii="Times New Roman" w:hAnsi="Times New Roman" w:eastAsia="宋体"/>
                <w:color w:val="000000" w:themeColor="text1"/>
                <w:sz w:val="24"/>
                <w:szCs w:val="24"/>
                <w14:textFill>
                  <w14:solidFill>
                    <w14:schemeClr w14:val="tx1"/>
                  </w14:solidFill>
                </w14:textFill>
              </w:rPr>
              <w:t>声环境质量现状</w:t>
            </w:r>
          </w:p>
          <w:p w14:paraId="7EB80D0D">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本项目所在区域属于声环境功能2类区，执行《声环境质量标准》（GB3096-2008）2类标准（昼间≤60dB（A），夜间≤50dB（A））。</w:t>
            </w:r>
          </w:p>
          <w:p w14:paraId="6DF2283E">
            <w:pPr>
              <w:spacing w:line="360" w:lineRule="auto"/>
              <w:ind w:firstLine="480" w:firstLineChars="200"/>
              <w:rPr>
                <w:color w:val="000000"/>
                <w:sz w:val="24"/>
              </w:rPr>
            </w:pPr>
            <w:r>
              <w:rPr>
                <w:color w:val="000000"/>
                <w:sz w:val="24"/>
              </w:rPr>
              <w:t>本项目厂界50米范围内包含</w:t>
            </w:r>
            <w:r>
              <w:rPr>
                <w:rFonts w:hint="eastAsia"/>
                <w:color w:val="000000"/>
                <w:sz w:val="24"/>
              </w:rPr>
              <w:t>1</w:t>
            </w:r>
            <w:r>
              <w:rPr>
                <w:color w:val="000000"/>
                <w:sz w:val="24"/>
              </w:rPr>
              <w:t>个敏感点：</w:t>
            </w:r>
            <w:r>
              <w:rPr>
                <w:rFonts w:hint="eastAsia"/>
                <w:color w:val="000000"/>
                <w:sz w:val="24"/>
              </w:rPr>
              <w:t>北侧民居</w:t>
            </w:r>
            <w:r>
              <w:rPr>
                <w:color w:val="000000"/>
                <w:sz w:val="24"/>
              </w:rPr>
              <w:t>。因此为了解本项目周围声环境现状，</w:t>
            </w:r>
            <w:r>
              <w:rPr>
                <w:color w:val="000000" w:themeColor="text1"/>
                <w:sz w:val="24"/>
                <w14:textFill>
                  <w14:solidFill>
                    <w14:schemeClr w14:val="tx1"/>
                  </w14:solidFill>
                </w14:textFill>
              </w:rPr>
              <w:t>本项目委托</w:t>
            </w:r>
            <w:r>
              <w:rPr>
                <w:rFonts w:hint="eastAsia"/>
                <w:color w:val="000000" w:themeColor="text1"/>
                <w:sz w:val="24"/>
                <w14:textFill>
                  <w14:solidFill>
                    <w14:schemeClr w14:val="tx1"/>
                  </w14:solidFill>
                </w14:textFill>
              </w:rPr>
              <w:t>广州市弗雷德检测技术</w:t>
            </w:r>
            <w:r>
              <w:rPr>
                <w:color w:val="000000" w:themeColor="text1"/>
                <w:sz w:val="24"/>
                <w14:textFill>
                  <w14:solidFill>
                    <w14:schemeClr w14:val="tx1"/>
                  </w14:solidFill>
                </w14:textFill>
              </w:rPr>
              <w:t>有限公司于202</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年</w:t>
            </w:r>
            <w:r>
              <w:rPr>
                <w:rFonts w:hint="eastAsia"/>
                <w:color w:val="000000" w:themeColor="text1"/>
                <w:sz w:val="24"/>
                <w14:textFill>
                  <w14:solidFill>
                    <w14:schemeClr w14:val="tx1"/>
                  </w14:solidFill>
                </w14:textFill>
              </w:rPr>
              <w:t>8</w:t>
            </w:r>
            <w:r>
              <w:rPr>
                <w:color w:val="000000" w:themeColor="text1"/>
                <w:sz w:val="24"/>
                <w14:textFill>
                  <w14:solidFill>
                    <w14:schemeClr w14:val="tx1"/>
                  </w14:solidFill>
                </w14:textFill>
              </w:rPr>
              <w:t>月</w:t>
            </w:r>
            <w:r>
              <w:rPr>
                <w:rFonts w:hint="eastAsia"/>
                <w:color w:val="000000" w:themeColor="text1"/>
                <w:sz w:val="24"/>
                <w14:textFill>
                  <w14:solidFill>
                    <w14:schemeClr w14:val="tx1"/>
                  </w14:solidFill>
                </w14:textFill>
              </w:rPr>
              <w:t>28</w:t>
            </w:r>
            <w:r>
              <w:rPr>
                <w:color w:val="000000" w:themeColor="text1"/>
                <w:sz w:val="24"/>
                <w14:textFill>
                  <w14:solidFill>
                    <w14:schemeClr w14:val="tx1"/>
                  </w14:solidFill>
                </w14:textFill>
              </w:rPr>
              <w:t>日昼</w:t>
            </w:r>
            <w:r>
              <w:rPr>
                <w:rFonts w:hint="eastAsia"/>
                <w:color w:val="000000" w:themeColor="text1"/>
                <w:sz w:val="24"/>
                <w14:textFill>
                  <w14:solidFill>
                    <w14:schemeClr w14:val="tx1"/>
                  </w14:solidFill>
                </w14:textFill>
              </w:rPr>
              <w:t>夜</w:t>
            </w:r>
            <w:r>
              <w:rPr>
                <w:color w:val="000000" w:themeColor="text1"/>
                <w:sz w:val="24"/>
                <w14:textFill>
                  <w14:solidFill>
                    <w14:schemeClr w14:val="tx1"/>
                  </w14:solidFill>
                </w14:textFill>
              </w:rPr>
              <w:t>间在项目距离</w:t>
            </w:r>
            <w:r>
              <w:rPr>
                <w:rFonts w:hint="eastAsia"/>
                <w:color w:val="000000" w:themeColor="text1"/>
                <w:sz w:val="24"/>
                <w14:textFill>
                  <w14:solidFill>
                    <w14:schemeClr w14:val="tx1"/>
                  </w14:solidFill>
                </w14:textFill>
              </w:rPr>
              <w:t>北侧民居</w:t>
            </w:r>
            <w:r>
              <w:rPr>
                <w:color w:val="000000" w:themeColor="text1"/>
                <w:sz w:val="24"/>
                <w14:textFill>
                  <w14:solidFill>
                    <w14:schemeClr w14:val="tx1"/>
                  </w14:solidFill>
                </w14:textFill>
              </w:rPr>
              <w:t>最近点进行设点监测</w:t>
            </w:r>
            <w:r>
              <w:rPr>
                <w:rFonts w:hint="eastAsia"/>
                <w:color w:val="000000" w:themeColor="text1"/>
                <w:sz w:val="24"/>
                <w14:textFill>
                  <w14:solidFill>
                    <w14:schemeClr w14:val="tx1"/>
                  </w14:solidFill>
                </w14:textFill>
              </w:rPr>
              <w:t>（报告编号：弗雷德检字(2025)第0822C07号）（见附件7-3）</w:t>
            </w:r>
            <w:r>
              <w:rPr>
                <w:color w:val="000000"/>
                <w:sz w:val="24"/>
              </w:rPr>
              <w:t>，测点结果见下表。</w:t>
            </w:r>
            <w:r>
              <w:rPr>
                <w:color w:val="000000" w:themeColor="text1"/>
                <w:sz w:val="24"/>
                <w14:textFill>
                  <w14:solidFill>
                    <w14:schemeClr w14:val="tx1"/>
                  </w14:solidFill>
                </w14:textFill>
              </w:rPr>
              <w:t>监测点位见附图7</w:t>
            </w:r>
            <w:r>
              <w:rPr>
                <w:rFonts w:hint="eastAsia"/>
                <w:color w:val="000000" w:themeColor="text1"/>
                <w:sz w:val="24"/>
                <w14:textFill>
                  <w14:solidFill>
                    <w14:schemeClr w14:val="tx1"/>
                  </w14:solidFill>
                </w14:textFill>
              </w:rPr>
              <w:t>-2。</w:t>
            </w:r>
          </w:p>
          <w:p w14:paraId="7DFEC5E9">
            <w:pPr>
              <w:adjustRightInd w:val="0"/>
              <w:spacing w:line="360" w:lineRule="auto"/>
              <w:jc w:val="center"/>
              <w:textAlignment w:val="baseline"/>
              <w:rPr>
                <w:b/>
                <w:kern w:val="0"/>
                <w:szCs w:val="21"/>
              </w:rPr>
            </w:pPr>
            <w:r>
              <w:rPr>
                <w:rFonts w:hint="eastAsia"/>
                <w:b/>
                <w:kern w:val="0"/>
                <w:szCs w:val="21"/>
              </w:rPr>
              <w:t xml:space="preserve">表3-4  </w:t>
            </w:r>
            <w:r>
              <w:rPr>
                <w:b/>
                <w:kern w:val="0"/>
                <w:szCs w:val="21"/>
              </w:rPr>
              <w:t>声环境现状监测结果</w:t>
            </w: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2"/>
              <w:gridCol w:w="2489"/>
              <w:gridCol w:w="1311"/>
              <w:gridCol w:w="1313"/>
              <w:gridCol w:w="1932"/>
            </w:tblGrid>
            <w:tr w14:paraId="406F4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pct"/>
                  <w:vAlign w:val="center"/>
                </w:tcPr>
                <w:p w14:paraId="31FB715C">
                  <w:pPr>
                    <w:pStyle w:val="79"/>
                    <w:autoSpaceDN/>
                    <w:snapToGrid w:val="0"/>
                    <w:rPr>
                      <w:rFonts w:ascii="Times New Roman" w:hAnsi="Times New Roman"/>
                      <w:b/>
                      <w:bCs/>
                      <w:color w:val="000000"/>
                      <w:sz w:val="21"/>
                    </w:rPr>
                  </w:pPr>
                  <w:r>
                    <w:rPr>
                      <w:rFonts w:ascii="Times New Roman" w:hAnsi="Times New Roman"/>
                      <w:b/>
                      <w:bCs/>
                      <w:color w:val="000000"/>
                      <w:sz w:val="21"/>
                    </w:rPr>
                    <w:t>编号</w:t>
                  </w:r>
                </w:p>
              </w:tc>
              <w:tc>
                <w:tcPr>
                  <w:tcW w:w="1500" w:type="pct"/>
                  <w:vAlign w:val="center"/>
                </w:tcPr>
                <w:p w14:paraId="163897B0">
                  <w:pPr>
                    <w:pStyle w:val="79"/>
                    <w:autoSpaceDN/>
                    <w:snapToGrid w:val="0"/>
                    <w:rPr>
                      <w:rFonts w:ascii="Times New Roman" w:hAnsi="Times New Roman"/>
                      <w:b/>
                      <w:bCs/>
                      <w:color w:val="000000"/>
                      <w:sz w:val="21"/>
                    </w:rPr>
                  </w:pPr>
                  <w:r>
                    <w:rPr>
                      <w:rFonts w:ascii="Times New Roman" w:hAnsi="Times New Roman"/>
                      <w:b/>
                      <w:bCs/>
                      <w:color w:val="000000"/>
                      <w:sz w:val="21"/>
                    </w:rPr>
                    <w:t>监测位置</w:t>
                  </w:r>
                </w:p>
              </w:tc>
              <w:tc>
                <w:tcPr>
                  <w:tcW w:w="1581" w:type="pct"/>
                  <w:gridSpan w:val="2"/>
                  <w:vAlign w:val="center"/>
                </w:tcPr>
                <w:p w14:paraId="141FF66F">
                  <w:pPr>
                    <w:adjustRightInd w:val="0"/>
                    <w:snapToGrid w:val="0"/>
                    <w:jc w:val="center"/>
                    <w:rPr>
                      <w:b/>
                      <w:bCs/>
                      <w:color w:val="000000"/>
                    </w:rPr>
                  </w:pPr>
                  <w:r>
                    <w:rPr>
                      <w:b/>
                      <w:bCs/>
                      <w:color w:val="000000"/>
                    </w:rPr>
                    <w:t>监测结果</w:t>
                  </w:r>
                  <w:r>
                    <w:rPr>
                      <w:color w:val="000000"/>
                      <w:sz w:val="18"/>
                      <w:szCs w:val="18"/>
                    </w:rPr>
                    <w:t>dB(A)</w:t>
                  </w:r>
                </w:p>
              </w:tc>
              <w:tc>
                <w:tcPr>
                  <w:tcW w:w="1164" w:type="pct"/>
                  <w:vAlign w:val="center"/>
                </w:tcPr>
                <w:p w14:paraId="293DBC58">
                  <w:pPr>
                    <w:adjustRightInd w:val="0"/>
                    <w:snapToGrid w:val="0"/>
                    <w:jc w:val="center"/>
                    <w:rPr>
                      <w:b/>
                      <w:bCs/>
                      <w:color w:val="000000"/>
                    </w:rPr>
                  </w:pPr>
                  <w:r>
                    <w:rPr>
                      <w:b/>
                      <w:bCs/>
                      <w:color w:val="000000"/>
                    </w:rPr>
                    <w:t>标准值</w:t>
                  </w:r>
                </w:p>
              </w:tc>
            </w:tr>
            <w:tr w14:paraId="6EF73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754" w:type="pct"/>
                  <w:vMerge w:val="restart"/>
                  <w:vAlign w:val="center"/>
                </w:tcPr>
                <w:p w14:paraId="0753395F">
                  <w:pPr>
                    <w:adjustRightInd w:val="0"/>
                    <w:snapToGrid w:val="0"/>
                    <w:jc w:val="center"/>
                    <w:rPr>
                      <w:color w:val="000000"/>
                    </w:rPr>
                  </w:pPr>
                  <w:r>
                    <w:rPr>
                      <w:rFonts w:hint="eastAsia"/>
                      <w:color w:val="000000"/>
                    </w:rPr>
                    <w:t>N0</w:t>
                  </w:r>
                  <w:r>
                    <w:rPr>
                      <w:color w:val="000000"/>
                    </w:rPr>
                    <w:t>1</w:t>
                  </w:r>
                </w:p>
              </w:tc>
              <w:tc>
                <w:tcPr>
                  <w:tcW w:w="1500" w:type="pct"/>
                  <w:vMerge w:val="restart"/>
                  <w:vAlign w:val="center"/>
                </w:tcPr>
                <w:p w14:paraId="1ECC9DB9">
                  <w:pPr>
                    <w:adjustRightInd w:val="0"/>
                    <w:snapToGrid w:val="0"/>
                    <w:jc w:val="center"/>
                    <w:rPr>
                      <w:color w:val="000000"/>
                    </w:rPr>
                  </w:pPr>
                  <w:r>
                    <w:rPr>
                      <w:rFonts w:hint="eastAsia"/>
                      <w:color w:val="000000"/>
                    </w:rPr>
                    <w:t>北侧民居</w:t>
                  </w:r>
                </w:p>
              </w:tc>
              <w:tc>
                <w:tcPr>
                  <w:tcW w:w="790" w:type="pct"/>
                  <w:vAlign w:val="center"/>
                </w:tcPr>
                <w:p w14:paraId="2ACB7C21">
                  <w:pPr>
                    <w:adjustRightInd w:val="0"/>
                    <w:snapToGrid w:val="0"/>
                    <w:jc w:val="center"/>
                    <w:rPr>
                      <w:color w:val="000000"/>
                    </w:rPr>
                  </w:pPr>
                  <w:r>
                    <w:rPr>
                      <w:b/>
                      <w:bCs/>
                      <w:color w:val="000000"/>
                    </w:rPr>
                    <w:t>昼间</w:t>
                  </w:r>
                </w:p>
              </w:tc>
              <w:tc>
                <w:tcPr>
                  <w:tcW w:w="791" w:type="pct"/>
                  <w:vAlign w:val="center"/>
                </w:tcPr>
                <w:p w14:paraId="5B65C11F">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55</w:t>
                  </w:r>
                </w:p>
              </w:tc>
              <w:tc>
                <w:tcPr>
                  <w:tcW w:w="1164" w:type="pct"/>
                  <w:vAlign w:val="center"/>
                </w:tcPr>
                <w:p w14:paraId="69AEB8DF">
                  <w:pPr>
                    <w:adjustRightInd w:val="0"/>
                    <w:snapToGrid w:val="0"/>
                    <w:jc w:val="center"/>
                    <w:rPr>
                      <w:color w:val="000000"/>
                    </w:rPr>
                  </w:pPr>
                  <w:r>
                    <w:rPr>
                      <w:color w:val="000000"/>
                    </w:rPr>
                    <w:t>昼间：60</w:t>
                  </w:r>
                </w:p>
              </w:tc>
            </w:tr>
            <w:tr w14:paraId="3C933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754" w:type="pct"/>
                  <w:vMerge w:val="continue"/>
                  <w:vAlign w:val="center"/>
                </w:tcPr>
                <w:p w14:paraId="1C31254E">
                  <w:pPr>
                    <w:adjustRightInd w:val="0"/>
                    <w:snapToGrid w:val="0"/>
                    <w:jc w:val="center"/>
                    <w:rPr>
                      <w:color w:val="000000"/>
                    </w:rPr>
                  </w:pPr>
                </w:p>
              </w:tc>
              <w:tc>
                <w:tcPr>
                  <w:tcW w:w="1500" w:type="pct"/>
                  <w:vMerge w:val="continue"/>
                  <w:vAlign w:val="center"/>
                </w:tcPr>
                <w:p w14:paraId="2470E60C">
                  <w:pPr>
                    <w:adjustRightInd w:val="0"/>
                    <w:snapToGrid w:val="0"/>
                    <w:jc w:val="center"/>
                    <w:rPr>
                      <w:color w:val="000000"/>
                    </w:rPr>
                  </w:pPr>
                </w:p>
              </w:tc>
              <w:tc>
                <w:tcPr>
                  <w:tcW w:w="790" w:type="pct"/>
                  <w:vAlign w:val="center"/>
                </w:tcPr>
                <w:p w14:paraId="1A36237E">
                  <w:pPr>
                    <w:adjustRightInd w:val="0"/>
                    <w:snapToGrid w:val="0"/>
                    <w:jc w:val="center"/>
                    <w:rPr>
                      <w:color w:val="000000"/>
                    </w:rPr>
                  </w:pPr>
                  <w:r>
                    <w:rPr>
                      <w:rFonts w:hint="eastAsia"/>
                      <w:color w:val="000000"/>
                    </w:rPr>
                    <w:t>夜间</w:t>
                  </w:r>
                </w:p>
              </w:tc>
              <w:tc>
                <w:tcPr>
                  <w:tcW w:w="791" w:type="pct"/>
                  <w:vAlign w:val="center"/>
                </w:tcPr>
                <w:p w14:paraId="29FC570A">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46</w:t>
                  </w:r>
                </w:p>
              </w:tc>
              <w:tc>
                <w:tcPr>
                  <w:tcW w:w="1164" w:type="pct"/>
                  <w:vAlign w:val="center"/>
                </w:tcPr>
                <w:p w14:paraId="50A3F24C">
                  <w:pPr>
                    <w:adjustRightInd w:val="0"/>
                    <w:snapToGrid w:val="0"/>
                    <w:jc w:val="center"/>
                    <w:rPr>
                      <w:color w:val="000000"/>
                    </w:rPr>
                  </w:pPr>
                  <w:r>
                    <w:rPr>
                      <w:rFonts w:hint="eastAsia"/>
                      <w:color w:val="000000"/>
                    </w:rPr>
                    <w:t>夜间：50</w:t>
                  </w:r>
                </w:p>
              </w:tc>
            </w:tr>
          </w:tbl>
          <w:p w14:paraId="4C757415">
            <w:pPr>
              <w:spacing w:before="156" w:beforeLines="50" w:line="360" w:lineRule="auto"/>
              <w:ind w:firstLine="480" w:firstLineChars="200"/>
              <w:rPr>
                <w:color w:val="000000"/>
                <w:sz w:val="24"/>
              </w:rPr>
            </w:pPr>
            <w:r>
              <w:rPr>
                <w:color w:val="000000" w:themeColor="text1"/>
                <w:sz w:val="24"/>
                <w14:textFill>
                  <w14:solidFill>
                    <w14:schemeClr w14:val="tx1"/>
                  </w14:solidFill>
                </w14:textFill>
              </w:rPr>
              <w:t>由上表可知，</w:t>
            </w:r>
            <w:r>
              <w:rPr>
                <w:rFonts w:hint="eastAsia"/>
                <w:color w:val="000000" w:themeColor="text1"/>
                <w:sz w:val="24"/>
                <w14:textFill>
                  <w14:solidFill>
                    <w14:schemeClr w14:val="tx1"/>
                  </w14:solidFill>
                </w14:textFill>
              </w:rPr>
              <w:t>项目附近北侧民居</w:t>
            </w:r>
            <w:r>
              <w:rPr>
                <w:color w:val="000000" w:themeColor="text1"/>
                <w:sz w:val="24"/>
                <w14:textFill>
                  <w14:solidFill>
                    <w14:schemeClr w14:val="tx1"/>
                  </w14:solidFill>
                </w14:textFill>
              </w:rPr>
              <w:t>环境噪声满足《声环境质量标准》（GB3096-2008）2类标准限值的要求，说明本项目所在地声环境质量较好。</w:t>
            </w:r>
          </w:p>
          <w:p w14:paraId="75D9991D">
            <w:pPr>
              <w:pStyle w:val="6"/>
              <w:numPr>
                <w:ilvl w:val="0"/>
                <w:numId w:val="10"/>
              </w:numPr>
              <w:spacing w:before="0" w:after="0" w:line="360" w:lineRule="auto"/>
              <w:ind w:left="0" w:firstLine="586"/>
              <w:rPr>
                <w:rFonts w:ascii="Times New Roman" w:hAnsi="Times New Roman" w:eastAsia="宋体"/>
                <w:color w:val="000000"/>
                <w:sz w:val="24"/>
                <w:szCs w:val="24"/>
              </w:rPr>
            </w:pPr>
            <w:r>
              <w:rPr>
                <w:rFonts w:ascii="Times New Roman" w:hAnsi="Times New Roman" w:eastAsia="宋体"/>
                <w:color w:val="000000"/>
                <w:sz w:val="24"/>
                <w:szCs w:val="24"/>
              </w:rPr>
              <w:t>生态环境</w:t>
            </w:r>
          </w:p>
          <w:p w14:paraId="37D3F53B">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本项目位于惠州市</w:t>
            </w:r>
            <w:r>
              <w:rPr>
                <w:bCs/>
                <w:color w:val="000000" w:themeColor="text1"/>
                <w:sz w:val="24"/>
                <w14:textFill>
                  <w14:solidFill>
                    <w14:schemeClr w14:val="tx1"/>
                  </w14:solidFill>
                </w14:textFill>
              </w:rPr>
              <w:t>博罗县</w:t>
            </w:r>
            <w:r>
              <w:rPr>
                <w:rFonts w:hint="eastAsia"/>
                <w:bCs/>
                <w:color w:val="000000" w:themeColor="text1"/>
                <w:sz w:val="24"/>
                <w14:textFill>
                  <w14:solidFill>
                    <w14:schemeClr w14:val="tx1"/>
                  </w14:solidFill>
                </w14:textFill>
              </w:rPr>
              <w:t>长宁</w:t>
            </w:r>
            <w:r>
              <w:rPr>
                <w:bCs/>
                <w:color w:val="000000" w:themeColor="text1"/>
                <w:sz w:val="24"/>
                <w14:textFill>
                  <w14:solidFill>
                    <w14:schemeClr w14:val="tx1"/>
                  </w14:solidFill>
                </w14:textFill>
              </w:rPr>
              <w:t>镇福田荔枝墩村</w:t>
            </w:r>
            <w:r>
              <w:rPr>
                <w:rFonts w:hint="eastAsia"/>
                <w:color w:val="000000" w:themeColor="text1"/>
                <w:sz w:val="24"/>
                <w14:textFill>
                  <w14:solidFill>
                    <w14:schemeClr w14:val="tx1"/>
                  </w14:solidFill>
                </w14:textFill>
              </w:rPr>
              <w:t>（福达工业区福达大道277-1号）</w:t>
            </w:r>
            <w:r>
              <w:rPr>
                <w:color w:val="000000" w:themeColor="text1"/>
                <w:sz w:val="24"/>
                <w14:textFill>
                  <w14:solidFill>
                    <w14:schemeClr w14:val="tx1"/>
                  </w14:solidFill>
                </w14:textFill>
              </w:rPr>
              <w:t>，租用现有厂房进行建设，不新增用地，且用地范围内不涉及生态环境保护目标，无需进行生态现状调查。</w:t>
            </w:r>
          </w:p>
          <w:p w14:paraId="5973B079">
            <w:pPr>
              <w:pStyle w:val="6"/>
              <w:numPr>
                <w:ilvl w:val="0"/>
                <w:numId w:val="10"/>
              </w:numPr>
              <w:spacing w:before="0" w:after="0" w:line="360" w:lineRule="auto"/>
              <w:ind w:left="0" w:firstLine="586"/>
              <w:rPr>
                <w:rFonts w:ascii="Times New Roman" w:hAnsi="Times New Roman" w:eastAsia="宋体"/>
                <w:color w:val="000000"/>
                <w:sz w:val="24"/>
                <w:szCs w:val="24"/>
              </w:rPr>
            </w:pPr>
            <w:r>
              <w:rPr>
                <w:rFonts w:ascii="Times New Roman" w:hAnsi="Times New Roman" w:eastAsia="宋体"/>
                <w:color w:val="000000"/>
                <w:sz w:val="24"/>
                <w:szCs w:val="24"/>
              </w:rPr>
              <w:t>地下水环境</w:t>
            </w:r>
          </w:p>
          <w:p w14:paraId="4645FC35">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项目无地下水污染途径，故不开展地下水现状调查。</w:t>
            </w:r>
          </w:p>
          <w:p w14:paraId="05E94676">
            <w:pPr>
              <w:pStyle w:val="6"/>
              <w:numPr>
                <w:ilvl w:val="0"/>
                <w:numId w:val="10"/>
              </w:numPr>
              <w:spacing w:before="0" w:after="0" w:line="360" w:lineRule="auto"/>
              <w:ind w:left="0" w:firstLine="586"/>
              <w:rPr>
                <w:rFonts w:ascii="Times New Roman" w:hAnsi="Times New Roman" w:eastAsia="宋体"/>
                <w:color w:val="000000"/>
                <w:sz w:val="24"/>
                <w:szCs w:val="24"/>
              </w:rPr>
            </w:pPr>
            <w:r>
              <w:rPr>
                <w:rFonts w:ascii="Times New Roman" w:hAnsi="Times New Roman" w:eastAsia="宋体"/>
                <w:color w:val="000000"/>
                <w:sz w:val="24"/>
                <w:szCs w:val="24"/>
              </w:rPr>
              <w:t>土壤环境</w:t>
            </w:r>
          </w:p>
          <w:p w14:paraId="3D518DB7">
            <w:pPr>
              <w:spacing w:line="360" w:lineRule="auto"/>
              <w:ind w:firstLine="480" w:firstLineChars="200"/>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项目土壤污染途径，故不开展土壤现状调查。</w:t>
            </w:r>
          </w:p>
        </w:tc>
      </w:tr>
      <w:tr w14:paraId="373705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2400" w:hRule="atLeast"/>
        </w:trPr>
        <w:tc>
          <w:tcPr>
            <w:tcW w:w="624" w:type="dxa"/>
            <w:vAlign w:val="center"/>
          </w:tcPr>
          <w:p w14:paraId="7E98B178">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环境</w:t>
            </w:r>
          </w:p>
          <w:p w14:paraId="42DD4067">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保护</w:t>
            </w:r>
          </w:p>
          <w:p w14:paraId="3CFC9A57">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目标</w:t>
            </w:r>
          </w:p>
        </w:tc>
        <w:tc>
          <w:tcPr>
            <w:tcW w:w="8424" w:type="dxa"/>
            <w:vAlign w:val="center"/>
          </w:tcPr>
          <w:p w14:paraId="112ED2FE">
            <w:pPr>
              <w:pStyle w:val="6"/>
              <w:numPr>
                <w:ilvl w:val="0"/>
                <w:numId w:val="11"/>
              </w:numPr>
              <w:spacing w:before="0" w:after="0" w:line="360" w:lineRule="auto"/>
              <w:ind w:left="0" w:firstLine="444"/>
              <w:rPr>
                <w:rFonts w:ascii="Times New Roman" w:hAnsi="Times New Roman" w:eastAsia="宋体"/>
                <w:color w:val="000000"/>
                <w:sz w:val="24"/>
                <w:szCs w:val="24"/>
              </w:rPr>
            </w:pPr>
            <w:r>
              <w:rPr>
                <w:rFonts w:ascii="Times New Roman" w:hAnsi="Times New Roman" w:eastAsia="宋体"/>
                <w:color w:val="000000"/>
                <w:sz w:val="24"/>
                <w:szCs w:val="24"/>
              </w:rPr>
              <w:t>大气环境</w:t>
            </w:r>
          </w:p>
          <w:p w14:paraId="4C61220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保护项目周围地区的环境空气质量，使之达到保护人群健康和动植物在长期和短期接触情况下不发生伤害所需要的环境质量要求，即该区域大气环境质量按《环境空气质量标准》（GB3095-2012）及其修改单（生态环境部2018年第29号）中的二级标准的要求进行保护</w:t>
            </w:r>
            <w:r>
              <w:rPr>
                <w:rFonts w:hint="eastAsia"/>
                <w:color w:val="000000" w:themeColor="text1"/>
                <w:sz w:val="24"/>
                <w14:textFill>
                  <w14:solidFill>
                    <w14:schemeClr w14:val="tx1"/>
                  </w14:solidFill>
                </w14:textFill>
              </w:rPr>
              <w:t>，本项目属于环境空气二类区</w:t>
            </w:r>
            <w:r>
              <w:rPr>
                <w:color w:val="000000" w:themeColor="text1"/>
                <w:sz w:val="24"/>
                <w14:textFill>
                  <w14:solidFill>
                    <w14:schemeClr w14:val="tx1"/>
                  </w14:solidFill>
                </w14:textFill>
              </w:rPr>
              <w:t>。</w:t>
            </w:r>
          </w:p>
          <w:p w14:paraId="45644D60">
            <w:pPr>
              <w:adjustRightInd w:val="0"/>
              <w:spacing w:line="360" w:lineRule="auto"/>
              <w:jc w:val="center"/>
              <w:textAlignment w:val="baseline"/>
              <w:rPr>
                <w:b/>
                <w:kern w:val="0"/>
                <w:szCs w:val="21"/>
              </w:rPr>
            </w:pPr>
            <w:r>
              <w:rPr>
                <w:rFonts w:hint="eastAsia"/>
                <w:b/>
                <w:kern w:val="0"/>
                <w:szCs w:val="21"/>
              </w:rPr>
              <w:t xml:space="preserve">表3-5  </w:t>
            </w:r>
            <w:r>
              <w:rPr>
                <w:b/>
                <w:kern w:val="0"/>
                <w:szCs w:val="21"/>
              </w:rPr>
              <w:t>本项目主要环境保护目标</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542"/>
              <w:gridCol w:w="1468"/>
              <w:gridCol w:w="594"/>
              <w:gridCol w:w="676"/>
              <w:gridCol w:w="753"/>
              <w:gridCol w:w="576"/>
              <w:gridCol w:w="831"/>
              <w:gridCol w:w="783"/>
            </w:tblGrid>
            <w:tr w14:paraId="38ED6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1" w:type="dxa"/>
                  <w:vMerge w:val="restart"/>
                  <w:vAlign w:val="center"/>
                </w:tcPr>
                <w:p w14:paraId="33F930FF">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名称</w:t>
                  </w:r>
                </w:p>
              </w:tc>
              <w:tc>
                <w:tcPr>
                  <w:tcW w:w="3010" w:type="dxa"/>
                  <w:gridSpan w:val="2"/>
                  <w:vAlign w:val="center"/>
                </w:tcPr>
                <w:p w14:paraId="79D9674C">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坐标</w:t>
                  </w:r>
                </w:p>
              </w:tc>
              <w:tc>
                <w:tcPr>
                  <w:tcW w:w="594" w:type="dxa"/>
                  <w:vMerge w:val="restart"/>
                  <w:vAlign w:val="center"/>
                </w:tcPr>
                <w:p w14:paraId="245CC573">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保护对象</w:t>
                  </w:r>
                </w:p>
              </w:tc>
              <w:tc>
                <w:tcPr>
                  <w:tcW w:w="676" w:type="dxa"/>
                  <w:vMerge w:val="restart"/>
                  <w:vAlign w:val="center"/>
                </w:tcPr>
                <w:p w14:paraId="160F838E">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保护内容</w:t>
                  </w:r>
                </w:p>
              </w:tc>
              <w:tc>
                <w:tcPr>
                  <w:tcW w:w="753" w:type="dxa"/>
                  <w:vMerge w:val="restart"/>
                  <w:vAlign w:val="center"/>
                </w:tcPr>
                <w:p w14:paraId="6C368998">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环境功能区</w:t>
                  </w:r>
                </w:p>
              </w:tc>
              <w:tc>
                <w:tcPr>
                  <w:tcW w:w="576" w:type="dxa"/>
                  <w:vMerge w:val="restart"/>
                  <w:vAlign w:val="center"/>
                </w:tcPr>
                <w:p w14:paraId="0349701A">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相对厂址方位</w:t>
                  </w:r>
                </w:p>
              </w:tc>
              <w:tc>
                <w:tcPr>
                  <w:tcW w:w="831" w:type="dxa"/>
                  <w:vMerge w:val="restart"/>
                  <w:vAlign w:val="center"/>
                </w:tcPr>
                <w:p w14:paraId="335E4DDE">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相对项目厂房最近距离</w:t>
                  </w:r>
                </w:p>
              </w:tc>
              <w:tc>
                <w:tcPr>
                  <w:tcW w:w="783" w:type="dxa"/>
                  <w:vMerge w:val="restart"/>
                  <w:vAlign w:val="center"/>
                </w:tcPr>
                <w:p w14:paraId="43DE0EE0">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与产污车间最近直线距离</w:t>
                  </w:r>
                </w:p>
              </w:tc>
            </w:tr>
            <w:tr w14:paraId="5D70F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1" w:type="dxa"/>
                  <w:vMerge w:val="continue"/>
                  <w:vAlign w:val="center"/>
                </w:tcPr>
                <w:p w14:paraId="07A02DE5">
                  <w:pPr>
                    <w:widowControl/>
                    <w:ind w:left="-105" w:leftChars="-50" w:right="-105" w:rightChars="-50"/>
                    <w:jc w:val="center"/>
                    <w:rPr>
                      <w:b/>
                      <w:bCs/>
                      <w:color w:val="000000" w:themeColor="text1"/>
                      <w14:textFill>
                        <w14:solidFill>
                          <w14:schemeClr w14:val="tx1"/>
                        </w14:solidFill>
                      </w14:textFill>
                    </w:rPr>
                  </w:pPr>
                </w:p>
              </w:tc>
              <w:tc>
                <w:tcPr>
                  <w:tcW w:w="1542" w:type="dxa"/>
                  <w:vAlign w:val="center"/>
                </w:tcPr>
                <w:p w14:paraId="270D4E29">
                  <w:pPr>
                    <w:pStyle w:val="126"/>
                    <w:ind w:left="-105" w:leftChars="-50" w:right="-105" w:rightChars="-50"/>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经度</w:t>
                  </w:r>
                </w:p>
              </w:tc>
              <w:tc>
                <w:tcPr>
                  <w:tcW w:w="1468" w:type="dxa"/>
                  <w:vAlign w:val="center"/>
                </w:tcPr>
                <w:p w14:paraId="447C3590">
                  <w:pPr>
                    <w:pStyle w:val="126"/>
                    <w:ind w:left="-105" w:leftChars="-50" w:right="-105" w:rightChars="-50"/>
                    <w:rPr>
                      <w:rFonts w:hAnsi="Times New Roman"/>
                      <w:b/>
                      <w:bCs/>
                      <w:color w:val="7030A0"/>
                    </w:rPr>
                  </w:pPr>
                  <w:r>
                    <w:rPr>
                      <w:rFonts w:hAnsi="Times New Roman"/>
                      <w:b/>
                      <w:bCs/>
                      <w:color w:val="000000" w:themeColor="text1"/>
                      <w14:textFill>
                        <w14:solidFill>
                          <w14:schemeClr w14:val="tx1"/>
                        </w14:solidFill>
                      </w14:textFill>
                    </w:rPr>
                    <w:t>纬度</w:t>
                  </w:r>
                </w:p>
              </w:tc>
              <w:tc>
                <w:tcPr>
                  <w:tcW w:w="594" w:type="dxa"/>
                  <w:vMerge w:val="continue"/>
                  <w:vAlign w:val="center"/>
                </w:tcPr>
                <w:p w14:paraId="6C1FB7C4">
                  <w:pPr>
                    <w:widowControl/>
                    <w:ind w:left="-105" w:leftChars="-50" w:right="-105" w:rightChars="-50"/>
                    <w:jc w:val="center"/>
                    <w:rPr>
                      <w:b/>
                      <w:bCs/>
                      <w:color w:val="7030A0"/>
                    </w:rPr>
                  </w:pPr>
                </w:p>
              </w:tc>
              <w:tc>
                <w:tcPr>
                  <w:tcW w:w="676" w:type="dxa"/>
                  <w:vMerge w:val="continue"/>
                  <w:vAlign w:val="center"/>
                </w:tcPr>
                <w:p w14:paraId="17D9CDF8">
                  <w:pPr>
                    <w:widowControl/>
                    <w:ind w:left="-105" w:leftChars="-50" w:right="-105" w:rightChars="-50"/>
                    <w:jc w:val="center"/>
                    <w:rPr>
                      <w:b/>
                      <w:bCs/>
                      <w:color w:val="7030A0"/>
                    </w:rPr>
                  </w:pPr>
                </w:p>
              </w:tc>
              <w:tc>
                <w:tcPr>
                  <w:tcW w:w="753" w:type="dxa"/>
                  <w:vMerge w:val="continue"/>
                  <w:vAlign w:val="center"/>
                </w:tcPr>
                <w:p w14:paraId="19BF6F00">
                  <w:pPr>
                    <w:widowControl/>
                    <w:ind w:left="-105" w:leftChars="-50" w:right="-105" w:rightChars="-50"/>
                    <w:jc w:val="center"/>
                    <w:rPr>
                      <w:b/>
                      <w:bCs/>
                      <w:color w:val="7030A0"/>
                    </w:rPr>
                  </w:pPr>
                </w:p>
              </w:tc>
              <w:tc>
                <w:tcPr>
                  <w:tcW w:w="576" w:type="dxa"/>
                  <w:vMerge w:val="continue"/>
                  <w:vAlign w:val="center"/>
                </w:tcPr>
                <w:p w14:paraId="6012068D">
                  <w:pPr>
                    <w:widowControl/>
                    <w:ind w:left="-105" w:leftChars="-50" w:right="-105" w:rightChars="-50"/>
                    <w:jc w:val="center"/>
                    <w:rPr>
                      <w:b/>
                      <w:bCs/>
                      <w:color w:val="7030A0"/>
                    </w:rPr>
                  </w:pPr>
                </w:p>
              </w:tc>
              <w:tc>
                <w:tcPr>
                  <w:tcW w:w="831" w:type="dxa"/>
                  <w:vMerge w:val="continue"/>
                  <w:vAlign w:val="center"/>
                </w:tcPr>
                <w:p w14:paraId="2E9227DD">
                  <w:pPr>
                    <w:widowControl/>
                    <w:ind w:left="-105" w:leftChars="-50" w:right="-105" w:rightChars="-50"/>
                    <w:jc w:val="center"/>
                    <w:rPr>
                      <w:b/>
                      <w:bCs/>
                      <w:color w:val="000000" w:themeColor="text1"/>
                      <w14:textFill>
                        <w14:solidFill>
                          <w14:schemeClr w14:val="tx1"/>
                        </w14:solidFill>
                      </w14:textFill>
                    </w:rPr>
                  </w:pPr>
                </w:p>
              </w:tc>
              <w:tc>
                <w:tcPr>
                  <w:tcW w:w="783" w:type="dxa"/>
                  <w:vMerge w:val="continue"/>
                  <w:vAlign w:val="center"/>
                </w:tcPr>
                <w:p w14:paraId="38101E8E">
                  <w:pPr>
                    <w:widowControl/>
                    <w:ind w:left="-105" w:leftChars="-50" w:right="-105" w:rightChars="-50"/>
                    <w:jc w:val="center"/>
                    <w:rPr>
                      <w:b/>
                      <w:bCs/>
                      <w:color w:val="000000" w:themeColor="text1"/>
                      <w14:textFill>
                        <w14:solidFill>
                          <w14:schemeClr w14:val="tx1"/>
                        </w14:solidFill>
                      </w14:textFill>
                    </w:rPr>
                  </w:pPr>
                </w:p>
              </w:tc>
            </w:tr>
            <w:tr w14:paraId="55ADA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1" w:type="dxa"/>
                  <w:vAlign w:val="center"/>
                </w:tcPr>
                <w:p w14:paraId="528785AB">
                  <w:pPr>
                    <w:pStyle w:val="145"/>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北侧民居</w:t>
                  </w:r>
                </w:p>
              </w:tc>
              <w:tc>
                <w:tcPr>
                  <w:tcW w:w="1542" w:type="dxa"/>
                  <w:vAlign w:val="center"/>
                </w:tcPr>
                <w:p w14:paraId="341FCEDC">
                  <w:pPr>
                    <w:widowControl/>
                    <w:ind w:left="-105" w:leftChars="-50" w:right="-105" w:rightChars="-50"/>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E113°58′</w:t>
                  </w:r>
                  <w:r>
                    <w:rPr>
                      <w:rFonts w:hint="eastAsia"/>
                      <w:color w:val="000000" w:themeColor="text1"/>
                      <w14:textFill>
                        <w14:solidFill>
                          <w14:schemeClr w14:val="tx1"/>
                        </w14:solidFill>
                      </w14:textFill>
                    </w:rPr>
                    <w:t>41.98</w:t>
                  </w:r>
                  <w:r>
                    <w:rPr>
                      <w:color w:val="000000" w:themeColor="text1"/>
                      <w14:textFill>
                        <w14:solidFill>
                          <w14:schemeClr w14:val="tx1"/>
                        </w14:solidFill>
                      </w14:textFill>
                    </w:rPr>
                    <w:t>"</w:t>
                  </w:r>
                </w:p>
              </w:tc>
              <w:tc>
                <w:tcPr>
                  <w:tcW w:w="1468" w:type="dxa"/>
                  <w:vAlign w:val="center"/>
                </w:tcPr>
                <w:p w14:paraId="434F8A50">
                  <w:pPr>
                    <w:widowControl/>
                    <w:ind w:left="-105" w:leftChars="-50" w:right="-105" w:rightChars="-50"/>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N23°12′</w:t>
                  </w:r>
                  <w:r>
                    <w:rPr>
                      <w:rFonts w:hint="eastAsia"/>
                      <w:color w:val="000000" w:themeColor="text1"/>
                      <w14:textFill>
                        <w14:solidFill>
                          <w14:schemeClr w14:val="tx1"/>
                        </w14:solidFill>
                      </w14:textFill>
                    </w:rPr>
                    <w:t>4.62</w:t>
                  </w:r>
                  <w:r>
                    <w:rPr>
                      <w:color w:val="000000" w:themeColor="text1"/>
                      <w14:textFill>
                        <w14:solidFill>
                          <w14:schemeClr w14:val="tx1"/>
                        </w14:solidFill>
                      </w14:textFill>
                    </w:rPr>
                    <w:t>"</w:t>
                  </w:r>
                </w:p>
              </w:tc>
              <w:tc>
                <w:tcPr>
                  <w:tcW w:w="594" w:type="dxa"/>
                  <w:vAlign w:val="center"/>
                </w:tcPr>
                <w:p w14:paraId="5D7A0856">
                  <w:pPr>
                    <w:snapToGrid w:val="0"/>
                    <w:ind w:left="-105" w:leftChars="-50" w:right="-105" w:rightChars="-50"/>
                    <w:jc w:val="center"/>
                    <w:rPr>
                      <w:color w:val="000000" w:themeColor="text1"/>
                      <w14:textFill>
                        <w14:solidFill>
                          <w14:schemeClr w14:val="tx1"/>
                        </w14:solidFill>
                      </w14:textFill>
                    </w:rPr>
                  </w:pPr>
                  <w:r>
                    <w:rPr>
                      <w:color w:val="000000" w:themeColor="text1"/>
                      <w14:textFill>
                        <w14:solidFill>
                          <w14:schemeClr w14:val="tx1"/>
                        </w14:solidFill>
                      </w14:textFill>
                    </w:rPr>
                    <w:t>居民</w:t>
                  </w:r>
                </w:p>
              </w:tc>
              <w:tc>
                <w:tcPr>
                  <w:tcW w:w="676" w:type="dxa"/>
                  <w:vAlign w:val="center"/>
                </w:tcPr>
                <w:p w14:paraId="2D9EACF3">
                  <w:pPr>
                    <w:widowControl/>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30人</w:t>
                  </w:r>
                </w:p>
              </w:tc>
              <w:tc>
                <w:tcPr>
                  <w:tcW w:w="753" w:type="dxa"/>
                  <w:vMerge w:val="restart"/>
                  <w:vAlign w:val="center"/>
                </w:tcPr>
                <w:p w14:paraId="3B5DBAB9">
                  <w:pPr>
                    <w:widowControl/>
                    <w:ind w:left="-105" w:leftChars="-50" w:right="-105" w:rightChars="-50"/>
                    <w:jc w:val="center"/>
                    <w:rPr>
                      <w:bCs/>
                      <w:color w:val="000000" w:themeColor="text1"/>
                      <w14:textFill>
                        <w14:solidFill>
                          <w14:schemeClr w14:val="tx1"/>
                        </w14:solidFill>
                      </w14:textFill>
                    </w:rPr>
                  </w:pPr>
                  <w:r>
                    <w:rPr>
                      <w:color w:val="000000" w:themeColor="text1"/>
                      <w14:textFill>
                        <w14:solidFill>
                          <w14:schemeClr w14:val="tx1"/>
                        </w14:solidFill>
                      </w14:textFill>
                    </w:rPr>
                    <w:t>环境空气二类区</w:t>
                  </w:r>
                </w:p>
              </w:tc>
              <w:tc>
                <w:tcPr>
                  <w:tcW w:w="576" w:type="dxa"/>
                  <w:vAlign w:val="center"/>
                </w:tcPr>
                <w:p w14:paraId="15D119E2">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北</w:t>
                  </w:r>
                </w:p>
              </w:tc>
              <w:tc>
                <w:tcPr>
                  <w:tcW w:w="831" w:type="dxa"/>
                  <w:vAlign w:val="center"/>
                </w:tcPr>
                <w:p w14:paraId="11DAC24E">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2m</w:t>
                  </w:r>
                </w:p>
              </w:tc>
              <w:tc>
                <w:tcPr>
                  <w:tcW w:w="783" w:type="dxa"/>
                  <w:vAlign w:val="center"/>
                </w:tcPr>
                <w:p w14:paraId="105CDD97">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52m</w:t>
                  </w:r>
                </w:p>
              </w:tc>
            </w:tr>
            <w:tr w14:paraId="32CD5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1" w:type="dxa"/>
                  <w:vAlign w:val="center"/>
                </w:tcPr>
                <w:p w14:paraId="13B19ED8">
                  <w:pPr>
                    <w:pStyle w:val="145"/>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西侧民居</w:t>
                  </w:r>
                </w:p>
              </w:tc>
              <w:tc>
                <w:tcPr>
                  <w:tcW w:w="1542" w:type="dxa"/>
                  <w:vAlign w:val="center"/>
                </w:tcPr>
                <w:p w14:paraId="20278E93">
                  <w:pPr>
                    <w:widowControl/>
                    <w:ind w:left="-105" w:leftChars="-50" w:right="-105" w:rightChars="-50"/>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E113°58′36.79"</w:t>
                  </w:r>
                </w:p>
              </w:tc>
              <w:tc>
                <w:tcPr>
                  <w:tcW w:w="1468" w:type="dxa"/>
                  <w:vAlign w:val="center"/>
                </w:tcPr>
                <w:p w14:paraId="28956988">
                  <w:pPr>
                    <w:widowControl/>
                    <w:ind w:left="-105" w:leftChars="-50" w:right="-105" w:rightChars="-50"/>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N23°12′2.63"</w:t>
                  </w:r>
                </w:p>
              </w:tc>
              <w:tc>
                <w:tcPr>
                  <w:tcW w:w="594" w:type="dxa"/>
                  <w:vAlign w:val="center"/>
                </w:tcPr>
                <w:p w14:paraId="06FE4EDE">
                  <w:pPr>
                    <w:snapToGrid w:val="0"/>
                    <w:ind w:left="-105" w:leftChars="-50" w:right="-105" w:rightChars="-50"/>
                    <w:jc w:val="center"/>
                    <w:rPr>
                      <w:color w:val="000000" w:themeColor="text1"/>
                      <w14:textFill>
                        <w14:solidFill>
                          <w14:schemeClr w14:val="tx1"/>
                        </w14:solidFill>
                      </w14:textFill>
                    </w:rPr>
                  </w:pPr>
                  <w:r>
                    <w:rPr>
                      <w:color w:val="000000" w:themeColor="text1"/>
                      <w14:textFill>
                        <w14:solidFill>
                          <w14:schemeClr w14:val="tx1"/>
                        </w14:solidFill>
                      </w14:textFill>
                    </w:rPr>
                    <w:t>居民</w:t>
                  </w:r>
                </w:p>
              </w:tc>
              <w:tc>
                <w:tcPr>
                  <w:tcW w:w="676" w:type="dxa"/>
                  <w:vAlign w:val="center"/>
                </w:tcPr>
                <w:p w14:paraId="6524408F">
                  <w:pPr>
                    <w:widowControl/>
                    <w:ind w:left="-105" w:leftChars="-50" w:right="-105" w:rightChars="-50"/>
                    <w:jc w:val="center"/>
                    <w:rPr>
                      <w:color w:val="7030A0"/>
                    </w:rPr>
                  </w:pPr>
                  <w:r>
                    <w:rPr>
                      <w:rFonts w:hint="eastAsia"/>
                      <w:color w:val="000000" w:themeColor="text1"/>
                      <w14:textFill>
                        <w14:solidFill>
                          <w14:schemeClr w14:val="tx1"/>
                        </w14:solidFill>
                      </w14:textFill>
                    </w:rPr>
                    <w:t>300人</w:t>
                  </w:r>
                </w:p>
              </w:tc>
              <w:tc>
                <w:tcPr>
                  <w:tcW w:w="753" w:type="dxa"/>
                  <w:vMerge w:val="continue"/>
                  <w:vAlign w:val="center"/>
                </w:tcPr>
                <w:p w14:paraId="3ACDAAB5">
                  <w:pPr>
                    <w:widowControl/>
                    <w:ind w:left="-105" w:leftChars="-50" w:right="-105" w:rightChars="-50"/>
                    <w:jc w:val="center"/>
                    <w:rPr>
                      <w:color w:val="000000" w:themeColor="text1"/>
                      <w14:textFill>
                        <w14:solidFill>
                          <w14:schemeClr w14:val="tx1"/>
                        </w14:solidFill>
                      </w14:textFill>
                    </w:rPr>
                  </w:pPr>
                </w:p>
              </w:tc>
              <w:tc>
                <w:tcPr>
                  <w:tcW w:w="576" w:type="dxa"/>
                  <w:vAlign w:val="center"/>
                </w:tcPr>
                <w:p w14:paraId="7F1AA5C9">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西</w:t>
                  </w:r>
                </w:p>
              </w:tc>
              <w:tc>
                <w:tcPr>
                  <w:tcW w:w="831" w:type="dxa"/>
                  <w:vAlign w:val="center"/>
                </w:tcPr>
                <w:p w14:paraId="3C570D86">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72m</w:t>
                  </w:r>
                </w:p>
              </w:tc>
              <w:tc>
                <w:tcPr>
                  <w:tcW w:w="783" w:type="dxa"/>
                  <w:vAlign w:val="center"/>
                </w:tcPr>
                <w:p w14:paraId="72AEB11B">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76m</w:t>
                  </w:r>
                </w:p>
              </w:tc>
            </w:tr>
            <w:tr w14:paraId="18C48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1" w:type="dxa"/>
                  <w:vAlign w:val="center"/>
                </w:tcPr>
                <w:p w14:paraId="2FB27B18">
                  <w:pPr>
                    <w:pStyle w:val="145"/>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荔枝墩村</w:t>
                  </w:r>
                </w:p>
              </w:tc>
              <w:tc>
                <w:tcPr>
                  <w:tcW w:w="1542" w:type="dxa"/>
                  <w:vAlign w:val="center"/>
                </w:tcPr>
                <w:p w14:paraId="6D290E86">
                  <w:pPr>
                    <w:widowControl/>
                    <w:ind w:left="-105" w:leftChars="-50" w:right="-105" w:rightChars="-50"/>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E</w:t>
                  </w:r>
                  <w:r>
                    <w:rPr>
                      <w:color w:val="000000" w:themeColor="text1"/>
                      <w:lang w:bidi="ar"/>
                      <w14:textFill>
                        <w14:solidFill>
                          <w14:schemeClr w14:val="tx1"/>
                        </w14:solidFill>
                      </w14:textFill>
                    </w:rPr>
                    <w:t>113°58′23.50"</w:t>
                  </w:r>
                </w:p>
              </w:tc>
              <w:tc>
                <w:tcPr>
                  <w:tcW w:w="1468" w:type="dxa"/>
                  <w:vAlign w:val="center"/>
                </w:tcPr>
                <w:p w14:paraId="5B1F1D78">
                  <w:pPr>
                    <w:widowControl/>
                    <w:ind w:left="-105" w:leftChars="-50" w:right="-105" w:rightChars="-50"/>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N</w:t>
                  </w:r>
                  <w:r>
                    <w:rPr>
                      <w:color w:val="000000" w:themeColor="text1"/>
                      <w:lang w:bidi="ar"/>
                      <w14:textFill>
                        <w14:solidFill>
                          <w14:schemeClr w14:val="tx1"/>
                        </w14:solidFill>
                      </w14:textFill>
                    </w:rPr>
                    <w:t>23°12′11.42"</w:t>
                  </w:r>
                </w:p>
              </w:tc>
              <w:tc>
                <w:tcPr>
                  <w:tcW w:w="594" w:type="dxa"/>
                  <w:vAlign w:val="center"/>
                </w:tcPr>
                <w:p w14:paraId="53BA68EC">
                  <w:pPr>
                    <w:snapToGrid w:val="0"/>
                    <w:ind w:left="-105" w:leftChars="-50" w:right="-105" w:rightChars="-50"/>
                    <w:jc w:val="center"/>
                    <w:rPr>
                      <w:color w:val="000000" w:themeColor="text1"/>
                      <w14:textFill>
                        <w14:solidFill>
                          <w14:schemeClr w14:val="tx1"/>
                        </w14:solidFill>
                      </w14:textFill>
                    </w:rPr>
                  </w:pPr>
                  <w:r>
                    <w:rPr>
                      <w:color w:val="000000" w:themeColor="text1"/>
                      <w14:textFill>
                        <w14:solidFill>
                          <w14:schemeClr w14:val="tx1"/>
                        </w14:solidFill>
                      </w14:textFill>
                    </w:rPr>
                    <w:t>居民</w:t>
                  </w:r>
                </w:p>
              </w:tc>
              <w:tc>
                <w:tcPr>
                  <w:tcW w:w="676" w:type="dxa"/>
                  <w:vAlign w:val="center"/>
                </w:tcPr>
                <w:p w14:paraId="315807E4">
                  <w:pPr>
                    <w:widowControl/>
                    <w:ind w:left="-105" w:leftChars="-50" w:right="-105" w:rightChars="-50"/>
                    <w:jc w:val="center"/>
                    <w:rPr>
                      <w:color w:val="7030A0"/>
                    </w:rPr>
                  </w:pPr>
                  <w:r>
                    <w:rPr>
                      <w:rFonts w:hint="eastAsia"/>
                      <w:color w:val="000000" w:themeColor="text1"/>
                      <w14:textFill>
                        <w14:solidFill>
                          <w14:schemeClr w14:val="tx1"/>
                        </w14:solidFill>
                      </w14:textFill>
                    </w:rPr>
                    <w:t>1000人</w:t>
                  </w:r>
                </w:p>
              </w:tc>
              <w:tc>
                <w:tcPr>
                  <w:tcW w:w="753" w:type="dxa"/>
                  <w:vMerge w:val="continue"/>
                  <w:vAlign w:val="center"/>
                </w:tcPr>
                <w:p w14:paraId="19338DB9">
                  <w:pPr>
                    <w:widowControl/>
                    <w:ind w:left="-105" w:leftChars="-50" w:right="-105" w:rightChars="-50"/>
                    <w:jc w:val="center"/>
                    <w:rPr>
                      <w:color w:val="000000" w:themeColor="text1"/>
                      <w14:textFill>
                        <w14:solidFill>
                          <w14:schemeClr w14:val="tx1"/>
                        </w14:solidFill>
                      </w14:textFill>
                    </w:rPr>
                  </w:pPr>
                </w:p>
              </w:tc>
              <w:tc>
                <w:tcPr>
                  <w:tcW w:w="576" w:type="dxa"/>
                  <w:vAlign w:val="center"/>
                </w:tcPr>
                <w:p w14:paraId="69D0A827">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西北</w:t>
                  </w:r>
                </w:p>
              </w:tc>
              <w:tc>
                <w:tcPr>
                  <w:tcW w:w="831" w:type="dxa"/>
                  <w:vAlign w:val="center"/>
                </w:tcPr>
                <w:p w14:paraId="04CFD7FB">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472m</w:t>
                  </w:r>
                </w:p>
              </w:tc>
              <w:tc>
                <w:tcPr>
                  <w:tcW w:w="783" w:type="dxa"/>
                  <w:vAlign w:val="center"/>
                </w:tcPr>
                <w:p w14:paraId="349D7CAB">
                  <w:pPr>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487m</w:t>
                  </w:r>
                </w:p>
              </w:tc>
            </w:tr>
          </w:tbl>
          <w:p w14:paraId="13766E76">
            <w:pPr>
              <w:rPr>
                <w:color w:val="000000"/>
              </w:rPr>
            </w:pPr>
          </w:p>
          <w:p w14:paraId="4178507A">
            <w:pPr>
              <w:pStyle w:val="6"/>
              <w:numPr>
                <w:ilvl w:val="0"/>
                <w:numId w:val="11"/>
              </w:numPr>
              <w:spacing w:before="0" w:after="0" w:line="360" w:lineRule="auto"/>
              <w:ind w:left="0" w:firstLine="444"/>
              <w:rPr>
                <w:rFonts w:ascii="Times New Roman" w:hAnsi="Times New Roman" w:eastAsia="宋体"/>
                <w:color w:val="000000"/>
                <w:sz w:val="24"/>
                <w:szCs w:val="24"/>
              </w:rPr>
            </w:pPr>
            <w:r>
              <w:rPr>
                <w:rFonts w:ascii="Times New Roman" w:hAnsi="Times New Roman" w:eastAsia="宋体"/>
                <w:color w:val="000000"/>
                <w:sz w:val="24"/>
                <w:szCs w:val="24"/>
              </w:rPr>
              <w:t>声环境</w:t>
            </w:r>
          </w:p>
          <w:p w14:paraId="7160493A">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本项目所在区域属于声环境功能2类区，执行《声环境质量标准》（GB3096-2008）2类标准（昼间≤60dB（A），夜间≤50dB（A））</w:t>
            </w:r>
            <w:r>
              <w:rPr>
                <w:rFonts w:hint="eastAsia"/>
                <w:color w:val="000000" w:themeColor="text1"/>
                <w:sz w:val="24"/>
                <w14:textFill>
                  <w14:solidFill>
                    <w14:schemeClr w14:val="tx1"/>
                  </w14:solidFill>
                </w14:textFill>
              </w:rPr>
              <w:t>。</w:t>
            </w:r>
          </w:p>
          <w:p w14:paraId="070447EB">
            <w:pPr>
              <w:spacing w:line="360" w:lineRule="auto"/>
              <w:ind w:firstLine="480" w:firstLineChars="200"/>
              <w:rPr>
                <w:color w:val="000000"/>
                <w:sz w:val="24"/>
              </w:rPr>
            </w:pPr>
            <w:r>
              <w:rPr>
                <w:rFonts w:hint="eastAsia"/>
                <w:color w:val="000000" w:themeColor="text1"/>
                <w:sz w:val="24"/>
                <w14:textFill>
                  <w14:solidFill>
                    <w14:schemeClr w14:val="tx1"/>
                  </w14:solidFill>
                </w14:textFill>
              </w:rPr>
              <w:t>本项目厂界50米范围内的环境敏感目标为项目北侧距离厂界约2米处的北侧。</w:t>
            </w:r>
          </w:p>
          <w:p w14:paraId="16E18DEF">
            <w:pPr>
              <w:pStyle w:val="6"/>
              <w:numPr>
                <w:ilvl w:val="0"/>
                <w:numId w:val="11"/>
              </w:numPr>
              <w:spacing w:before="0" w:after="0" w:line="360" w:lineRule="auto"/>
              <w:ind w:left="0" w:firstLine="444"/>
              <w:rPr>
                <w:rFonts w:ascii="Times New Roman" w:hAnsi="Times New Roman" w:eastAsia="宋体"/>
                <w:color w:val="000000"/>
                <w:sz w:val="24"/>
                <w:szCs w:val="24"/>
              </w:rPr>
            </w:pPr>
            <w:r>
              <w:rPr>
                <w:rFonts w:ascii="Times New Roman" w:hAnsi="Times New Roman" w:eastAsia="宋体"/>
                <w:color w:val="000000"/>
                <w:sz w:val="24"/>
                <w:szCs w:val="24"/>
              </w:rPr>
              <w:t>地下水环境</w:t>
            </w:r>
          </w:p>
          <w:p w14:paraId="660ED713">
            <w:pPr>
              <w:adjustRightInd w:val="0"/>
              <w:snapToGrid w:val="0"/>
              <w:spacing w:line="360" w:lineRule="auto"/>
              <w:ind w:firstLine="480" w:firstLineChars="200"/>
              <w:rPr>
                <w:color w:val="000000" w:themeColor="text1"/>
                <w:sz w:val="24"/>
                <w:lang w:bidi="ar"/>
                <w14:textFill>
                  <w14:solidFill>
                    <w14:schemeClr w14:val="tx1"/>
                  </w14:solidFill>
                </w14:textFill>
              </w:rPr>
            </w:pPr>
            <w:r>
              <w:rPr>
                <w:color w:val="000000" w:themeColor="text1"/>
                <w:sz w:val="24"/>
                <w:lang w:bidi="ar"/>
                <w14:textFill>
                  <w14:solidFill>
                    <w14:schemeClr w14:val="tx1"/>
                  </w14:solidFill>
                </w14:textFill>
              </w:rPr>
              <w:t>本项目厂界外500米范围内无地下水集中式饮用水水源和热水、矿泉水、温泉等特殊地下水资源保护目标。</w:t>
            </w:r>
          </w:p>
          <w:p w14:paraId="625DD828">
            <w:pPr>
              <w:pStyle w:val="6"/>
              <w:numPr>
                <w:ilvl w:val="0"/>
                <w:numId w:val="11"/>
              </w:numPr>
              <w:spacing w:before="0" w:after="0" w:line="360" w:lineRule="auto"/>
              <w:ind w:left="0" w:firstLine="444"/>
              <w:rPr>
                <w:rFonts w:ascii="Times New Roman" w:hAnsi="Times New Roman" w:eastAsia="宋体"/>
                <w:color w:val="000000"/>
                <w:sz w:val="24"/>
                <w:szCs w:val="24"/>
              </w:rPr>
            </w:pPr>
            <w:r>
              <w:rPr>
                <w:rFonts w:ascii="Times New Roman" w:hAnsi="Times New Roman" w:eastAsia="宋体"/>
                <w:color w:val="000000"/>
                <w:sz w:val="24"/>
                <w:szCs w:val="24"/>
              </w:rPr>
              <w:t>生态环境</w:t>
            </w:r>
          </w:p>
          <w:p w14:paraId="0CC9DD2F">
            <w:pPr>
              <w:spacing w:line="360" w:lineRule="auto"/>
              <w:ind w:firstLine="480" w:firstLineChars="200"/>
              <w:rPr>
                <w:color w:val="000000"/>
                <w:sz w:val="24"/>
              </w:rPr>
            </w:pPr>
            <w:r>
              <w:rPr>
                <w:color w:val="000000" w:themeColor="text1"/>
                <w:sz w:val="24"/>
                <w14:textFill>
                  <w14:solidFill>
                    <w14:schemeClr w14:val="tx1"/>
                  </w14:solidFill>
                </w14:textFill>
              </w:rPr>
              <w:t>本项目租赁厂房，无新增用地。用地范围内无生态环境保护目标</w:t>
            </w:r>
            <w:r>
              <w:rPr>
                <w:rFonts w:hint="eastAsia"/>
                <w:color w:val="000000" w:themeColor="text1"/>
                <w:sz w:val="24"/>
                <w14:textFill>
                  <w14:solidFill>
                    <w14:schemeClr w14:val="tx1"/>
                  </w14:solidFill>
                </w14:textFill>
              </w:rPr>
              <w:t>。</w:t>
            </w:r>
          </w:p>
        </w:tc>
      </w:tr>
      <w:tr w14:paraId="314FE0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676" w:hRule="atLeast"/>
        </w:trPr>
        <w:tc>
          <w:tcPr>
            <w:tcW w:w="624" w:type="dxa"/>
            <w:tcMar>
              <w:left w:w="28" w:type="dxa"/>
              <w:right w:w="28" w:type="dxa"/>
            </w:tcMar>
            <w:vAlign w:val="center"/>
          </w:tcPr>
          <w:p w14:paraId="54D621A5">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污染</w:t>
            </w:r>
          </w:p>
          <w:p w14:paraId="35D594C1">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物排</w:t>
            </w:r>
          </w:p>
          <w:p w14:paraId="5DB87379">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放控</w:t>
            </w:r>
          </w:p>
          <w:p w14:paraId="0832CE1D">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制标</w:t>
            </w:r>
          </w:p>
          <w:p w14:paraId="2019EA41">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准</w:t>
            </w:r>
          </w:p>
        </w:tc>
        <w:tc>
          <w:tcPr>
            <w:tcW w:w="8424" w:type="dxa"/>
            <w:vAlign w:val="center"/>
          </w:tcPr>
          <w:p w14:paraId="1D3C908A">
            <w:pPr>
              <w:pStyle w:val="57"/>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1、水污染物排放标准</w:t>
            </w:r>
          </w:p>
          <w:p w14:paraId="3781B834">
            <w:pPr>
              <w:spacing w:line="360" w:lineRule="auto"/>
              <w:ind w:firstLine="480" w:firstLineChars="200"/>
              <w:rPr>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员工生活污水经处理达到广东省《水污染物排放限值》（DB44/26-2001）第二时段三级标准后经市政污水管网排入博罗县福田镇生活污水处理厂进行深度处理，最终排入福田河。</w:t>
            </w:r>
          </w:p>
          <w:p w14:paraId="068473F8">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博罗县福田镇生活污水处理厂出水排放达到《城镇污水处理厂污染物排放标准》(GB18918-2002）一级A标准及《水污染物排放限值》(DB44/26-2001〉第二时段一级标准中较严者，其中氨氮和总磷执行《地表水环境质量标准(GB3838-2002）V类标准。</w:t>
            </w:r>
          </w:p>
          <w:p w14:paraId="226192BD">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表3-6 水污染物排放标准</w:t>
            </w:r>
            <w:r>
              <w:rPr>
                <w:b/>
                <w:color w:val="000000" w:themeColor="text1"/>
                <w:szCs w:val="21"/>
                <w14:textFill>
                  <w14:solidFill>
                    <w14:schemeClr w14:val="tx1"/>
                  </w14:solidFill>
                </w14:textFill>
              </w:rPr>
              <w:t xml:space="preserve"> （单位：</w:t>
            </w:r>
            <w:r>
              <w:rPr>
                <w:rFonts w:hint="eastAsia"/>
                <w:b/>
                <w:color w:val="000000" w:themeColor="text1"/>
                <w:szCs w:val="21"/>
                <w14:textFill>
                  <w14:solidFill>
                    <w14:schemeClr w14:val="tx1"/>
                  </w14:solidFill>
                </w14:textFill>
              </w:rPr>
              <w:t>pH：无量纲，其他：</w:t>
            </w:r>
            <w:r>
              <w:rPr>
                <w:b/>
                <w:color w:val="000000" w:themeColor="text1"/>
                <w:szCs w:val="21"/>
                <w14:textFill>
                  <w14:solidFill>
                    <w14:schemeClr w14:val="tx1"/>
                  </w14:solidFill>
                </w14:textFill>
              </w:rPr>
              <w:t>mg/L）</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44"/>
              <w:gridCol w:w="582"/>
              <w:gridCol w:w="344"/>
              <w:gridCol w:w="697"/>
              <w:gridCol w:w="564"/>
              <w:gridCol w:w="457"/>
              <w:gridCol w:w="457"/>
              <w:gridCol w:w="457"/>
              <w:gridCol w:w="898"/>
            </w:tblGrid>
            <w:tr w14:paraId="360AF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Merge w:val="restart"/>
                  <w:vAlign w:val="center"/>
                </w:tcPr>
                <w:p w14:paraId="1447257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w:t>
                  </w:r>
                </w:p>
              </w:tc>
              <w:tc>
                <w:tcPr>
                  <w:tcW w:w="2684" w:type="pct"/>
                  <w:gridSpan w:val="8"/>
                  <w:vAlign w:val="center"/>
                </w:tcPr>
                <w:p w14:paraId="08761B8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r>
            <w:tr w14:paraId="78E9B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Merge w:val="continue"/>
                  <w:vAlign w:val="center"/>
                </w:tcPr>
                <w:p w14:paraId="5CFA2E12">
                  <w:pPr>
                    <w:jc w:val="center"/>
                    <w:rPr>
                      <w:b/>
                      <w:bCs/>
                      <w:color w:val="000000" w:themeColor="text1"/>
                      <w:szCs w:val="21"/>
                      <w14:textFill>
                        <w14:solidFill>
                          <w14:schemeClr w14:val="tx1"/>
                        </w14:solidFill>
                      </w14:textFill>
                    </w:rPr>
                  </w:pPr>
                </w:p>
              </w:tc>
              <w:tc>
                <w:tcPr>
                  <w:tcW w:w="351" w:type="pct"/>
                  <w:vAlign w:val="center"/>
                </w:tcPr>
                <w:p w14:paraId="04C65471">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pH值</w:t>
                  </w:r>
                </w:p>
              </w:tc>
              <w:tc>
                <w:tcPr>
                  <w:tcW w:w="207" w:type="pct"/>
                  <w:vAlign w:val="center"/>
                </w:tcPr>
                <w:p w14:paraId="47A215B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SS</w:t>
                  </w:r>
                </w:p>
              </w:tc>
              <w:tc>
                <w:tcPr>
                  <w:tcW w:w="420" w:type="pct"/>
                  <w:vAlign w:val="center"/>
                </w:tcPr>
                <w:p w14:paraId="3028F7A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COD</w:t>
                  </w:r>
                  <w:r>
                    <w:rPr>
                      <w:rFonts w:hint="eastAsia"/>
                      <w:b/>
                      <w:bCs/>
                      <w:color w:val="000000" w:themeColor="text1"/>
                      <w:szCs w:val="21"/>
                      <w14:textFill>
                        <w14:solidFill>
                          <w14:schemeClr w14:val="tx1"/>
                        </w14:solidFill>
                      </w14:textFill>
                    </w:rPr>
                    <w:t>c</w:t>
                  </w:r>
                  <w:r>
                    <w:rPr>
                      <w:b/>
                      <w:bCs/>
                      <w:color w:val="000000" w:themeColor="text1"/>
                      <w:szCs w:val="21"/>
                      <w14:textFill>
                        <w14:solidFill>
                          <w14:schemeClr w14:val="tx1"/>
                        </w14:solidFill>
                      </w14:textFill>
                    </w:rPr>
                    <w:t>r</w:t>
                  </w:r>
                </w:p>
              </w:tc>
              <w:tc>
                <w:tcPr>
                  <w:tcW w:w="340" w:type="pct"/>
                  <w:vAlign w:val="center"/>
                </w:tcPr>
                <w:p w14:paraId="2EB2D05D">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BOD</w:t>
                  </w:r>
                  <w:r>
                    <w:rPr>
                      <w:b/>
                      <w:bCs/>
                      <w:color w:val="000000" w:themeColor="text1"/>
                      <w:szCs w:val="21"/>
                      <w:vertAlign w:val="subscript"/>
                      <w14:textFill>
                        <w14:solidFill>
                          <w14:schemeClr w14:val="tx1"/>
                        </w14:solidFill>
                      </w14:textFill>
                    </w:rPr>
                    <w:t>5</w:t>
                  </w:r>
                </w:p>
              </w:tc>
              <w:tc>
                <w:tcPr>
                  <w:tcW w:w="275" w:type="pct"/>
                  <w:vAlign w:val="center"/>
                </w:tcPr>
                <w:p w14:paraId="1CF046D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氨氮</w:t>
                  </w:r>
                </w:p>
              </w:tc>
              <w:tc>
                <w:tcPr>
                  <w:tcW w:w="275" w:type="pct"/>
                  <w:vAlign w:val="center"/>
                </w:tcPr>
                <w:p w14:paraId="48D9A14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总氮</w:t>
                  </w:r>
                </w:p>
              </w:tc>
              <w:tc>
                <w:tcPr>
                  <w:tcW w:w="275" w:type="pct"/>
                  <w:vAlign w:val="center"/>
                </w:tcPr>
                <w:p w14:paraId="600C38F1">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总磷</w:t>
                  </w:r>
                </w:p>
              </w:tc>
              <w:tc>
                <w:tcPr>
                  <w:tcW w:w="540" w:type="pct"/>
                  <w:vAlign w:val="center"/>
                </w:tcPr>
                <w:p w14:paraId="4FF158D5">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动植物油</w:t>
                  </w:r>
                </w:p>
              </w:tc>
            </w:tr>
            <w:tr w14:paraId="42A2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Align w:val="center"/>
                </w:tcPr>
                <w:p w14:paraId="4E3C73C2">
                  <w:pPr>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排放标准：（DB44/26-2001）第二时段三级标准（其他排污单位）</w:t>
                  </w:r>
                </w:p>
              </w:tc>
              <w:tc>
                <w:tcPr>
                  <w:tcW w:w="351" w:type="pct"/>
                  <w:vAlign w:val="center"/>
                </w:tcPr>
                <w:p w14:paraId="0031A6C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9</w:t>
                  </w:r>
                </w:p>
              </w:tc>
              <w:tc>
                <w:tcPr>
                  <w:tcW w:w="207" w:type="pct"/>
                  <w:vAlign w:val="center"/>
                </w:tcPr>
                <w:p w14:paraId="0BD8F1B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00</w:t>
                  </w:r>
                </w:p>
              </w:tc>
              <w:tc>
                <w:tcPr>
                  <w:tcW w:w="420" w:type="pct"/>
                  <w:vAlign w:val="center"/>
                </w:tcPr>
                <w:p w14:paraId="1CBD10B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00</w:t>
                  </w:r>
                </w:p>
              </w:tc>
              <w:tc>
                <w:tcPr>
                  <w:tcW w:w="340" w:type="pct"/>
                  <w:vAlign w:val="center"/>
                </w:tcPr>
                <w:p w14:paraId="1C37C0B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00</w:t>
                  </w:r>
                </w:p>
              </w:tc>
              <w:tc>
                <w:tcPr>
                  <w:tcW w:w="275" w:type="pct"/>
                  <w:vAlign w:val="center"/>
                </w:tcPr>
                <w:p w14:paraId="21E8576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75" w:type="pct"/>
                  <w:vAlign w:val="center"/>
                </w:tcPr>
                <w:p w14:paraId="696DC75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75" w:type="pct"/>
                  <w:vAlign w:val="center"/>
                </w:tcPr>
                <w:p w14:paraId="33866B8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40" w:type="pct"/>
                  <w:vAlign w:val="center"/>
                </w:tcPr>
                <w:p w14:paraId="46D709E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r>
          </w:tbl>
          <w:p w14:paraId="7F111AC6">
            <w:pPr>
              <w:pStyle w:val="166"/>
              <w:ind w:firstLine="0" w:firstLineChars="0"/>
              <w:rPr>
                <w:b/>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注：</w:t>
            </w:r>
            <w:r>
              <w:rPr>
                <w:b/>
                <w:bCs/>
                <w:color w:val="000000" w:themeColor="text1"/>
                <w:sz w:val="21"/>
                <w:szCs w:val="21"/>
                <w14:textFill>
                  <w14:solidFill>
                    <w14:schemeClr w14:val="tx1"/>
                  </w14:solidFill>
                </w14:textFill>
              </w:rPr>
              <w:t>广东省《水污染物排放限值》（DB44/26-2001）</w:t>
            </w:r>
            <w:r>
              <w:rPr>
                <w:rFonts w:hint="eastAsia"/>
                <w:b/>
                <w:bCs/>
                <w:color w:val="000000" w:themeColor="text1"/>
                <w:sz w:val="21"/>
                <w:szCs w:val="21"/>
                <w14:textFill>
                  <w14:solidFill>
                    <w14:schemeClr w14:val="tx1"/>
                  </w14:solidFill>
                </w14:textFill>
              </w:rPr>
              <w:t>中的总磷参考</w:t>
            </w:r>
            <w:r>
              <w:rPr>
                <w:b/>
                <w:bCs/>
                <w:color w:val="000000" w:themeColor="text1"/>
                <w:sz w:val="21"/>
                <w:szCs w:val="21"/>
                <w14:textFill>
                  <w14:solidFill>
                    <w14:schemeClr w14:val="tx1"/>
                  </w14:solidFill>
                </w14:textFill>
              </w:rPr>
              <w:t>广东省《水污染物排放限值》（DB44/26-2001）</w:t>
            </w:r>
            <w:r>
              <w:rPr>
                <w:rFonts w:hint="eastAsia"/>
                <w:b/>
                <w:bCs/>
                <w:color w:val="000000" w:themeColor="text1"/>
                <w:sz w:val="21"/>
                <w:szCs w:val="21"/>
                <w14:textFill>
                  <w14:solidFill>
                    <w14:schemeClr w14:val="tx1"/>
                  </w14:solidFill>
                </w14:textFill>
              </w:rPr>
              <w:t>中的磷酸盐（以P计）标准排放限值。</w:t>
            </w:r>
          </w:p>
          <w:p w14:paraId="4E3D25C6">
            <w:pPr>
              <w:adjustRightInd w:val="0"/>
              <w:snapToGrid w:val="0"/>
              <w:spacing w:before="156" w:beforeLines="50" w:line="360" w:lineRule="auto"/>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 xml:space="preserve">表3-7 </w:t>
            </w: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博罗县福田镇生活污水处理厂排放标准</w:t>
            </w:r>
            <w:r>
              <w:rPr>
                <w:b/>
                <w:color w:val="000000" w:themeColor="text1"/>
                <w:szCs w:val="21"/>
                <w14:textFill>
                  <w14:solidFill>
                    <w14:schemeClr w14:val="tx1"/>
                  </w14:solidFill>
                </w14:textFill>
              </w:rPr>
              <w:t>（单位：</w:t>
            </w:r>
            <w:r>
              <w:rPr>
                <w:rFonts w:hint="eastAsia"/>
                <w:b/>
                <w:color w:val="000000" w:themeColor="text1"/>
                <w:szCs w:val="21"/>
                <w14:textFill>
                  <w14:solidFill>
                    <w14:schemeClr w14:val="tx1"/>
                  </w14:solidFill>
                </w14:textFill>
              </w:rPr>
              <w:t>pH：无量纲，其他：</w:t>
            </w:r>
            <w:r>
              <w:rPr>
                <w:b/>
                <w:color w:val="000000" w:themeColor="text1"/>
                <w:szCs w:val="21"/>
                <w14:textFill>
                  <w14:solidFill>
                    <w14:schemeClr w14:val="tx1"/>
                  </w14:solidFill>
                </w14:textFill>
              </w:rPr>
              <w:t>mg/L）</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44"/>
              <w:gridCol w:w="582"/>
              <w:gridCol w:w="344"/>
              <w:gridCol w:w="697"/>
              <w:gridCol w:w="564"/>
              <w:gridCol w:w="457"/>
              <w:gridCol w:w="457"/>
              <w:gridCol w:w="457"/>
              <w:gridCol w:w="898"/>
            </w:tblGrid>
            <w:tr w14:paraId="499DC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Merge w:val="restart"/>
                  <w:vAlign w:val="center"/>
                </w:tcPr>
                <w:p w14:paraId="1ADF02E9">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w:t>
                  </w:r>
                </w:p>
              </w:tc>
              <w:tc>
                <w:tcPr>
                  <w:tcW w:w="2684" w:type="pct"/>
                  <w:gridSpan w:val="8"/>
                  <w:vAlign w:val="center"/>
                </w:tcPr>
                <w:p w14:paraId="787F6049">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r>
            <w:tr w14:paraId="35AB9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Merge w:val="continue"/>
                  <w:vAlign w:val="center"/>
                </w:tcPr>
                <w:p w14:paraId="43FBB65F">
                  <w:pPr>
                    <w:jc w:val="center"/>
                    <w:rPr>
                      <w:b/>
                      <w:bCs/>
                      <w:color w:val="000000" w:themeColor="text1"/>
                      <w:szCs w:val="21"/>
                      <w14:textFill>
                        <w14:solidFill>
                          <w14:schemeClr w14:val="tx1"/>
                        </w14:solidFill>
                      </w14:textFill>
                    </w:rPr>
                  </w:pPr>
                </w:p>
              </w:tc>
              <w:tc>
                <w:tcPr>
                  <w:tcW w:w="351" w:type="pct"/>
                  <w:vAlign w:val="center"/>
                </w:tcPr>
                <w:p w14:paraId="2A90322E">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pH值</w:t>
                  </w:r>
                </w:p>
              </w:tc>
              <w:tc>
                <w:tcPr>
                  <w:tcW w:w="207" w:type="pct"/>
                  <w:vAlign w:val="center"/>
                </w:tcPr>
                <w:p w14:paraId="78E1D61D">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SS</w:t>
                  </w:r>
                </w:p>
              </w:tc>
              <w:tc>
                <w:tcPr>
                  <w:tcW w:w="420" w:type="pct"/>
                  <w:vAlign w:val="center"/>
                </w:tcPr>
                <w:p w14:paraId="0AE01AB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COD</w:t>
                  </w:r>
                  <w:r>
                    <w:rPr>
                      <w:rFonts w:hint="eastAsia"/>
                      <w:b/>
                      <w:bCs/>
                      <w:color w:val="000000" w:themeColor="text1"/>
                      <w:szCs w:val="21"/>
                      <w14:textFill>
                        <w14:solidFill>
                          <w14:schemeClr w14:val="tx1"/>
                        </w14:solidFill>
                      </w14:textFill>
                    </w:rPr>
                    <w:t>c</w:t>
                  </w:r>
                  <w:r>
                    <w:rPr>
                      <w:b/>
                      <w:bCs/>
                      <w:color w:val="000000" w:themeColor="text1"/>
                      <w:szCs w:val="21"/>
                      <w14:textFill>
                        <w14:solidFill>
                          <w14:schemeClr w14:val="tx1"/>
                        </w14:solidFill>
                      </w14:textFill>
                    </w:rPr>
                    <w:t>r</w:t>
                  </w:r>
                </w:p>
              </w:tc>
              <w:tc>
                <w:tcPr>
                  <w:tcW w:w="340" w:type="pct"/>
                  <w:vAlign w:val="center"/>
                </w:tcPr>
                <w:p w14:paraId="526D7B7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BOD</w:t>
                  </w:r>
                  <w:r>
                    <w:rPr>
                      <w:b/>
                      <w:bCs/>
                      <w:color w:val="000000" w:themeColor="text1"/>
                      <w:szCs w:val="21"/>
                      <w:vertAlign w:val="subscript"/>
                      <w14:textFill>
                        <w14:solidFill>
                          <w14:schemeClr w14:val="tx1"/>
                        </w14:solidFill>
                      </w14:textFill>
                    </w:rPr>
                    <w:t>5</w:t>
                  </w:r>
                </w:p>
              </w:tc>
              <w:tc>
                <w:tcPr>
                  <w:tcW w:w="275" w:type="pct"/>
                  <w:vAlign w:val="center"/>
                </w:tcPr>
                <w:p w14:paraId="4D26DC79">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氨氮</w:t>
                  </w:r>
                </w:p>
              </w:tc>
              <w:tc>
                <w:tcPr>
                  <w:tcW w:w="275" w:type="pct"/>
                  <w:vAlign w:val="center"/>
                </w:tcPr>
                <w:p w14:paraId="66E4F009">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总氮</w:t>
                  </w:r>
                </w:p>
              </w:tc>
              <w:tc>
                <w:tcPr>
                  <w:tcW w:w="275" w:type="pct"/>
                  <w:vAlign w:val="center"/>
                </w:tcPr>
                <w:p w14:paraId="77D9808D">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总磷</w:t>
                  </w:r>
                </w:p>
              </w:tc>
              <w:tc>
                <w:tcPr>
                  <w:tcW w:w="540" w:type="pct"/>
                  <w:vAlign w:val="center"/>
                </w:tcPr>
                <w:p w14:paraId="6E25A804">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动植物油</w:t>
                  </w:r>
                </w:p>
              </w:tc>
            </w:tr>
            <w:tr w14:paraId="3ED2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Align w:val="center"/>
                </w:tcPr>
                <w:p w14:paraId="13180AC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（DB44/26-2001）第二时段一级标准</w:t>
                  </w:r>
                </w:p>
              </w:tc>
              <w:tc>
                <w:tcPr>
                  <w:tcW w:w="351" w:type="pct"/>
                  <w:vAlign w:val="center"/>
                </w:tcPr>
                <w:p w14:paraId="1C62665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9</w:t>
                  </w:r>
                </w:p>
              </w:tc>
              <w:tc>
                <w:tcPr>
                  <w:tcW w:w="207" w:type="pct"/>
                  <w:vAlign w:val="center"/>
                </w:tcPr>
                <w:p w14:paraId="05FCB64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0</w:t>
                  </w:r>
                </w:p>
              </w:tc>
              <w:tc>
                <w:tcPr>
                  <w:tcW w:w="420" w:type="pct"/>
                  <w:vAlign w:val="center"/>
                </w:tcPr>
                <w:p w14:paraId="4AE89A4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340" w:type="pct"/>
                  <w:vAlign w:val="center"/>
                </w:tcPr>
                <w:p w14:paraId="587283C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275" w:type="pct"/>
                  <w:vAlign w:val="center"/>
                </w:tcPr>
                <w:p w14:paraId="3C3582A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275" w:type="pct"/>
                  <w:vAlign w:val="center"/>
                </w:tcPr>
                <w:p w14:paraId="6BE1AD4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75" w:type="pct"/>
                  <w:vAlign w:val="center"/>
                </w:tcPr>
                <w:p w14:paraId="4BC0BB7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40" w:type="pct"/>
                  <w:vAlign w:val="center"/>
                </w:tcPr>
                <w:p w14:paraId="3BE4425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6199D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Align w:val="center"/>
                </w:tcPr>
                <w:p w14:paraId="2DCBA8D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w:t>
                  </w:r>
                  <w:r>
                    <w:rPr>
                      <w:color w:val="000000" w:themeColor="text1"/>
                      <w:szCs w:val="21"/>
                      <w14:textFill>
                        <w14:solidFill>
                          <w14:schemeClr w14:val="tx1"/>
                        </w14:solidFill>
                      </w14:textFill>
                    </w:rPr>
                    <w:t>B18918-2002</w:t>
                  </w:r>
                  <w:r>
                    <w:rPr>
                      <w:rFonts w:hint="eastAsia"/>
                      <w:color w:val="000000" w:themeColor="text1"/>
                      <w:szCs w:val="21"/>
                      <w14:textFill>
                        <w14:solidFill>
                          <w14:schemeClr w14:val="tx1"/>
                        </w14:solidFill>
                      </w14:textFill>
                    </w:rPr>
                    <w:t>）一级标准A类</w:t>
                  </w:r>
                </w:p>
              </w:tc>
              <w:tc>
                <w:tcPr>
                  <w:tcW w:w="351" w:type="pct"/>
                  <w:vAlign w:val="center"/>
                </w:tcPr>
                <w:p w14:paraId="7918E9C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9</w:t>
                  </w:r>
                </w:p>
              </w:tc>
              <w:tc>
                <w:tcPr>
                  <w:tcW w:w="207" w:type="pct"/>
                  <w:vAlign w:val="center"/>
                </w:tcPr>
                <w:p w14:paraId="4BCCDDB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420" w:type="pct"/>
                  <w:vAlign w:val="center"/>
                </w:tcPr>
                <w:p w14:paraId="0D639E4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340" w:type="pct"/>
                  <w:vAlign w:val="center"/>
                </w:tcPr>
                <w:p w14:paraId="41BB3AD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275" w:type="pct"/>
                  <w:vAlign w:val="center"/>
                </w:tcPr>
                <w:p w14:paraId="46CC52E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275" w:type="pct"/>
                  <w:vAlign w:val="center"/>
                </w:tcPr>
                <w:p w14:paraId="2794F56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275" w:type="pct"/>
                  <w:vAlign w:val="center"/>
                </w:tcPr>
                <w:p w14:paraId="189764E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w:t>
                  </w:r>
                </w:p>
              </w:tc>
              <w:tc>
                <w:tcPr>
                  <w:tcW w:w="540" w:type="pct"/>
                  <w:vAlign w:val="center"/>
                </w:tcPr>
                <w:p w14:paraId="0307E99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r>
            <w:tr w14:paraId="1E05B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Align w:val="center"/>
                </w:tcPr>
                <w:p w14:paraId="65AAC713">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（G</w:t>
                  </w:r>
                  <w:r>
                    <w:rPr>
                      <w:color w:val="000000" w:themeColor="text1"/>
                      <w14:textFill>
                        <w14:solidFill>
                          <w14:schemeClr w14:val="tx1"/>
                        </w14:solidFill>
                      </w14:textFill>
                    </w:rPr>
                    <w:t>B3838-2002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Ⅴ</w:t>
                  </w:r>
                  <w:r>
                    <w:rPr>
                      <w:rFonts w:hint="eastAsia" w:ascii="宋体" w:hAnsi="宋体"/>
                      <w:color w:val="000000" w:themeColor="text1"/>
                      <w14:textFill>
                        <w14:solidFill>
                          <w14:schemeClr w14:val="tx1"/>
                        </w14:solidFill>
                      </w14:textFill>
                    </w:rPr>
                    <w:t>类标准</w:t>
                  </w:r>
                </w:p>
              </w:tc>
              <w:tc>
                <w:tcPr>
                  <w:tcW w:w="351" w:type="pct"/>
                  <w:vAlign w:val="center"/>
                </w:tcPr>
                <w:p w14:paraId="63A412F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07" w:type="pct"/>
                  <w:vAlign w:val="center"/>
                </w:tcPr>
                <w:p w14:paraId="2877AF1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20" w:type="pct"/>
                  <w:vAlign w:val="center"/>
                </w:tcPr>
                <w:p w14:paraId="12851C1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40" w:type="pct"/>
                  <w:vAlign w:val="center"/>
                </w:tcPr>
                <w:p w14:paraId="179449B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75" w:type="pct"/>
                  <w:vAlign w:val="center"/>
                </w:tcPr>
                <w:p w14:paraId="2EDBFE3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275" w:type="pct"/>
                  <w:vAlign w:val="center"/>
                </w:tcPr>
                <w:p w14:paraId="48B55C6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75" w:type="pct"/>
                  <w:vAlign w:val="center"/>
                </w:tcPr>
                <w:p w14:paraId="70A79B8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0.4</w:t>
                  </w:r>
                </w:p>
              </w:tc>
              <w:tc>
                <w:tcPr>
                  <w:tcW w:w="540" w:type="pct"/>
                  <w:vAlign w:val="center"/>
                </w:tcPr>
                <w:p w14:paraId="6905C93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442EE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316" w:type="pct"/>
                  <w:vAlign w:val="center"/>
                </w:tcPr>
                <w:p w14:paraId="5B81F4DC">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博罗县福田镇生活污水处理厂</w:t>
                  </w:r>
                </w:p>
                <w:p w14:paraId="239B8666">
                  <w:pPr>
                    <w:jc w:val="center"/>
                    <w:rPr>
                      <w:color w:val="000000" w:themeColor="text1"/>
                      <w14:textFill>
                        <w14:solidFill>
                          <w14:schemeClr w14:val="tx1"/>
                        </w14:solidFill>
                      </w14:textFill>
                    </w:rPr>
                  </w:pPr>
                  <w:r>
                    <w:rPr>
                      <w:rFonts w:hint="eastAsia"/>
                      <w:bCs/>
                      <w:color w:val="000000" w:themeColor="text1"/>
                      <w:szCs w:val="21"/>
                      <w14:textFill>
                        <w14:solidFill>
                          <w14:schemeClr w14:val="tx1"/>
                        </w14:solidFill>
                      </w14:textFill>
                    </w:rPr>
                    <w:t>出水执行标准</w:t>
                  </w:r>
                </w:p>
              </w:tc>
              <w:tc>
                <w:tcPr>
                  <w:tcW w:w="351" w:type="pct"/>
                  <w:vAlign w:val="center"/>
                </w:tcPr>
                <w:p w14:paraId="207FAEC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9</w:t>
                  </w:r>
                </w:p>
              </w:tc>
              <w:tc>
                <w:tcPr>
                  <w:tcW w:w="207" w:type="pct"/>
                  <w:vAlign w:val="center"/>
                </w:tcPr>
                <w:p w14:paraId="5D61CDB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0</w:t>
                  </w:r>
                </w:p>
              </w:tc>
              <w:tc>
                <w:tcPr>
                  <w:tcW w:w="420" w:type="pct"/>
                  <w:vAlign w:val="center"/>
                </w:tcPr>
                <w:p w14:paraId="0C1D6D6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0</w:t>
                  </w:r>
                </w:p>
              </w:tc>
              <w:tc>
                <w:tcPr>
                  <w:tcW w:w="340" w:type="pct"/>
                  <w:vAlign w:val="center"/>
                </w:tcPr>
                <w:p w14:paraId="5FFBABD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0</w:t>
                  </w:r>
                </w:p>
              </w:tc>
              <w:tc>
                <w:tcPr>
                  <w:tcW w:w="275" w:type="pct"/>
                  <w:vAlign w:val="center"/>
                </w:tcPr>
                <w:p w14:paraId="54FB33C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275" w:type="pct"/>
                  <w:vAlign w:val="center"/>
                </w:tcPr>
                <w:p w14:paraId="43FD9A9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5</w:t>
                  </w:r>
                </w:p>
              </w:tc>
              <w:tc>
                <w:tcPr>
                  <w:tcW w:w="275" w:type="pct"/>
                  <w:vAlign w:val="center"/>
                </w:tcPr>
                <w:p w14:paraId="731FF85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.4</w:t>
                  </w:r>
                </w:p>
              </w:tc>
              <w:tc>
                <w:tcPr>
                  <w:tcW w:w="540" w:type="pct"/>
                  <w:vAlign w:val="center"/>
                </w:tcPr>
                <w:p w14:paraId="2C86A32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r>
          </w:tbl>
          <w:p w14:paraId="5780C00D">
            <w:pPr>
              <w:pStyle w:val="57"/>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2、大气污染物排放标准</w:t>
            </w:r>
          </w:p>
          <w:p w14:paraId="01548FDD">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本项目运营期产生的大气污染物主要为</w:t>
            </w:r>
            <w:r>
              <w:rPr>
                <w:rFonts w:hint="eastAsia"/>
                <w:color w:val="000000" w:themeColor="text1"/>
                <w:sz w:val="24"/>
                <w14:textFill>
                  <w14:solidFill>
                    <w14:schemeClr w14:val="tx1"/>
                  </w14:solidFill>
                </w14:textFill>
              </w:rPr>
              <w:t>总VOC、漆雾（颗粒物）、粉尘（颗粒物）、焊接烟尘（颗粒物、锰及其化合物）</w:t>
            </w:r>
            <w:r>
              <w:rPr>
                <w:color w:val="000000" w:themeColor="text1"/>
                <w:sz w:val="24"/>
                <w14:textFill>
                  <w14:solidFill>
                    <w14:schemeClr w14:val="tx1"/>
                  </w14:solidFill>
                </w14:textFill>
              </w:rPr>
              <w:t>。</w:t>
            </w:r>
          </w:p>
          <w:p w14:paraId="241FBC4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颗粒物废气排气筒D</w:t>
            </w:r>
            <w:r>
              <w:rPr>
                <w:color w:val="000000" w:themeColor="text1"/>
                <w:sz w:val="24"/>
                <w14:textFill>
                  <w14:solidFill>
                    <w14:schemeClr w14:val="tx1"/>
                  </w14:solidFill>
                </w14:textFill>
              </w:rPr>
              <w:t>A001</w:t>
            </w:r>
            <w:r>
              <w:rPr>
                <w:rFonts w:hint="eastAsia"/>
                <w:color w:val="000000" w:themeColor="text1"/>
                <w:sz w:val="24"/>
                <w14:textFill>
                  <w14:solidFill>
                    <w14:schemeClr w14:val="tx1"/>
                  </w14:solidFill>
                </w14:textFill>
              </w:rPr>
              <w:t>：开料、雕刻、打磨、切割、焊接工序产生的废气经收集处理后由可颗粒物废气排放口D</w:t>
            </w:r>
            <w:r>
              <w:rPr>
                <w:color w:val="000000" w:themeColor="text1"/>
                <w:sz w:val="24"/>
                <w14:textFill>
                  <w14:solidFill>
                    <w14:schemeClr w14:val="tx1"/>
                  </w14:solidFill>
                </w14:textFill>
              </w:rPr>
              <w:t>A001</w:t>
            </w:r>
            <w:r>
              <w:rPr>
                <w:rFonts w:hint="eastAsia"/>
                <w:color w:val="000000" w:themeColor="text1"/>
                <w:sz w:val="24"/>
                <w14:textFill>
                  <w14:solidFill>
                    <w14:schemeClr w14:val="tx1"/>
                  </w14:solidFill>
                </w14:textFill>
              </w:rPr>
              <w:t>排放，颗粒物、锰及其化合物排放执行广东省《大气污染物排放限值》（DB44/27-2001）第二时段二级标准要求。</w:t>
            </w:r>
          </w:p>
          <w:p w14:paraId="70876D20">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喷漆废气排气筒D</w:t>
            </w:r>
            <w:r>
              <w:rPr>
                <w:color w:val="000000" w:themeColor="text1"/>
                <w:sz w:val="24"/>
                <w14:textFill>
                  <w14:solidFill>
                    <w14:schemeClr w14:val="tx1"/>
                  </w14:solidFill>
                </w14:textFill>
              </w:rPr>
              <w:t>A002</w:t>
            </w:r>
            <w:r>
              <w:rPr>
                <w:rFonts w:hint="eastAsia"/>
                <w:color w:val="000000" w:themeColor="text1"/>
                <w:sz w:val="24"/>
                <w14:textFill>
                  <w14:solidFill>
                    <w14:schemeClr w14:val="tx1"/>
                  </w14:solidFill>
                </w14:textFill>
              </w:rPr>
              <w:t>：喷漆工序产生的漆雾及有机废气，晾干工序产生的有机废气经收集处理后经喷漆废气排放口D</w:t>
            </w:r>
            <w:r>
              <w:rPr>
                <w:color w:val="000000" w:themeColor="text1"/>
                <w:sz w:val="24"/>
                <w14:textFill>
                  <w14:solidFill>
                    <w14:schemeClr w14:val="tx1"/>
                  </w14:solidFill>
                </w14:textFill>
              </w:rPr>
              <w:t>A002</w:t>
            </w:r>
            <w:r>
              <w:rPr>
                <w:rFonts w:hint="eastAsia"/>
                <w:color w:val="000000" w:themeColor="text1"/>
                <w:sz w:val="24"/>
                <w14:textFill>
                  <w14:solidFill>
                    <w14:schemeClr w14:val="tx1"/>
                  </w14:solidFill>
                </w14:textFill>
              </w:rPr>
              <w:t>排放，T</w:t>
            </w:r>
            <w:r>
              <w:rPr>
                <w:color w:val="000000" w:themeColor="text1"/>
                <w:sz w:val="24"/>
                <w14:textFill>
                  <w14:solidFill>
                    <w14:schemeClr w14:val="tx1"/>
                  </w14:solidFill>
                </w14:textFill>
              </w:rPr>
              <w:t>VOC</w:t>
            </w:r>
            <w:r>
              <w:rPr>
                <w:rFonts w:hint="eastAsia"/>
                <w:color w:val="000000" w:themeColor="text1"/>
                <w:sz w:val="24"/>
                <w14:textFill>
                  <w14:solidFill>
                    <w14:schemeClr w14:val="tx1"/>
                  </w14:solidFill>
                </w14:textFill>
              </w:rPr>
              <w:t>、非甲烷总烃有组织排放执行广东省《固定污染源挥发性有机物综合排放标准》（DB44/2367-2022）表1挥发性有机物排放限值要求，颗粒物有组织排放执行广东省《大气污染物排放限值》（DB44/27-2001）第二时段二级标准要求。</w:t>
            </w:r>
          </w:p>
          <w:p w14:paraId="16724ED7">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油烟废气排气筒D</w:t>
            </w:r>
            <w:r>
              <w:rPr>
                <w:color w:val="000000" w:themeColor="text1"/>
                <w:sz w:val="24"/>
                <w14:textFill>
                  <w14:solidFill>
                    <w14:schemeClr w14:val="tx1"/>
                  </w14:solidFill>
                </w14:textFill>
              </w:rPr>
              <w:t>A003</w:t>
            </w:r>
            <w:r>
              <w:rPr>
                <w:rFonts w:hint="eastAsia"/>
                <w:color w:val="000000" w:themeColor="text1"/>
                <w:sz w:val="24"/>
                <w14:textFill>
                  <w14:solidFill>
                    <w14:schemeClr w14:val="tx1"/>
                  </w14:solidFill>
                </w14:textFill>
              </w:rPr>
              <w:t>：员工食堂产生的油烟废气经收集处理后经油烟废气排放口D</w:t>
            </w:r>
            <w:r>
              <w:rPr>
                <w:color w:val="000000" w:themeColor="text1"/>
                <w:sz w:val="24"/>
                <w14:textFill>
                  <w14:solidFill>
                    <w14:schemeClr w14:val="tx1"/>
                  </w14:solidFill>
                </w14:textFill>
              </w:rPr>
              <w:t>A003</w:t>
            </w:r>
            <w:r>
              <w:rPr>
                <w:rFonts w:hint="eastAsia"/>
                <w:color w:val="000000" w:themeColor="text1"/>
                <w:sz w:val="24"/>
                <w14:textFill>
                  <w14:solidFill>
                    <w14:schemeClr w14:val="tx1"/>
                  </w14:solidFill>
                </w14:textFill>
              </w:rPr>
              <w:t>排放，油烟废气有组织排放执行《饮食业油烟排放标准（试行）》（GB18483-2001）小型标准的要求。</w:t>
            </w:r>
          </w:p>
          <w:p w14:paraId="3A4740A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企业边界总VOCs无组织排放参照执行广东省《家具制造行业挥发性有机化合物排放标准》（DB44/814-2010）无组织排放监控点浓度限值标准的要求；</w:t>
            </w:r>
            <w:r>
              <w:rPr>
                <w:rStyle w:val="48"/>
                <w:rFonts w:hint="eastAsia"/>
                <w:bCs/>
                <w:color w:val="000000" w:themeColor="text1"/>
                <w:sz w:val="24"/>
                <w14:textFill>
                  <w14:solidFill>
                    <w14:schemeClr w14:val="tx1"/>
                  </w14:solidFill>
                </w14:textFill>
              </w:rPr>
              <w:t>厂区内有机废气无组织排放执行广东省</w:t>
            </w:r>
            <w:r>
              <w:rPr>
                <w:color w:val="000000" w:themeColor="text1"/>
                <w:sz w:val="24"/>
                <w14:textFill>
                  <w14:solidFill>
                    <w14:schemeClr w14:val="tx1"/>
                  </w14:solidFill>
                </w14:textFill>
              </w:rPr>
              <w:t>《固定污染源挥发性有机物综合排放标准》（DB44/2367-2022）</w:t>
            </w:r>
            <w:r>
              <w:rPr>
                <w:rFonts w:hint="eastAsia"/>
                <w:color w:val="000000" w:themeColor="text1"/>
                <w:sz w:val="24"/>
                <w14:textFill>
                  <w14:solidFill>
                    <w14:schemeClr w14:val="tx1"/>
                  </w14:solidFill>
                </w14:textFill>
              </w:rPr>
              <w:t>中表3厂区内无组织排放限值的要求</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颗粒物无组织排放执行广东省《大气污染物排放限值》（DB</w:t>
            </w:r>
            <w:r>
              <w:rPr>
                <w:color w:val="000000" w:themeColor="text1"/>
                <w:sz w:val="24"/>
                <w14:textFill>
                  <w14:solidFill>
                    <w14:schemeClr w14:val="tx1"/>
                  </w14:solidFill>
                </w14:textFill>
              </w:rPr>
              <w:t>44/27-2001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无组织排放监控浓度限值</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具体限值见</w:t>
            </w:r>
            <w:r>
              <w:rPr>
                <w:rFonts w:hint="eastAsia"/>
                <w:color w:val="000000" w:themeColor="text1"/>
                <w:sz w:val="24"/>
                <w14:textFill>
                  <w14:solidFill>
                    <w14:schemeClr w14:val="tx1"/>
                  </w14:solidFill>
                </w14:textFill>
              </w:rPr>
              <w:t>下</w:t>
            </w:r>
            <w:r>
              <w:rPr>
                <w:color w:val="000000" w:themeColor="text1"/>
                <w:sz w:val="24"/>
                <w14:textFill>
                  <w14:solidFill>
                    <w14:schemeClr w14:val="tx1"/>
                  </w14:solidFill>
                </w14:textFill>
              </w:rPr>
              <w:t>表</w:t>
            </w:r>
            <w:r>
              <w:rPr>
                <w:rFonts w:hint="eastAsia"/>
                <w:color w:val="000000" w:themeColor="text1"/>
                <w:sz w:val="24"/>
                <w14:textFill>
                  <w14:solidFill>
                    <w14:schemeClr w14:val="tx1"/>
                  </w14:solidFill>
                </w14:textFill>
              </w:rPr>
              <w:t>。</w:t>
            </w:r>
          </w:p>
          <w:p w14:paraId="5A89445A">
            <w:pPr>
              <w:spacing w:line="276"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w:t>
            </w:r>
            <w:r>
              <w:rPr>
                <w:rFonts w:hint="eastAsia"/>
                <w:b/>
                <w:color w:val="000000" w:themeColor="text1"/>
                <w:szCs w:val="21"/>
                <w14:textFill>
                  <w14:solidFill>
                    <w14:schemeClr w14:val="tx1"/>
                  </w14:solidFill>
                </w14:textFill>
              </w:rPr>
              <w:t>8</w:t>
            </w:r>
            <w:r>
              <w:rPr>
                <w:b/>
                <w:color w:val="000000" w:themeColor="text1"/>
                <w:szCs w:val="21"/>
                <w14:textFill>
                  <w14:solidFill>
                    <w14:schemeClr w14:val="tx1"/>
                  </w14:solidFill>
                </w14:textFill>
              </w:rPr>
              <w:t xml:space="preserve">  项目大气污染物</w:t>
            </w:r>
            <w:r>
              <w:rPr>
                <w:rFonts w:hint="eastAsia"/>
                <w:b/>
                <w:color w:val="000000" w:themeColor="text1"/>
                <w:szCs w:val="21"/>
                <w14:textFill>
                  <w14:solidFill>
                    <w14:schemeClr w14:val="tx1"/>
                  </w14:solidFill>
                </w14:textFill>
              </w:rPr>
              <w:t>有组织</w:t>
            </w:r>
            <w:r>
              <w:rPr>
                <w:b/>
                <w:color w:val="000000" w:themeColor="text1"/>
                <w:szCs w:val="21"/>
                <w14:textFill>
                  <w14:solidFill>
                    <w14:schemeClr w14:val="tx1"/>
                  </w14:solidFill>
                </w14:textFill>
              </w:rPr>
              <w:t>排放限值</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06"/>
              <w:gridCol w:w="1290"/>
              <w:gridCol w:w="930"/>
              <w:gridCol w:w="1504"/>
              <w:gridCol w:w="1310"/>
              <w:gridCol w:w="2460"/>
            </w:tblGrid>
            <w:tr w14:paraId="4B817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Merge w:val="restart"/>
                  <w:vAlign w:val="center"/>
                </w:tcPr>
                <w:p w14:paraId="5F10152C">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排气筒编号</w:t>
                  </w:r>
                </w:p>
              </w:tc>
              <w:tc>
                <w:tcPr>
                  <w:tcW w:w="777" w:type="pct"/>
                  <w:vMerge w:val="restart"/>
                  <w:vAlign w:val="center"/>
                </w:tcPr>
                <w:p w14:paraId="0709291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2255" w:type="pct"/>
                  <w:gridSpan w:val="3"/>
                </w:tcPr>
                <w:p w14:paraId="0579B3EB">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排放限值</w:t>
                  </w:r>
                </w:p>
              </w:tc>
              <w:tc>
                <w:tcPr>
                  <w:tcW w:w="1482" w:type="pct"/>
                  <w:vMerge w:val="restart"/>
                  <w:vAlign w:val="center"/>
                </w:tcPr>
                <w:p w14:paraId="28F7F512">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14:paraId="475AF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Merge w:val="continue"/>
                </w:tcPr>
                <w:p w14:paraId="41C96E8D">
                  <w:pPr>
                    <w:jc w:val="center"/>
                    <w:rPr>
                      <w:b/>
                      <w:bCs/>
                      <w:color w:val="7030A0"/>
                      <w:szCs w:val="21"/>
                    </w:rPr>
                  </w:pPr>
                </w:p>
              </w:tc>
              <w:tc>
                <w:tcPr>
                  <w:tcW w:w="777" w:type="pct"/>
                  <w:vMerge w:val="continue"/>
                  <w:vAlign w:val="center"/>
                </w:tcPr>
                <w:p w14:paraId="67A2F58E">
                  <w:pPr>
                    <w:jc w:val="center"/>
                    <w:rPr>
                      <w:b/>
                      <w:bCs/>
                      <w:color w:val="000000" w:themeColor="text1"/>
                      <w:szCs w:val="21"/>
                      <w14:textFill>
                        <w14:solidFill>
                          <w14:schemeClr w14:val="tx1"/>
                        </w14:solidFill>
                      </w14:textFill>
                    </w:rPr>
                  </w:pPr>
                </w:p>
              </w:tc>
              <w:tc>
                <w:tcPr>
                  <w:tcW w:w="560" w:type="pct"/>
                  <w:vAlign w:val="center"/>
                </w:tcPr>
                <w:p w14:paraId="71B33CB9">
                  <w:pPr>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排气筒高度（m）</w:t>
                  </w:r>
                </w:p>
              </w:tc>
              <w:tc>
                <w:tcPr>
                  <w:tcW w:w="906" w:type="pct"/>
                  <w:vAlign w:val="center"/>
                </w:tcPr>
                <w:p w14:paraId="042D73E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最高允许排放浓度（mg/m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789" w:type="pct"/>
                  <w:vAlign w:val="center"/>
                </w:tcPr>
                <w:p w14:paraId="5EC33D27">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最高允许</w:t>
                  </w:r>
                  <w:r>
                    <w:rPr>
                      <w:b/>
                      <w:bCs/>
                      <w:color w:val="000000" w:themeColor="text1"/>
                      <w:szCs w:val="21"/>
                      <w14:textFill>
                        <w14:solidFill>
                          <w14:schemeClr w14:val="tx1"/>
                        </w14:solidFill>
                      </w14:textFill>
                    </w:rPr>
                    <w:t>排放速率（</w:t>
                  </w:r>
                  <w:r>
                    <w:rPr>
                      <w:rFonts w:hint="eastAsia"/>
                      <w:b/>
                      <w:bCs/>
                      <w:color w:val="000000" w:themeColor="text1"/>
                      <w:szCs w:val="21"/>
                      <w14:textFill>
                        <w14:solidFill>
                          <w14:schemeClr w14:val="tx1"/>
                        </w14:solidFill>
                      </w14:textFill>
                    </w:rPr>
                    <w:t>kg/h</w:t>
                  </w:r>
                  <w:r>
                    <w:rPr>
                      <w:b/>
                      <w:bCs/>
                      <w:color w:val="000000" w:themeColor="text1"/>
                      <w:szCs w:val="21"/>
                      <w14:textFill>
                        <w14:solidFill>
                          <w14:schemeClr w14:val="tx1"/>
                        </w14:solidFill>
                      </w14:textFill>
                    </w:rPr>
                    <w:t>）</w:t>
                  </w:r>
                </w:p>
              </w:tc>
              <w:tc>
                <w:tcPr>
                  <w:tcW w:w="1482" w:type="pct"/>
                  <w:vMerge w:val="continue"/>
                  <w:vAlign w:val="center"/>
                </w:tcPr>
                <w:p w14:paraId="030DE6C6">
                  <w:pPr>
                    <w:jc w:val="center"/>
                    <w:rPr>
                      <w:b/>
                      <w:bCs/>
                      <w:color w:val="000000" w:themeColor="text1"/>
                      <w:szCs w:val="21"/>
                      <w14:textFill>
                        <w14:solidFill>
                          <w14:schemeClr w14:val="tx1"/>
                        </w14:solidFill>
                      </w14:textFill>
                    </w:rPr>
                  </w:pPr>
                </w:p>
              </w:tc>
            </w:tr>
            <w:tr w14:paraId="2FD85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Merge w:val="restart"/>
                  <w:vAlign w:val="center"/>
                </w:tcPr>
                <w:p w14:paraId="0812EC49">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D</w:t>
                  </w:r>
                  <w:r>
                    <w:rPr>
                      <w:bCs/>
                      <w:color w:val="000000" w:themeColor="text1"/>
                      <w:szCs w:val="21"/>
                      <w14:textFill>
                        <w14:solidFill>
                          <w14:schemeClr w14:val="tx1"/>
                        </w14:solidFill>
                      </w14:textFill>
                    </w:rPr>
                    <w:t>A001</w:t>
                  </w:r>
                </w:p>
              </w:tc>
              <w:tc>
                <w:tcPr>
                  <w:tcW w:w="777" w:type="pct"/>
                  <w:vAlign w:val="center"/>
                </w:tcPr>
                <w:p w14:paraId="58FF597A">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颗粒物</w:t>
                  </w:r>
                </w:p>
              </w:tc>
              <w:tc>
                <w:tcPr>
                  <w:tcW w:w="560" w:type="pct"/>
                  <w:vAlign w:val="center"/>
                </w:tcPr>
                <w:p w14:paraId="5718768F">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15</w:t>
                  </w:r>
                </w:p>
              </w:tc>
              <w:tc>
                <w:tcPr>
                  <w:tcW w:w="906" w:type="pct"/>
                  <w:vAlign w:val="center"/>
                </w:tcPr>
                <w:p w14:paraId="60893299">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120</w:t>
                  </w:r>
                </w:p>
              </w:tc>
              <w:tc>
                <w:tcPr>
                  <w:tcW w:w="789" w:type="pct"/>
                  <w:vAlign w:val="center"/>
                </w:tcPr>
                <w:p w14:paraId="0A6711F2">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1.45*</w:t>
                  </w:r>
                </w:p>
              </w:tc>
              <w:tc>
                <w:tcPr>
                  <w:tcW w:w="1482" w:type="pct"/>
                  <w:vMerge w:val="restart"/>
                  <w:vAlign w:val="center"/>
                </w:tcPr>
                <w:p w14:paraId="2F2815C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大气污染物</w:t>
                  </w:r>
                  <w:r>
                    <w:rPr>
                      <w:color w:val="000000" w:themeColor="text1"/>
                      <w:szCs w:val="21"/>
                      <w14:textFill>
                        <w14:solidFill>
                          <w14:schemeClr w14:val="tx1"/>
                        </w14:solidFill>
                      </w14:textFill>
                    </w:rPr>
                    <w:t>排放限值》</w:t>
                  </w:r>
                  <w:r>
                    <w:rPr>
                      <w:rFonts w:hint="eastAsia"/>
                      <w:color w:val="000000" w:themeColor="text1"/>
                      <w:szCs w:val="21"/>
                      <w14:textFill>
                        <w14:solidFill>
                          <w14:schemeClr w14:val="tx1"/>
                        </w14:solidFill>
                      </w14:textFill>
                    </w:rPr>
                    <w:t>（DB</w:t>
                  </w:r>
                  <w:r>
                    <w:rPr>
                      <w:color w:val="000000" w:themeColor="text1"/>
                      <w:szCs w:val="21"/>
                      <w14:textFill>
                        <w14:solidFill>
                          <w14:schemeClr w14:val="tx1"/>
                        </w14:solidFill>
                      </w14:textFill>
                    </w:rPr>
                    <w:t>44/27-2001</w:t>
                  </w:r>
                  <w:r>
                    <w:rPr>
                      <w:rFonts w:hint="eastAsia"/>
                      <w:color w:val="000000" w:themeColor="text1"/>
                      <w:szCs w:val="21"/>
                      <w14:textFill>
                        <w14:solidFill>
                          <w14:schemeClr w14:val="tx1"/>
                        </w14:solidFill>
                      </w14:textFill>
                    </w:rPr>
                    <w:t>）</w:t>
                  </w:r>
                </w:p>
              </w:tc>
            </w:tr>
            <w:tr w14:paraId="6FD0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Merge w:val="continue"/>
                  <w:vAlign w:val="center"/>
                </w:tcPr>
                <w:p w14:paraId="798B8AD1">
                  <w:pPr>
                    <w:jc w:val="center"/>
                    <w:rPr>
                      <w:bCs/>
                      <w:color w:val="000000" w:themeColor="text1"/>
                      <w:szCs w:val="21"/>
                      <w14:textFill>
                        <w14:solidFill>
                          <w14:schemeClr w14:val="tx1"/>
                        </w14:solidFill>
                      </w14:textFill>
                    </w:rPr>
                  </w:pPr>
                </w:p>
              </w:tc>
              <w:tc>
                <w:tcPr>
                  <w:tcW w:w="777" w:type="pct"/>
                  <w:vAlign w:val="center"/>
                </w:tcPr>
                <w:p w14:paraId="79596271">
                  <w:pPr>
                    <w:ind w:left="-105" w:leftChars="-50" w:right="-105" w:rightChars="-50"/>
                    <w:jc w:val="center"/>
                    <w:rPr>
                      <w:color w:val="7030A0"/>
                    </w:rPr>
                  </w:pPr>
                  <w:r>
                    <w:rPr>
                      <w:rFonts w:hint="eastAsia"/>
                      <w:color w:val="000000" w:themeColor="text1"/>
                      <w14:textFill>
                        <w14:solidFill>
                          <w14:schemeClr w14:val="tx1"/>
                        </w14:solidFill>
                      </w14:textFill>
                    </w:rPr>
                    <w:t>锰及其化合物</w:t>
                  </w:r>
                </w:p>
              </w:tc>
              <w:tc>
                <w:tcPr>
                  <w:tcW w:w="560" w:type="pct"/>
                  <w:vAlign w:val="center"/>
                </w:tcPr>
                <w:p w14:paraId="75228641">
                  <w:pPr>
                    <w:jc w:val="center"/>
                    <w:rPr>
                      <w:color w:val="7030A0"/>
                    </w:rPr>
                  </w:pPr>
                  <w:r>
                    <w:rPr>
                      <w:rFonts w:hint="eastAsia"/>
                      <w:color w:val="000000" w:themeColor="text1"/>
                      <w14:textFill>
                        <w14:solidFill>
                          <w14:schemeClr w14:val="tx1"/>
                        </w14:solidFill>
                      </w14:textFill>
                    </w:rPr>
                    <w:t>15</w:t>
                  </w:r>
                </w:p>
              </w:tc>
              <w:tc>
                <w:tcPr>
                  <w:tcW w:w="906" w:type="pct"/>
                  <w:vAlign w:val="center"/>
                </w:tcPr>
                <w:p w14:paraId="48855988">
                  <w:pPr>
                    <w:jc w:val="center"/>
                    <w:rPr>
                      <w:color w:val="7030A0"/>
                    </w:rPr>
                  </w:pPr>
                  <w:r>
                    <w:rPr>
                      <w:rFonts w:hint="eastAsia"/>
                      <w:color w:val="000000" w:themeColor="text1"/>
                      <w14:textFill>
                        <w14:solidFill>
                          <w14:schemeClr w14:val="tx1"/>
                        </w14:solidFill>
                      </w14:textFill>
                    </w:rPr>
                    <w:t>15</w:t>
                  </w:r>
                </w:p>
              </w:tc>
              <w:tc>
                <w:tcPr>
                  <w:tcW w:w="789" w:type="pct"/>
                  <w:vAlign w:val="center"/>
                </w:tcPr>
                <w:p w14:paraId="3EC8A23A">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0.021*</w:t>
                  </w:r>
                </w:p>
              </w:tc>
              <w:tc>
                <w:tcPr>
                  <w:tcW w:w="1482" w:type="pct"/>
                  <w:vMerge w:val="continue"/>
                  <w:vAlign w:val="center"/>
                </w:tcPr>
                <w:p w14:paraId="32047386">
                  <w:pPr>
                    <w:jc w:val="center"/>
                    <w:rPr>
                      <w:color w:val="000000" w:themeColor="text1"/>
                      <w:szCs w:val="21"/>
                      <w14:textFill>
                        <w14:solidFill>
                          <w14:schemeClr w14:val="tx1"/>
                        </w14:solidFill>
                      </w14:textFill>
                    </w:rPr>
                  </w:pPr>
                </w:p>
              </w:tc>
            </w:tr>
            <w:tr w14:paraId="2904B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Merge w:val="restart"/>
                  <w:vAlign w:val="center"/>
                </w:tcPr>
                <w:p w14:paraId="1A304AB6">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D</w:t>
                  </w:r>
                  <w:r>
                    <w:rPr>
                      <w:color w:val="000000" w:themeColor="text1"/>
                      <w14:textFill>
                        <w14:solidFill>
                          <w14:schemeClr w14:val="tx1"/>
                        </w14:solidFill>
                      </w14:textFill>
                    </w:rPr>
                    <w:t>A002</w:t>
                  </w:r>
                </w:p>
              </w:tc>
              <w:tc>
                <w:tcPr>
                  <w:tcW w:w="777" w:type="pct"/>
                  <w:vAlign w:val="center"/>
                </w:tcPr>
                <w:p w14:paraId="49AEFA03">
                  <w:pPr>
                    <w:jc w:val="center"/>
                    <w:rPr>
                      <w:color w:val="000000" w:themeColor="text1"/>
                      <w14:textFill>
                        <w14:solidFill>
                          <w14:schemeClr w14:val="tx1"/>
                        </w14:solidFill>
                      </w14:textFill>
                    </w:rPr>
                  </w:pPr>
                  <w:r>
                    <w:rPr>
                      <w:rFonts w:hint="eastAsia"/>
                      <w:bCs/>
                      <w:color w:val="000000" w:themeColor="text1"/>
                      <w:szCs w:val="21"/>
                      <w14:textFill>
                        <w14:solidFill>
                          <w14:schemeClr w14:val="tx1"/>
                        </w14:solidFill>
                      </w14:textFill>
                    </w:rPr>
                    <w:t>T</w:t>
                  </w:r>
                  <w:r>
                    <w:rPr>
                      <w:bCs/>
                      <w:color w:val="000000" w:themeColor="text1"/>
                      <w:szCs w:val="21"/>
                      <w14:textFill>
                        <w14:solidFill>
                          <w14:schemeClr w14:val="tx1"/>
                        </w14:solidFill>
                      </w14:textFill>
                    </w:rPr>
                    <w:t>VOC</w:t>
                  </w:r>
                </w:p>
              </w:tc>
              <w:tc>
                <w:tcPr>
                  <w:tcW w:w="560" w:type="pct"/>
                  <w:vAlign w:val="center"/>
                </w:tcPr>
                <w:p w14:paraId="58BA3362">
                  <w:pPr>
                    <w:jc w:val="center"/>
                    <w:rPr>
                      <w:color w:val="000000" w:themeColor="text1"/>
                      <w14:textFill>
                        <w14:solidFill>
                          <w14:schemeClr w14:val="tx1"/>
                        </w14:solidFill>
                      </w14:textFill>
                    </w:rPr>
                  </w:pPr>
                  <w:r>
                    <w:rPr>
                      <w:rFonts w:hint="eastAsia"/>
                      <w:bCs/>
                      <w:color w:val="000000" w:themeColor="text1"/>
                      <w:szCs w:val="21"/>
                      <w14:textFill>
                        <w14:solidFill>
                          <w14:schemeClr w14:val="tx1"/>
                        </w14:solidFill>
                      </w14:textFill>
                    </w:rPr>
                    <w:t>15</w:t>
                  </w:r>
                </w:p>
              </w:tc>
              <w:tc>
                <w:tcPr>
                  <w:tcW w:w="906" w:type="pct"/>
                  <w:vAlign w:val="center"/>
                </w:tcPr>
                <w:p w14:paraId="7A521ED3">
                  <w:pPr>
                    <w:jc w:val="center"/>
                    <w:rPr>
                      <w:color w:val="000000" w:themeColor="text1"/>
                      <w14:textFill>
                        <w14:solidFill>
                          <w14:schemeClr w14:val="tx1"/>
                        </w14:solidFill>
                      </w14:textFill>
                    </w:rPr>
                  </w:pPr>
                  <w:r>
                    <w:rPr>
                      <w:bCs/>
                      <w:color w:val="000000" w:themeColor="text1"/>
                      <w:szCs w:val="21"/>
                      <w14:textFill>
                        <w14:solidFill>
                          <w14:schemeClr w14:val="tx1"/>
                        </w14:solidFill>
                      </w14:textFill>
                    </w:rPr>
                    <w:t>100</w:t>
                  </w:r>
                </w:p>
              </w:tc>
              <w:tc>
                <w:tcPr>
                  <w:tcW w:w="789" w:type="pct"/>
                  <w:vAlign w:val="center"/>
                </w:tcPr>
                <w:p w14:paraId="3B7577E5">
                  <w:pPr>
                    <w:jc w:val="center"/>
                    <w:rPr>
                      <w:color w:val="000000" w:themeColor="text1"/>
                      <w14:textFill>
                        <w14:solidFill>
                          <w14:schemeClr w14:val="tx1"/>
                        </w14:solidFill>
                      </w14:textFill>
                    </w:rPr>
                  </w:pPr>
                  <w:r>
                    <w:rPr>
                      <w:bCs/>
                      <w:color w:val="000000" w:themeColor="text1"/>
                      <w:szCs w:val="21"/>
                      <w14:textFill>
                        <w14:solidFill>
                          <w14:schemeClr w14:val="tx1"/>
                        </w14:solidFill>
                      </w14:textFill>
                    </w:rPr>
                    <w:t>/</w:t>
                  </w:r>
                </w:p>
              </w:tc>
              <w:tc>
                <w:tcPr>
                  <w:tcW w:w="1482" w:type="pct"/>
                  <w:vMerge w:val="restart"/>
                  <w:vAlign w:val="center"/>
                </w:tcPr>
                <w:p w14:paraId="24854DC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w:t>
                  </w:r>
                  <w:r>
                    <w:rPr>
                      <w:color w:val="000000" w:themeColor="text1"/>
                      <w:szCs w:val="21"/>
                      <w14:textFill>
                        <w14:solidFill>
                          <w14:schemeClr w14:val="tx1"/>
                        </w14:solidFill>
                      </w14:textFill>
                    </w:rPr>
                    <w:t>《固定污染源挥发性有机物综合排放标准》（DB44/2367-2022）</w:t>
                  </w:r>
                </w:p>
              </w:tc>
            </w:tr>
            <w:tr w14:paraId="0F3BD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Merge w:val="continue"/>
                  <w:vAlign w:val="center"/>
                </w:tcPr>
                <w:p w14:paraId="35BF8C95">
                  <w:pPr>
                    <w:jc w:val="center"/>
                    <w:rPr>
                      <w:color w:val="000000" w:themeColor="text1"/>
                      <w14:textFill>
                        <w14:solidFill>
                          <w14:schemeClr w14:val="tx1"/>
                        </w14:solidFill>
                      </w14:textFill>
                    </w:rPr>
                  </w:pPr>
                </w:p>
              </w:tc>
              <w:tc>
                <w:tcPr>
                  <w:tcW w:w="777" w:type="pct"/>
                  <w:vAlign w:val="center"/>
                </w:tcPr>
                <w:p w14:paraId="1080F810">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非甲烷总烃</w:t>
                  </w:r>
                </w:p>
              </w:tc>
              <w:tc>
                <w:tcPr>
                  <w:tcW w:w="560" w:type="pct"/>
                  <w:vAlign w:val="center"/>
                </w:tcPr>
                <w:p w14:paraId="3EB93FAD">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w:t>
                  </w:r>
                  <w:r>
                    <w:rPr>
                      <w:bCs/>
                      <w:color w:val="000000" w:themeColor="text1"/>
                      <w:szCs w:val="21"/>
                      <w14:textFill>
                        <w14:solidFill>
                          <w14:schemeClr w14:val="tx1"/>
                        </w14:solidFill>
                      </w14:textFill>
                    </w:rPr>
                    <w:t>5</w:t>
                  </w:r>
                </w:p>
              </w:tc>
              <w:tc>
                <w:tcPr>
                  <w:tcW w:w="906" w:type="pct"/>
                  <w:vAlign w:val="center"/>
                </w:tcPr>
                <w:p w14:paraId="63CC9CB9">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8</w:t>
                  </w:r>
                  <w:r>
                    <w:rPr>
                      <w:bCs/>
                      <w:color w:val="000000" w:themeColor="text1"/>
                      <w:szCs w:val="21"/>
                      <w14:textFill>
                        <w14:solidFill>
                          <w14:schemeClr w14:val="tx1"/>
                        </w14:solidFill>
                      </w14:textFill>
                    </w:rPr>
                    <w:t>0</w:t>
                  </w:r>
                </w:p>
              </w:tc>
              <w:tc>
                <w:tcPr>
                  <w:tcW w:w="789" w:type="pct"/>
                  <w:vAlign w:val="center"/>
                </w:tcPr>
                <w:p w14:paraId="3BA54CFC">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w:t>
                  </w:r>
                </w:p>
              </w:tc>
              <w:tc>
                <w:tcPr>
                  <w:tcW w:w="1482" w:type="pct"/>
                  <w:vMerge w:val="continue"/>
                  <w:vAlign w:val="center"/>
                </w:tcPr>
                <w:p w14:paraId="4F8728FA">
                  <w:pPr>
                    <w:jc w:val="center"/>
                    <w:rPr>
                      <w:color w:val="000000" w:themeColor="text1"/>
                      <w:szCs w:val="21"/>
                      <w14:textFill>
                        <w14:solidFill>
                          <w14:schemeClr w14:val="tx1"/>
                        </w14:solidFill>
                      </w14:textFill>
                    </w:rPr>
                  </w:pPr>
                </w:p>
              </w:tc>
            </w:tr>
            <w:tr w14:paraId="11BA4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Merge w:val="continue"/>
                  <w:vAlign w:val="center"/>
                </w:tcPr>
                <w:p w14:paraId="05FF1C8E">
                  <w:pPr>
                    <w:jc w:val="center"/>
                    <w:rPr>
                      <w:color w:val="000000" w:themeColor="text1"/>
                      <w14:textFill>
                        <w14:solidFill>
                          <w14:schemeClr w14:val="tx1"/>
                        </w14:solidFill>
                      </w14:textFill>
                    </w:rPr>
                  </w:pPr>
                </w:p>
              </w:tc>
              <w:tc>
                <w:tcPr>
                  <w:tcW w:w="777" w:type="pct"/>
                  <w:vAlign w:val="center"/>
                </w:tcPr>
                <w:p w14:paraId="26F71621">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颗粒物</w:t>
                  </w:r>
                </w:p>
              </w:tc>
              <w:tc>
                <w:tcPr>
                  <w:tcW w:w="560" w:type="pct"/>
                  <w:vAlign w:val="center"/>
                </w:tcPr>
                <w:p w14:paraId="7018BFB6">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15</w:t>
                  </w:r>
                </w:p>
              </w:tc>
              <w:tc>
                <w:tcPr>
                  <w:tcW w:w="906" w:type="pct"/>
                  <w:vAlign w:val="center"/>
                </w:tcPr>
                <w:p w14:paraId="007F8D27">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120</w:t>
                  </w:r>
                </w:p>
              </w:tc>
              <w:tc>
                <w:tcPr>
                  <w:tcW w:w="789" w:type="pct"/>
                  <w:vAlign w:val="center"/>
                </w:tcPr>
                <w:p w14:paraId="3856B12A">
                  <w:pPr>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1.45*</w:t>
                  </w:r>
                </w:p>
              </w:tc>
              <w:tc>
                <w:tcPr>
                  <w:tcW w:w="1482" w:type="pct"/>
                  <w:vAlign w:val="center"/>
                </w:tcPr>
                <w:p w14:paraId="70D7613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大气污染物</w:t>
                  </w:r>
                  <w:r>
                    <w:rPr>
                      <w:color w:val="000000" w:themeColor="text1"/>
                      <w:szCs w:val="21"/>
                      <w14:textFill>
                        <w14:solidFill>
                          <w14:schemeClr w14:val="tx1"/>
                        </w14:solidFill>
                      </w14:textFill>
                    </w:rPr>
                    <w:t>排放限值》</w:t>
                  </w:r>
                  <w:r>
                    <w:rPr>
                      <w:rFonts w:hint="eastAsia"/>
                      <w:color w:val="000000" w:themeColor="text1"/>
                      <w:szCs w:val="21"/>
                      <w14:textFill>
                        <w14:solidFill>
                          <w14:schemeClr w14:val="tx1"/>
                        </w14:solidFill>
                      </w14:textFill>
                    </w:rPr>
                    <w:t>（DB</w:t>
                  </w:r>
                  <w:r>
                    <w:rPr>
                      <w:color w:val="000000" w:themeColor="text1"/>
                      <w:szCs w:val="21"/>
                      <w14:textFill>
                        <w14:solidFill>
                          <w14:schemeClr w14:val="tx1"/>
                        </w14:solidFill>
                      </w14:textFill>
                    </w:rPr>
                    <w:t>44/27-2001</w:t>
                  </w:r>
                  <w:r>
                    <w:rPr>
                      <w:rFonts w:hint="eastAsia"/>
                      <w:color w:val="000000" w:themeColor="text1"/>
                      <w:szCs w:val="21"/>
                      <w14:textFill>
                        <w14:solidFill>
                          <w14:schemeClr w14:val="tx1"/>
                        </w14:solidFill>
                      </w14:textFill>
                    </w:rPr>
                    <w:t>）</w:t>
                  </w:r>
                </w:p>
              </w:tc>
            </w:tr>
            <w:tr w14:paraId="48617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86" w:type="pct"/>
                  <w:vAlign w:val="center"/>
                </w:tcPr>
                <w:p w14:paraId="31B55278">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D</w:t>
                  </w:r>
                  <w:r>
                    <w:rPr>
                      <w:bCs/>
                      <w:color w:val="000000" w:themeColor="text1"/>
                      <w:szCs w:val="21"/>
                      <w14:textFill>
                        <w14:solidFill>
                          <w14:schemeClr w14:val="tx1"/>
                        </w14:solidFill>
                      </w14:textFill>
                    </w:rPr>
                    <w:t>A003</w:t>
                  </w:r>
                </w:p>
              </w:tc>
              <w:tc>
                <w:tcPr>
                  <w:tcW w:w="777" w:type="pct"/>
                  <w:vAlign w:val="center"/>
                </w:tcPr>
                <w:p w14:paraId="1429897B">
                  <w:pPr>
                    <w:jc w:val="center"/>
                    <w:rPr>
                      <w:color w:val="000000" w:themeColor="text1"/>
                      <w14:textFill>
                        <w14:solidFill>
                          <w14:schemeClr w14:val="tx1"/>
                        </w14:solidFill>
                      </w14:textFill>
                    </w:rPr>
                  </w:pPr>
                  <w:r>
                    <w:rPr>
                      <w:rFonts w:hint="eastAsia"/>
                      <w:bCs/>
                      <w:color w:val="000000" w:themeColor="text1"/>
                      <w:szCs w:val="21"/>
                      <w14:textFill>
                        <w14:solidFill>
                          <w14:schemeClr w14:val="tx1"/>
                        </w14:solidFill>
                      </w14:textFill>
                    </w:rPr>
                    <w:t>油烟</w:t>
                  </w:r>
                </w:p>
              </w:tc>
              <w:tc>
                <w:tcPr>
                  <w:tcW w:w="560" w:type="pct"/>
                  <w:vAlign w:val="center"/>
                </w:tcPr>
                <w:p w14:paraId="188BFCE4">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906" w:type="pct"/>
                  <w:vAlign w:val="center"/>
                </w:tcPr>
                <w:p w14:paraId="4D717C10">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2.0（去除</w:t>
                  </w:r>
                  <w:r>
                    <w:rPr>
                      <w:color w:val="000000" w:themeColor="text1"/>
                      <w14:textFill>
                        <w14:solidFill>
                          <w14:schemeClr w14:val="tx1"/>
                        </w14:solidFill>
                      </w14:textFill>
                    </w:rPr>
                    <w:t>效率</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60%</w:t>
                  </w:r>
                  <w:r>
                    <w:rPr>
                      <w:rFonts w:hint="eastAsia"/>
                      <w:color w:val="000000" w:themeColor="text1"/>
                      <w14:textFill>
                        <w14:solidFill>
                          <w14:schemeClr w14:val="tx1"/>
                        </w14:solidFill>
                      </w14:textFill>
                    </w:rPr>
                    <w:t>）</w:t>
                  </w:r>
                </w:p>
              </w:tc>
              <w:tc>
                <w:tcPr>
                  <w:tcW w:w="789" w:type="pct"/>
                  <w:vAlign w:val="center"/>
                </w:tcPr>
                <w:p w14:paraId="15B1455C">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82" w:type="pct"/>
                  <w:vAlign w:val="center"/>
                </w:tcPr>
                <w:p w14:paraId="4CBEA23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饮食业</w:t>
                  </w:r>
                  <w:r>
                    <w:rPr>
                      <w:color w:val="000000" w:themeColor="text1"/>
                      <w:szCs w:val="21"/>
                      <w14:textFill>
                        <w14:solidFill>
                          <w14:schemeClr w14:val="tx1"/>
                        </w14:solidFill>
                      </w14:textFill>
                    </w:rPr>
                    <w:t>油烟排放</w:t>
                  </w:r>
                  <w:r>
                    <w:rPr>
                      <w:rFonts w:hint="eastAsia"/>
                      <w:color w:val="000000" w:themeColor="text1"/>
                      <w:szCs w:val="21"/>
                      <w14:textFill>
                        <w14:solidFill>
                          <w14:schemeClr w14:val="tx1"/>
                        </w14:solidFill>
                      </w14:textFill>
                    </w:rPr>
                    <w:t>标准</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试行</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（GB</w:t>
                  </w:r>
                  <w:r>
                    <w:rPr>
                      <w:color w:val="000000" w:themeColor="text1"/>
                      <w:szCs w:val="21"/>
                      <w14:textFill>
                        <w14:solidFill>
                          <w14:schemeClr w14:val="tx1"/>
                        </w14:solidFill>
                      </w14:textFill>
                    </w:rPr>
                    <w:t>18483-2001</w:t>
                  </w:r>
                  <w:r>
                    <w:rPr>
                      <w:rFonts w:hint="eastAsia"/>
                      <w:color w:val="000000" w:themeColor="text1"/>
                      <w:szCs w:val="21"/>
                      <w14:textFill>
                        <w14:solidFill>
                          <w14:schemeClr w14:val="tx1"/>
                        </w14:solidFill>
                      </w14:textFill>
                    </w:rPr>
                    <w:t>）</w:t>
                  </w:r>
                </w:p>
              </w:tc>
            </w:tr>
            <w:tr w14:paraId="6F1C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000" w:type="pct"/>
                  <w:gridSpan w:val="6"/>
                </w:tcPr>
                <w:p w14:paraId="5F58DCD4">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注</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*本项目排气筒高度未高于</w:t>
                  </w:r>
                  <w:r>
                    <w:rPr>
                      <w:color w:val="000000" w:themeColor="text1"/>
                      <w:szCs w:val="21"/>
                      <w14:textFill>
                        <w14:solidFill>
                          <w14:schemeClr w14:val="tx1"/>
                        </w14:solidFill>
                      </w14:textFill>
                    </w:rPr>
                    <w:t>200</w:t>
                  </w:r>
                  <w:r>
                    <w:rPr>
                      <w:rFonts w:hint="eastAsia"/>
                      <w:color w:val="000000" w:themeColor="text1"/>
                      <w:szCs w:val="21"/>
                      <w14:textFill>
                        <w14:solidFill>
                          <w14:schemeClr w14:val="tx1"/>
                        </w14:solidFill>
                      </w14:textFill>
                    </w:rPr>
                    <w:t>米范围内最高建筑高度5m以上，根据广东省</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大气污染物</w:t>
                  </w:r>
                  <w:r>
                    <w:rPr>
                      <w:color w:val="000000" w:themeColor="text1"/>
                      <w:szCs w:val="21"/>
                      <w14:textFill>
                        <w14:solidFill>
                          <w14:schemeClr w14:val="tx1"/>
                        </w14:solidFill>
                      </w14:textFill>
                    </w:rPr>
                    <w:t>排放限值》</w:t>
                  </w:r>
                  <w:r>
                    <w:rPr>
                      <w:rFonts w:hint="eastAsia"/>
                      <w:color w:val="000000" w:themeColor="text1"/>
                      <w:szCs w:val="21"/>
                      <w14:textFill>
                        <w14:solidFill>
                          <w14:schemeClr w14:val="tx1"/>
                        </w14:solidFill>
                      </w14:textFill>
                    </w:rPr>
                    <w:t>（DB</w:t>
                  </w:r>
                  <w:r>
                    <w:rPr>
                      <w:color w:val="000000" w:themeColor="text1"/>
                      <w:szCs w:val="21"/>
                      <w14:textFill>
                        <w14:solidFill>
                          <w14:schemeClr w14:val="tx1"/>
                        </w14:solidFill>
                      </w14:textFill>
                    </w:rPr>
                    <w:t>44/27-2001</w:t>
                  </w:r>
                  <w:r>
                    <w:rPr>
                      <w:rFonts w:hint="eastAsia"/>
                      <w:color w:val="000000" w:themeColor="text1"/>
                      <w:szCs w:val="21"/>
                      <w14:textFill>
                        <w14:solidFill>
                          <w14:schemeClr w14:val="tx1"/>
                        </w14:solidFill>
                      </w14:textFill>
                    </w:rPr>
                    <w:t>），排气筒D</w:t>
                  </w:r>
                  <w:r>
                    <w:rPr>
                      <w:color w:val="000000" w:themeColor="text1"/>
                      <w:szCs w:val="21"/>
                      <w14:textFill>
                        <w14:solidFill>
                          <w14:schemeClr w14:val="tx1"/>
                        </w14:solidFill>
                      </w14:textFill>
                    </w:rPr>
                    <w:t>A001</w:t>
                  </w: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A002</w:t>
                  </w:r>
                  <w:r>
                    <w:rPr>
                      <w:rFonts w:hint="eastAsia"/>
                      <w:color w:val="000000" w:themeColor="text1"/>
                      <w:szCs w:val="21"/>
                      <w14:textFill>
                        <w14:solidFill>
                          <w14:schemeClr w14:val="tx1"/>
                        </w14:solidFill>
                      </w14:textFill>
                    </w:rPr>
                    <w:t>颗粒物最高允许排放速率按标准限值</w:t>
                  </w:r>
                  <w:r>
                    <w:rPr>
                      <w:color w:val="000000" w:themeColor="text1"/>
                      <w:szCs w:val="21"/>
                      <w14:textFill>
                        <w14:solidFill>
                          <w14:schemeClr w14:val="tx1"/>
                        </w14:solidFill>
                      </w14:textFill>
                    </w:rPr>
                    <w:t>50%</w:t>
                  </w:r>
                  <w:r>
                    <w:rPr>
                      <w:rFonts w:hint="eastAsia"/>
                      <w:color w:val="000000" w:themeColor="text1"/>
                      <w:szCs w:val="21"/>
                      <w14:textFill>
                        <w14:solidFill>
                          <w14:schemeClr w14:val="tx1"/>
                        </w14:solidFill>
                      </w14:textFill>
                    </w:rPr>
                    <w:t>执行。</w:t>
                  </w:r>
                </w:p>
              </w:tc>
            </w:tr>
          </w:tbl>
          <w:p w14:paraId="3701AE78">
            <w:pPr>
              <w:spacing w:line="360" w:lineRule="auto"/>
              <w:jc w:val="center"/>
              <w:rPr>
                <w:rStyle w:val="48"/>
                <w:b/>
                <w:color w:val="000000" w:themeColor="text1"/>
                <w14:textFill>
                  <w14:solidFill>
                    <w14:schemeClr w14:val="tx1"/>
                  </w14:solidFill>
                </w14:textFill>
              </w:rPr>
            </w:pPr>
            <w:r>
              <w:rPr>
                <w:b/>
                <w:color w:val="000000" w:themeColor="text1"/>
                <w:szCs w:val="21"/>
                <w14:textFill>
                  <w14:solidFill>
                    <w14:schemeClr w14:val="tx1"/>
                  </w14:solidFill>
                </w14:textFill>
              </w:rPr>
              <w:t>表3-</w:t>
            </w:r>
            <w:r>
              <w:rPr>
                <w:rFonts w:hint="eastAsia"/>
                <w:b/>
                <w:color w:val="000000" w:themeColor="text1"/>
                <w:szCs w:val="21"/>
                <w14:textFill>
                  <w14:solidFill>
                    <w14:schemeClr w14:val="tx1"/>
                  </w14:solidFill>
                </w14:textFill>
              </w:rPr>
              <w:t>9</w:t>
            </w:r>
            <w:r>
              <w:rPr>
                <w:b/>
                <w:color w:val="000000" w:themeColor="text1"/>
                <w:szCs w:val="21"/>
                <w14:textFill>
                  <w14:solidFill>
                    <w14:schemeClr w14:val="tx1"/>
                  </w14:solidFill>
                </w14:textFill>
              </w:rPr>
              <w:t xml:space="preserve">  项目大气污染物</w:t>
            </w:r>
            <w:r>
              <w:rPr>
                <w:rFonts w:hint="eastAsia"/>
                <w:b/>
                <w:color w:val="000000" w:themeColor="text1"/>
                <w:szCs w:val="21"/>
                <w14:textFill>
                  <w14:solidFill>
                    <w14:schemeClr w14:val="tx1"/>
                  </w14:solidFill>
                </w14:textFill>
              </w:rPr>
              <w:t>厂界无组织</w:t>
            </w:r>
            <w:r>
              <w:rPr>
                <w:b/>
                <w:color w:val="000000" w:themeColor="text1"/>
                <w:szCs w:val="21"/>
                <w14:textFill>
                  <w14:solidFill>
                    <w14:schemeClr w14:val="tx1"/>
                  </w14:solidFill>
                </w14:textFill>
              </w:rPr>
              <w:t>排放限值</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72"/>
              <w:gridCol w:w="2344"/>
              <w:gridCol w:w="4884"/>
            </w:tblGrid>
            <w:tr w14:paraId="09BB5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646" w:type="pct"/>
                  <w:vAlign w:val="center"/>
                </w:tcPr>
                <w:p w14:paraId="568F0EBB">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1412" w:type="pct"/>
                  <w:vAlign w:val="center"/>
                </w:tcPr>
                <w:p w14:paraId="4934ED4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无组织排放监控限值</w:t>
                  </w:r>
                </w:p>
                <w:p w14:paraId="0E80AD3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2942" w:type="pct"/>
                  <w:vAlign w:val="center"/>
                </w:tcPr>
                <w:p w14:paraId="7981F5B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14:paraId="2D872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4" w:hRule="atLeast"/>
              </w:trPr>
              <w:tc>
                <w:tcPr>
                  <w:tcW w:w="646" w:type="pct"/>
                  <w:vAlign w:val="center"/>
                </w:tcPr>
                <w:p w14:paraId="72348EB9">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w:t>
                  </w:r>
                  <w:r>
                    <w:rPr>
                      <w:bCs/>
                      <w:color w:val="000000" w:themeColor="text1"/>
                      <w:szCs w:val="21"/>
                      <w14:textFill>
                        <w14:solidFill>
                          <w14:schemeClr w14:val="tx1"/>
                        </w14:solidFill>
                      </w14:textFill>
                    </w:rPr>
                    <w:t>VOC</w:t>
                  </w:r>
                </w:p>
              </w:tc>
              <w:tc>
                <w:tcPr>
                  <w:tcW w:w="1412" w:type="pct"/>
                  <w:vAlign w:val="center"/>
                </w:tcPr>
                <w:p w14:paraId="65543CC0">
                  <w:pPr>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2.0</w:t>
                  </w:r>
                </w:p>
              </w:tc>
              <w:tc>
                <w:tcPr>
                  <w:tcW w:w="2942" w:type="pct"/>
                  <w:vAlign w:val="center"/>
                </w:tcPr>
                <w:p w14:paraId="6BAB812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广东省《家具制造行业挥发性有机化合物排放标准》（DB44/814-2010）无组织排放监控点浓度限值</w:t>
                  </w:r>
                </w:p>
              </w:tc>
            </w:tr>
            <w:tr w14:paraId="5F575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4" w:hRule="atLeast"/>
              </w:trPr>
              <w:tc>
                <w:tcPr>
                  <w:tcW w:w="646" w:type="pct"/>
                  <w:vAlign w:val="center"/>
                </w:tcPr>
                <w:p w14:paraId="35BAA218">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412" w:type="pct"/>
                  <w:vAlign w:val="center"/>
                </w:tcPr>
                <w:p w14:paraId="53E947B0">
                  <w:pPr>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1.0</w:t>
                  </w:r>
                </w:p>
              </w:tc>
              <w:tc>
                <w:tcPr>
                  <w:tcW w:w="2942" w:type="pct"/>
                  <w:vAlign w:val="center"/>
                </w:tcPr>
                <w:p w14:paraId="3770040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大气污染物</w:t>
                  </w:r>
                  <w:r>
                    <w:rPr>
                      <w:color w:val="000000" w:themeColor="text1"/>
                      <w:szCs w:val="21"/>
                      <w14:textFill>
                        <w14:solidFill>
                          <w14:schemeClr w14:val="tx1"/>
                        </w14:solidFill>
                      </w14:textFill>
                    </w:rPr>
                    <w:t>排放限值》</w:t>
                  </w:r>
                  <w:r>
                    <w:rPr>
                      <w:rFonts w:hint="eastAsia"/>
                      <w:color w:val="000000" w:themeColor="text1"/>
                      <w:szCs w:val="21"/>
                      <w14:textFill>
                        <w14:solidFill>
                          <w14:schemeClr w14:val="tx1"/>
                        </w14:solidFill>
                      </w14:textFill>
                    </w:rPr>
                    <w:t>（DB</w:t>
                  </w:r>
                  <w:r>
                    <w:rPr>
                      <w:color w:val="000000" w:themeColor="text1"/>
                      <w:szCs w:val="21"/>
                      <w14:textFill>
                        <w14:solidFill>
                          <w14:schemeClr w14:val="tx1"/>
                        </w14:solidFill>
                      </w14:textFill>
                    </w:rPr>
                    <w:t>44/27-2001</w:t>
                  </w:r>
                  <w:r>
                    <w:rPr>
                      <w:rFonts w:hint="eastAsia"/>
                      <w:color w:val="000000" w:themeColor="text1"/>
                      <w:szCs w:val="21"/>
                      <w14:textFill>
                        <w14:solidFill>
                          <w14:schemeClr w14:val="tx1"/>
                        </w14:solidFill>
                      </w14:textFill>
                    </w:rPr>
                    <w:t>）第二时段二级标准及</w:t>
                  </w:r>
                  <w:r>
                    <w:rPr>
                      <w:color w:val="000000" w:themeColor="text1"/>
                      <w:szCs w:val="21"/>
                      <w14:textFill>
                        <w14:solidFill>
                          <w14:schemeClr w14:val="tx1"/>
                        </w14:solidFill>
                      </w14:textFill>
                    </w:rPr>
                    <w:t>无组织排放监控浓度限值</w:t>
                  </w:r>
                </w:p>
              </w:tc>
            </w:tr>
          </w:tbl>
          <w:p w14:paraId="35081537">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w:t>
            </w:r>
            <w:r>
              <w:rPr>
                <w:rFonts w:hint="eastAsia"/>
                <w:b/>
                <w:color w:val="000000" w:themeColor="text1"/>
                <w:szCs w:val="21"/>
                <w14:textFill>
                  <w14:solidFill>
                    <w14:schemeClr w14:val="tx1"/>
                  </w14:solidFill>
                </w14:textFill>
              </w:rPr>
              <w:t>10</w:t>
            </w:r>
            <w:r>
              <w:rPr>
                <w:b/>
                <w:color w:val="000000" w:themeColor="text1"/>
                <w:szCs w:val="21"/>
                <w14:textFill>
                  <w14:solidFill>
                    <w14:schemeClr w14:val="tx1"/>
                  </w14:solidFill>
                </w14:textFill>
              </w:rPr>
              <w:t xml:space="preserve">  项目</w:t>
            </w:r>
            <w:r>
              <w:rPr>
                <w:rFonts w:hint="eastAsia"/>
                <w:b/>
                <w:color w:val="000000" w:themeColor="text1"/>
                <w:szCs w:val="21"/>
                <w14:textFill>
                  <w14:solidFill>
                    <w14:schemeClr w14:val="tx1"/>
                  </w14:solidFill>
                </w14:textFill>
              </w:rPr>
              <w:t>厂区内无组织有机废气</w:t>
            </w:r>
            <w:r>
              <w:rPr>
                <w:b/>
                <w:color w:val="000000" w:themeColor="text1"/>
                <w:szCs w:val="21"/>
                <w14:textFill>
                  <w14:solidFill>
                    <w14:schemeClr w14:val="tx1"/>
                  </w14:solidFill>
                </w14:textFill>
              </w:rPr>
              <w:t>排放限值</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560"/>
              <w:gridCol w:w="2153"/>
              <w:gridCol w:w="1419"/>
              <w:gridCol w:w="2329"/>
            </w:tblGrid>
            <w:tr w14:paraId="1E13B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6" w:type="pct"/>
                  <w:vAlign w:val="center"/>
                </w:tcPr>
                <w:p w14:paraId="1222A976">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项目</w:t>
                  </w:r>
                </w:p>
              </w:tc>
              <w:tc>
                <w:tcPr>
                  <w:tcW w:w="939" w:type="pct"/>
                  <w:vAlign w:val="center"/>
                </w:tcPr>
                <w:p w14:paraId="56CBDC79">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特别排放限值（mg/m³）</w:t>
                  </w:r>
                </w:p>
              </w:tc>
              <w:tc>
                <w:tcPr>
                  <w:tcW w:w="1296" w:type="pct"/>
                  <w:vAlign w:val="center"/>
                </w:tcPr>
                <w:p w14:paraId="65D5E82B">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限制含义</w:t>
                  </w:r>
                </w:p>
              </w:tc>
              <w:tc>
                <w:tcPr>
                  <w:tcW w:w="854" w:type="pct"/>
                  <w:vAlign w:val="center"/>
                </w:tcPr>
                <w:p w14:paraId="5A38AE22">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无组织排放监控位置</w:t>
                  </w:r>
                </w:p>
              </w:tc>
              <w:tc>
                <w:tcPr>
                  <w:tcW w:w="1402" w:type="pct"/>
                  <w:vAlign w:val="center"/>
                </w:tcPr>
                <w:p w14:paraId="4B7D3980">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执行标准</w:t>
                  </w:r>
                </w:p>
              </w:tc>
            </w:tr>
            <w:tr w14:paraId="48D35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6" w:type="pct"/>
                  <w:vMerge w:val="restart"/>
                  <w:vAlign w:val="center"/>
                </w:tcPr>
                <w:p w14:paraId="74DDD516">
                  <w:pPr>
                    <w:pStyle w:val="145"/>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NMHC</w:t>
                  </w:r>
                </w:p>
              </w:tc>
              <w:tc>
                <w:tcPr>
                  <w:tcW w:w="939" w:type="pct"/>
                  <w:vAlign w:val="center"/>
                </w:tcPr>
                <w:p w14:paraId="7D44AB6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p>
              </w:tc>
              <w:tc>
                <w:tcPr>
                  <w:tcW w:w="1296" w:type="pct"/>
                  <w:vAlign w:val="center"/>
                </w:tcPr>
                <w:p w14:paraId="4E702C0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监控点处1h平均浓度</w:t>
                  </w:r>
                </w:p>
              </w:tc>
              <w:tc>
                <w:tcPr>
                  <w:tcW w:w="854" w:type="pct"/>
                  <w:vMerge w:val="restart"/>
                  <w:vAlign w:val="center"/>
                </w:tcPr>
                <w:p w14:paraId="405565B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在厂房外设置监控点</w:t>
                  </w:r>
                </w:p>
              </w:tc>
              <w:tc>
                <w:tcPr>
                  <w:tcW w:w="1402" w:type="pct"/>
                  <w:vMerge w:val="restart"/>
                  <w:vAlign w:val="center"/>
                </w:tcPr>
                <w:p w14:paraId="272B727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《固定污染源挥发性有机物综合排放标准》（DB44/2367-2022）</w:t>
                  </w:r>
                </w:p>
              </w:tc>
            </w:tr>
            <w:tr w14:paraId="14997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6" w:type="pct"/>
                  <w:vMerge w:val="continue"/>
                  <w:vAlign w:val="center"/>
                </w:tcPr>
                <w:p w14:paraId="6F73E61C">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939" w:type="pct"/>
                  <w:vAlign w:val="center"/>
                </w:tcPr>
                <w:p w14:paraId="4C4FA8B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w:t>
                  </w:r>
                </w:p>
              </w:tc>
              <w:tc>
                <w:tcPr>
                  <w:tcW w:w="1296" w:type="pct"/>
                  <w:vAlign w:val="center"/>
                </w:tcPr>
                <w:p w14:paraId="27079D7E">
                  <w:pPr>
                    <w:pStyle w:val="145"/>
                    <w:spacing w:line="240" w:lineRule="auto"/>
                    <w:jc w:val="center"/>
                    <w:rPr>
                      <w:rFonts w:ascii="Times New Roman" w:hAnsi="Times New Roman"/>
                      <w:color w:val="7030A0"/>
                      <w:sz w:val="21"/>
                      <w:szCs w:val="21"/>
                    </w:rPr>
                  </w:pPr>
                  <w:r>
                    <w:rPr>
                      <w:rFonts w:ascii="Times New Roman" w:hAnsi="Times New Roman"/>
                      <w:color w:val="000000" w:themeColor="text1"/>
                      <w:sz w:val="21"/>
                      <w:szCs w:val="21"/>
                      <w14:textFill>
                        <w14:solidFill>
                          <w14:schemeClr w14:val="tx1"/>
                        </w14:solidFill>
                      </w14:textFill>
                    </w:rPr>
                    <w:t>监控点处任意一次浓度</w:t>
                  </w:r>
                </w:p>
              </w:tc>
              <w:tc>
                <w:tcPr>
                  <w:tcW w:w="854" w:type="pct"/>
                  <w:vMerge w:val="continue"/>
                  <w:vAlign w:val="center"/>
                </w:tcPr>
                <w:p w14:paraId="6A31A2AB">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1402" w:type="pct"/>
                  <w:vMerge w:val="continue"/>
                </w:tcPr>
                <w:p w14:paraId="0D3A674C">
                  <w:pPr>
                    <w:pStyle w:val="145"/>
                    <w:spacing w:line="240" w:lineRule="auto"/>
                    <w:jc w:val="center"/>
                    <w:rPr>
                      <w:rFonts w:ascii="Times New Roman" w:hAnsi="Times New Roman"/>
                      <w:color w:val="000000" w:themeColor="text1"/>
                      <w:sz w:val="21"/>
                      <w:szCs w:val="21"/>
                      <w14:textFill>
                        <w14:solidFill>
                          <w14:schemeClr w14:val="tx1"/>
                        </w14:solidFill>
                      </w14:textFill>
                    </w:rPr>
                  </w:pPr>
                </w:p>
              </w:tc>
            </w:tr>
          </w:tbl>
          <w:p w14:paraId="5E1DCED0">
            <w:pPr>
              <w:pStyle w:val="57"/>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3、噪声排放标准</w:t>
            </w:r>
          </w:p>
          <w:p w14:paraId="3893E3B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本项目运营期边界噪声执行《工业企业厂界环境噪声排放标准》（GB12348-2008）</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类标准，即：昼间≤</w:t>
            </w: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0dB(A)、夜间≤5</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dB(A)。</w:t>
            </w:r>
          </w:p>
          <w:p w14:paraId="1C93E1BD">
            <w:pPr>
              <w:pStyle w:val="57"/>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4、固体废物</w:t>
            </w:r>
          </w:p>
          <w:p w14:paraId="7047C59B">
            <w:pPr>
              <w:pStyle w:val="51"/>
              <w:spacing w:line="360" w:lineRule="auto"/>
              <w:ind w:left="0" w:firstLine="480" w:firstLineChars="200"/>
              <w:rPr>
                <w:rFonts w:ascii="Times New Roman"/>
                <w:b w:val="0"/>
                <w:bCs w:val="0"/>
                <w:color w:val="000000" w:themeColor="text1"/>
                <w:sz w:val="24"/>
                <w:szCs w:val="24"/>
                <w14:textFill>
                  <w14:solidFill>
                    <w14:schemeClr w14:val="tx1"/>
                  </w14:solidFill>
                </w14:textFill>
              </w:rPr>
            </w:pPr>
            <w:r>
              <w:rPr>
                <w:rFonts w:ascii="Times New Roman"/>
                <w:b w:val="0"/>
                <w:bCs w:val="0"/>
                <w:color w:val="000000" w:themeColor="text1"/>
                <w:sz w:val="24"/>
                <w:szCs w:val="24"/>
                <w14:textFill>
                  <w14:solidFill>
                    <w14:schemeClr w14:val="tx1"/>
                  </w14:solidFill>
                </w14:textFill>
              </w:rPr>
              <w:t>本项目一般固体废物贮存于厂房内，</w:t>
            </w:r>
            <w:r>
              <w:rPr>
                <w:rFonts w:hint="eastAsia" w:ascii="Times New Roman"/>
                <w:b w:val="0"/>
                <w:bCs w:val="0"/>
                <w:color w:val="000000" w:themeColor="text1"/>
                <w:sz w:val="24"/>
                <w:szCs w:val="24"/>
                <w14:textFill>
                  <w14:solidFill>
                    <w14:schemeClr w14:val="tx1"/>
                  </w14:solidFill>
                </w14:textFill>
              </w:rPr>
              <w:t>一般工业固废贮存遵照《中华人民共和国固体废物污染环境防治法》（2020年）、《广东省固体废物污染环境防治条例》（2022年修订）的相关规定，其贮存过程应满足相应防渗漏、防雨淋、防扬尘等环境保护要求。</w:t>
            </w:r>
            <w:r>
              <w:rPr>
                <w:rFonts w:ascii="Times New Roman"/>
                <w:b w:val="0"/>
                <w:bCs w:val="0"/>
                <w:color w:val="000000" w:themeColor="text1"/>
                <w:sz w:val="24"/>
                <w:szCs w:val="24"/>
                <w14:textFill>
                  <w14:solidFill>
                    <w14:schemeClr w14:val="tx1"/>
                  </w14:solidFill>
                </w14:textFill>
              </w:rPr>
              <w:t>危险废物贮存执行《危险废物贮存污染控制标准》（GB18597-2023）中贮存、处置标准。</w:t>
            </w:r>
          </w:p>
          <w:p w14:paraId="7EB999D8"/>
        </w:tc>
      </w:tr>
      <w:tr w14:paraId="141E96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c>
          <w:tcPr>
            <w:tcW w:w="624" w:type="dxa"/>
            <w:vAlign w:val="center"/>
          </w:tcPr>
          <w:p w14:paraId="60640056">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总量</w:t>
            </w:r>
          </w:p>
          <w:p w14:paraId="776DD6C7">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控制</w:t>
            </w:r>
          </w:p>
          <w:p w14:paraId="4BD593F1">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指标</w:t>
            </w:r>
          </w:p>
        </w:tc>
        <w:tc>
          <w:tcPr>
            <w:tcW w:w="8424" w:type="dxa"/>
            <w:vAlign w:val="center"/>
          </w:tcPr>
          <w:p w14:paraId="5B9963EF">
            <w:pPr>
              <w:spacing w:line="360" w:lineRule="auto"/>
              <w:ind w:firstLine="480" w:firstLineChars="200"/>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项目</w:t>
            </w:r>
            <w:r>
              <w:rPr>
                <w:rFonts w:hint="eastAsia"/>
                <w:bCs/>
                <w:color w:val="000000" w:themeColor="text1"/>
                <w:sz w:val="24"/>
                <w14:textFill>
                  <w14:solidFill>
                    <w14:schemeClr w14:val="tx1"/>
                  </w14:solidFill>
                </w14:textFill>
              </w:rPr>
              <w:t>员工生活污水经“隔油隔渣+三级化粪池”预处理后经市政污水管网排入博罗县福田镇生活污水处理厂进行深度处理，最终排入福田河。</w:t>
            </w:r>
          </w:p>
          <w:p w14:paraId="269BAA6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根据本项目污染物排放总量，建议其总量控制指标按以下执行：</w:t>
            </w:r>
          </w:p>
          <w:p w14:paraId="3CE6194D">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表3-1</w:t>
            </w:r>
            <w:r>
              <w:rPr>
                <w:rFonts w:hint="eastAsia"/>
                <w:b/>
                <w:color w:val="000000" w:themeColor="text1"/>
                <w:szCs w:val="21"/>
                <w14:textFill>
                  <w14:solidFill>
                    <w14:schemeClr w14:val="tx1"/>
                  </w14:solidFill>
                </w14:textFill>
              </w:rPr>
              <w:t>1</w:t>
            </w: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项目污染物总量控制指标</w:t>
            </w:r>
          </w:p>
          <w:tbl>
            <w:tblPr>
              <w:tblStyle w:val="41"/>
              <w:tblW w:w="8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333"/>
              <w:gridCol w:w="1226"/>
              <w:gridCol w:w="1559"/>
              <w:gridCol w:w="3399"/>
            </w:tblGrid>
            <w:tr w14:paraId="68C1E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3" w:type="dxa"/>
                  <w:vAlign w:val="center"/>
                </w:tcPr>
                <w:p w14:paraId="6265628E">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类别</w:t>
                  </w:r>
                </w:p>
              </w:tc>
              <w:tc>
                <w:tcPr>
                  <w:tcW w:w="1333" w:type="dxa"/>
                  <w:vAlign w:val="center"/>
                </w:tcPr>
                <w:p w14:paraId="6682DBA4">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指标</w:t>
                  </w:r>
                </w:p>
              </w:tc>
              <w:tc>
                <w:tcPr>
                  <w:tcW w:w="1226" w:type="dxa"/>
                  <w:vAlign w:val="center"/>
                </w:tcPr>
                <w:p w14:paraId="45311EA9">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本项目总量（</w:t>
                  </w:r>
                  <w:r>
                    <w:rPr>
                      <w:b/>
                      <w:bCs/>
                      <w:color w:val="000000" w:themeColor="text1"/>
                      <w:szCs w:val="21"/>
                      <w14:textFill>
                        <w14:solidFill>
                          <w14:schemeClr w14:val="tx1"/>
                        </w14:solidFill>
                      </w14:textFill>
                    </w:rPr>
                    <w:t>t/a</w:t>
                  </w:r>
                  <w:r>
                    <w:rPr>
                      <w:rFonts w:hint="eastAsia"/>
                      <w:b/>
                      <w:bCs/>
                      <w:color w:val="000000" w:themeColor="text1"/>
                      <w:szCs w:val="21"/>
                      <w14:textFill>
                        <w14:solidFill>
                          <w14:schemeClr w14:val="tx1"/>
                        </w14:solidFill>
                      </w14:textFill>
                    </w:rPr>
                    <w:t>）</w:t>
                  </w:r>
                </w:p>
              </w:tc>
              <w:tc>
                <w:tcPr>
                  <w:tcW w:w="1559" w:type="dxa"/>
                  <w:vAlign w:val="center"/>
                </w:tcPr>
                <w:p w14:paraId="08720B7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建议总量控制量</w:t>
                  </w:r>
                </w:p>
              </w:tc>
              <w:tc>
                <w:tcPr>
                  <w:tcW w:w="3399" w:type="dxa"/>
                  <w:vAlign w:val="center"/>
                </w:tcPr>
                <w:p w14:paraId="1A2DC3EC">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备注</w:t>
                  </w:r>
                </w:p>
              </w:tc>
            </w:tr>
            <w:tr w14:paraId="1B29F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3" w:type="dxa"/>
                  <w:vMerge w:val="restart"/>
                  <w:vAlign w:val="center"/>
                </w:tcPr>
                <w:p w14:paraId="72E1E6A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1333" w:type="dxa"/>
                  <w:vAlign w:val="center"/>
                </w:tcPr>
                <w:p w14:paraId="5A54A55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废水量</w:t>
                  </w:r>
                </w:p>
              </w:tc>
              <w:tc>
                <w:tcPr>
                  <w:tcW w:w="1226" w:type="dxa"/>
                  <w:vAlign w:val="center"/>
                </w:tcPr>
                <w:p w14:paraId="7C5878E9">
                  <w:pPr>
                    <w:jc w:val="center"/>
                    <w:rPr>
                      <w:color w:val="7030A0"/>
                      <w:szCs w:val="21"/>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697</w:t>
                  </w:r>
                </w:p>
              </w:tc>
              <w:tc>
                <w:tcPr>
                  <w:tcW w:w="1559" w:type="dxa"/>
                  <w:vAlign w:val="center"/>
                </w:tcPr>
                <w:p w14:paraId="69236F3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697</w:t>
                  </w:r>
                </w:p>
              </w:tc>
              <w:tc>
                <w:tcPr>
                  <w:tcW w:w="3399" w:type="dxa"/>
                  <w:vMerge w:val="restart"/>
                  <w:vAlign w:val="center"/>
                </w:tcPr>
                <w:p w14:paraId="0F6E7277">
                  <w:pPr>
                    <w:jc w:val="center"/>
                    <w:rPr>
                      <w:color w:val="000000"/>
                    </w:rPr>
                  </w:pPr>
                  <w:r>
                    <w:rPr>
                      <w:color w:val="000000"/>
                    </w:rPr>
                    <w:t>生活污水排入博罗县</w:t>
                  </w:r>
                  <w:r>
                    <w:rPr>
                      <w:rFonts w:hint="eastAsia"/>
                      <w:color w:val="000000"/>
                    </w:rPr>
                    <w:t>福田</w:t>
                  </w:r>
                  <w:r>
                    <w:rPr>
                      <w:color w:val="000000"/>
                    </w:rPr>
                    <w:t>镇生活污水处理厂进行处理，纳入该污水厂的总量中进行控制，不另占总量指标</w:t>
                  </w:r>
                </w:p>
              </w:tc>
            </w:tr>
            <w:tr w14:paraId="2434A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3" w:type="dxa"/>
                  <w:vMerge w:val="continue"/>
                  <w:vAlign w:val="center"/>
                </w:tcPr>
                <w:p w14:paraId="351FA69B">
                  <w:pPr>
                    <w:jc w:val="center"/>
                    <w:rPr>
                      <w:color w:val="000000" w:themeColor="text1"/>
                      <w:szCs w:val="21"/>
                      <w14:textFill>
                        <w14:solidFill>
                          <w14:schemeClr w14:val="tx1"/>
                        </w14:solidFill>
                      </w14:textFill>
                    </w:rPr>
                  </w:pPr>
                </w:p>
              </w:tc>
              <w:tc>
                <w:tcPr>
                  <w:tcW w:w="1333" w:type="dxa"/>
                  <w:vAlign w:val="center"/>
                </w:tcPr>
                <w:p w14:paraId="1A47566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rFonts w:hint="eastAsia"/>
                      <w:color w:val="000000" w:themeColor="text1"/>
                      <w:szCs w:val="21"/>
                      <w:vertAlign w:val="subscript"/>
                      <w14:textFill>
                        <w14:solidFill>
                          <w14:schemeClr w14:val="tx1"/>
                        </w14:solidFill>
                      </w14:textFill>
                    </w:rPr>
                    <w:t>Cr</w:t>
                  </w:r>
                </w:p>
              </w:tc>
              <w:tc>
                <w:tcPr>
                  <w:tcW w:w="1226" w:type="dxa"/>
                  <w:vAlign w:val="center"/>
                </w:tcPr>
                <w:p w14:paraId="3DC9D1C8">
                  <w:pPr>
                    <w:jc w:val="center"/>
                    <w:rPr>
                      <w:color w:val="7030A0"/>
                      <w:szCs w:val="21"/>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35</w:t>
                  </w:r>
                </w:p>
              </w:tc>
              <w:tc>
                <w:tcPr>
                  <w:tcW w:w="1559" w:type="dxa"/>
                  <w:vAlign w:val="center"/>
                </w:tcPr>
                <w:p w14:paraId="0281B9E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35</w:t>
                  </w:r>
                </w:p>
              </w:tc>
              <w:tc>
                <w:tcPr>
                  <w:tcW w:w="3399" w:type="dxa"/>
                  <w:vMerge w:val="continue"/>
                  <w:vAlign w:val="center"/>
                </w:tcPr>
                <w:p w14:paraId="45C4A682">
                  <w:pPr>
                    <w:jc w:val="center"/>
                    <w:rPr>
                      <w:b/>
                      <w:bCs/>
                      <w:color w:val="000000" w:themeColor="text1"/>
                      <w:szCs w:val="21"/>
                      <w14:textFill>
                        <w14:solidFill>
                          <w14:schemeClr w14:val="tx1"/>
                        </w14:solidFill>
                      </w14:textFill>
                    </w:rPr>
                  </w:pPr>
                </w:p>
              </w:tc>
            </w:tr>
            <w:tr w14:paraId="1EC9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3" w:type="dxa"/>
                  <w:vMerge w:val="continue"/>
                  <w:vAlign w:val="center"/>
                </w:tcPr>
                <w:p w14:paraId="12A2C8E1">
                  <w:pPr>
                    <w:jc w:val="center"/>
                    <w:rPr>
                      <w:color w:val="000000" w:themeColor="text1"/>
                      <w:szCs w:val="21"/>
                      <w14:textFill>
                        <w14:solidFill>
                          <w14:schemeClr w14:val="tx1"/>
                        </w14:solidFill>
                      </w14:textFill>
                    </w:rPr>
                  </w:pPr>
                </w:p>
              </w:tc>
              <w:tc>
                <w:tcPr>
                  <w:tcW w:w="1333" w:type="dxa"/>
                  <w:vAlign w:val="center"/>
                </w:tcPr>
                <w:p w14:paraId="0A011E0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氨氮</w:t>
                  </w:r>
                </w:p>
              </w:tc>
              <w:tc>
                <w:tcPr>
                  <w:tcW w:w="1226" w:type="dxa"/>
                  <w:vAlign w:val="center"/>
                </w:tcPr>
                <w:p w14:paraId="67E8E407">
                  <w:pPr>
                    <w:jc w:val="center"/>
                    <w:rPr>
                      <w:color w:val="7030A0"/>
                      <w:szCs w:val="21"/>
                    </w:rPr>
                  </w:pPr>
                  <w:r>
                    <w:rPr>
                      <w:color w:val="000000" w:themeColor="text1"/>
                      <w:szCs w:val="21"/>
                      <w14:textFill>
                        <w14:solidFill>
                          <w14:schemeClr w14:val="tx1"/>
                        </w14:solidFill>
                      </w14:textFill>
                    </w:rPr>
                    <w:t>0.00</w:t>
                  </w:r>
                  <w:r>
                    <w:rPr>
                      <w:rFonts w:hint="eastAsia"/>
                      <w:color w:val="000000" w:themeColor="text1"/>
                      <w:szCs w:val="21"/>
                      <w14:textFill>
                        <w14:solidFill>
                          <w14:schemeClr w14:val="tx1"/>
                        </w14:solidFill>
                      </w14:textFill>
                    </w:rPr>
                    <w:t>14</w:t>
                  </w:r>
                </w:p>
              </w:tc>
              <w:tc>
                <w:tcPr>
                  <w:tcW w:w="1559" w:type="dxa"/>
                  <w:vAlign w:val="center"/>
                </w:tcPr>
                <w:p w14:paraId="6C80CE4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w:t>
                  </w:r>
                  <w:r>
                    <w:rPr>
                      <w:rFonts w:hint="eastAsia"/>
                      <w:color w:val="000000" w:themeColor="text1"/>
                      <w:szCs w:val="21"/>
                      <w14:textFill>
                        <w14:solidFill>
                          <w14:schemeClr w14:val="tx1"/>
                        </w14:solidFill>
                      </w14:textFill>
                    </w:rPr>
                    <w:t>14</w:t>
                  </w:r>
                </w:p>
              </w:tc>
              <w:tc>
                <w:tcPr>
                  <w:tcW w:w="3399" w:type="dxa"/>
                  <w:vMerge w:val="continue"/>
                  <w:vAlign w:val="center"/>
                </w:tcPr>
                <w:p w14:paraId="2477B0E0">
                  <w:pPr>
                    <w:jc w:val="center"/>
                    <w:rPr>
                      <w:b/>
                      <w:bCs/>
                      <w:color w:val="000000" w:themeColor="text1"/>
                      <w:szCs w:val="21"/>
                      <w14:textFill>
                        <w14:solidFill>
                          <w14:schemeClr w14:val="tx1"/>
                        </w14:solidFill>
                      </w14:textFill>
                    </w:rPr>
                  </w:pPr>
                </w:p>
              </w:tc>
            </w:tr>
            <w:tr w14:paraId="42DB7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3" w:type="dxa"/>
                  <w:vMerge w:val="restart"/>
                  <w:vAlign w:val="center"/>
                </w:tcPr>
                <w:p w14:paraId="2A5EC57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1333" w:type="dxa"/>
                  <w:vMerge w:val="restart"/>
                  <w:vAlign w:val="center"/>
                </w:tcPr>
                <w:p w14:paraId="10C9AEDD">
                  <w:pPr>
                    <w:jc w:val="center"/>
                    <w:rPr>
                      <w:color w:val="FF0000"/>
                      <w:szCs w:val="21"/>
                    </w:rPr>
                  </w:pPr>
                  <w:r>
                    <w:rPr>
                      <w:rFonts w:hint="eastAsia"/>
                      <w:color w:val="000000" w:themeColor="text1"/>
                      <w:szCs w:val="21"/>
                      <w14:textFill>
                        <w14:solidFill>
                          <w14:schemeClr w14:val="tx1"/>
                        </w14:solidFill>
                      </w14:textFill>
                    </w:rPr>
                    <w:t>总VOC</w:t>
                  </w:r>
                  <w:r>
                    <w:rPr>
                      <w:rFonts w:hint="eastAsia"/>
                      <w:color w:val="000000" w:themeColor="text1"/>
                      <w:szCs w:val="21"/>
                      <w:vertAlign w:val="subscript"/>
                      <w14:textFill>
                        <w14:solidFill>
                          <w14:schemeClr w14:val="tx1"/>
                        </w14:solidFill>
                      </w14:textFill>
                    </w:rPr>
                    <w:t>S</w:t>
                  </w:r>
                </w:p>
              </w:tc>
              <w:tc>
                <w:tcPr>
                  <w:tcW w:w="1226" w:type="dxa"/>
                  <w:vAlign w:val="center"/>
                </w:tcPr>
                <w:p w14:paraId="2445FED9">
                  <w:pPr>
                    <w:pStyle w:val="156"/>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有组织</w:t>
                  </w:r>
                </w:p>
              </w:tc>
              <w:tc>
                <w:tcPr>
                  <w:tcW w:w="1559" w:type="dxa"/>
                  <w:vAlign w:val="center"/>
                </w:tcPr>
                <w:p w14:paraId="2C4E84E7">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0.448</w:t>
                  </w:r>
                </w:p>
              </w:tc>
              <w:tc>
                <w:tcPr>
                  <w:tcW w:w="3399" w:type="dxa"/>
                  <w:vMerge w:val="restart"/>
                  <w:vAlign w:val="center"/>
                </w:tcPr>
                <w:p w14:paraId="5B4D62FD">
                  <w:pPr>
                    <w:jc w:val="center"/>
                    <w:rPr>
                      <w:b/>
                      <w:bCs/>
                      <w:color w:val="000000" w:themeColor="text1"/>
                      <w:szCs w:val="21"/>
                      <w14:textFill>
                        <w14:solidFill>
                          <w14:schemeClr w14:val="tx1"/>
                        </w14:solidFill>
                      </w14:textFill>
                    </w:rPr>
                  </w:pPr>
                  <w:r>
                    <w:rPr>
                      <w:color w:val="000000"/>
                    </w:rPr>
                    <w:t>VOCs总量来自惠州市生态环境局博罗分局总量调配，废气包括有组织+无组织排放量之和</w:t>
                  </w:r>
                </w:p>
              </w:tc>
            </w:tr>
            <w:tr w14:paraId="671FA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14:paraId="77BBFCFC">
                  <w:pPr>
                    <w:jc w:val="center"/>
                    <w:rPr>
                      <w:color w:val="000000" w:themeColor="text1"/>
                      <w:szCs w:val="21"/>
                      <w14:textFill>
                        <w14:solidFill>
                          <w14:schemeClr w14:val="tx1"/>
                        </w14:solidFill>
                      </w14:textFill>
                    </w:rPr>
                  </w:pPr>
                </w:p>
              </w:tc>
              <w:tc>
                <w:tcPr>
                  <w:tcW w:w="1333" w:type="dxa"/>
                  <w:vMerge w:val="continue"/>
                  <w:vAlign w:val="center"/>
                </w:tcPr>
                <w:p w14:paraId="01E53EAB">
                  <w:pPr>
                    <w:jc w:val="center"/>
                    <w:rPr>
                      <w:color w:val="FF0000"/>
                      <w:szCs w:val="21"/>
                    </w:rPr>
                  </w:pPr>
                </w:p>
              </w:tc>
              <w:tc>
                <w:tcPr>
                  <w:tcW w:w="1226" w:type="dxa"/>
                  <w:vAlign w:val="center"/>
                </w:tcPr>
                <w:p w14:paraId="52A1E7FB">
                  <w:pPr>
                    <w:pStyle w:val="156"/>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无组织</w:t>
                  </w:r>
                </w:p>
              </w:tc>
              <w:tc>
                <w:tcPr>
                  <w:tcW w:w="1559" w:type="dxa"/>
                  <w:vAlign w:val="center"/>
                </w:tcPr>
                <w:p w14:paraId="284D7B6D">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199</w:t>
                  </w:r>
                </w:p>
              </w:tc>
              <w:tc>
                <w:tcPr>
                  <w:tcW w:w="3399" w:type="dxa"/>
                  <w:vMerge w:val="continue"/>
                  <w:vAlign w:val="center"/>
                </w:tcPr>
                <w:p w14:paraId="3F84DD03">
                  <w:pPr>
                    <w:jc w:val="center"/>
                    <w:rPr>
                      <w:color w:val="000000" w:themeColor="text1"/>
                      <w:szCs w:val="21"/>
                      <w14:textFill>
                        <w14:solidFill>
                          <w14:schemeClr w14:val="tx1"/>
                        </w14:solidFill>
                      </w14:textFill>
                    </w:rPr>
                  </w:pPr>
                </w:p>
              </w:tc>
            </w:tr>
            <w:tr w14:paraId="26540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14:paraId="43B606E4">
                  <w:pPr>
                    <w:jc w:val="center"/>
                    <w:rPr>
                      <w:color w:val="000000" w:themeColor="text1"/>
                      <w:szCs w:val="21"/>
                      <w14:textFill>
                        <w14:solidFill>
                          <w14:schemeClr w14:val="tx1"/>
                        </w14:solidFill>
                      </w14:textFill>
                    </w:rPr>
                  </w:pPr>
                </w:p>
              </w:tc>
              <w:tc>
                <w:tcPr>
                  <w:tcW w:w="1333" w:type="dxa"/>
                  <w:vMerge w:val="continue"/>
                  <w:vAlign w:val="center"/>
                </w:tcPr>
                <w:p w14:paraId="39331FF0">
                  <w:pPr>
                    <w:jc w:val="center"/>
                    <w:rPr>
                      <w:color w:val="FF0000"/>
                      <w:szCs w:val="21"/>
                    </w:rPr>
                  </w:pPr>
                </w:p>
              </w:tc>
              <w:tc>
                <w:tcPr>
                  <w:tcW w:w="1226" w:type="dxa"/>
                  <w:vAlign w:val="center"/>
                </w:tcPr>
                <w:p w14:paraId="795CFC1F">
                  <w:pPr>
                    <w:pStyle w:val="156"/>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合计</w:t>
                  </w:r>
                </w:p>
              </w:tc>
              <w:tc>
                <w:tcPr>
                  <w:tcW w:w="1559" w:type="dxa"/>
                  <w:vAlign w:val="center"/>
                </w:tcPr>
                <w:p w14:paraId="7F412B77">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0.647</w:t>
                  </w:r>
                </w:p>
              </w:tc>
              <w:tc>
                <w:tcPr>
                  <w:tcW w:w="3399" w:type="dxa"/>
                  <w:vMerge w:val="continue"/>
                  <w:vAlign w:val="center"/>
                </w:tcPr>
                <w:p w14:paraId="022D7E54">
                  <w:pPr>
                    <w:jc w:val="center"/>
                    <w:rPr>
                      <w:color w:val="000000" w:themeColor="text1"/>
                      <w:szCs w:val="21"/>
                      <w14:textFill>
                        <w14:solidFill>
                          <w14:schemeClr w14:val="tx1"/>
                        </w14:solidFill>
                      </w14:textFill>
                    </w:rPr>
                  </w:pPr>
                </w:p>
              </w:tc>
            </w:tr>
          </w:tbl>
          <w:p w14:paraId="2DD9B5C2">
            <w:pPr>
              <w:spacing w:line="360" w:lineRule="auto"/>
              <w:ind w:firstLine="480" w:firstLineChars="200"/>
            </w:pPr>
            <w:r>
              <w:rPr>
                <w:color w:val="000000" w:themeColor="text1"/>
                <w:sz w:val="24"/>
                <w14:textFill>
                  <w14:solidFill>
                    <w14:schemeClr w14:val="tx1"/>
                  </w14:solidFill>
                </w14:textFill>
              </w:rPr>
              <w:t>项目最终执行的污染物排放总量控制指标由当地环境保护行政主管部门分配与核定。</w:t>
            </w:r>
          </w:p>
        </w:tc>
      </w:tr>
    </w:tbl>
    <w:p w14:paraId="747C35AB">
      <w:pPr>
        <w:jc w:val="center"/>
        <w:outlineLvl w:val="0"/>
        <w:rPr>
          <w:rFonts w:hint="eastAsia" w:ascii="黑体" w:hAnsi="黑体" w:eastAsia="黑体"/>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14:paraId="5C23DBED">
      <w:pPr>
        <w:jc w:val="center"/>
        <w:outlineLvl w:val="0"/>
        <w:rPr>
          <w:rFonts w:hint="eastAsia"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四</w:t>
      </w:r>
      <w:r>
        <w:rPr>
          <w:rFonts w:ascii="黑体" w:hAnsi="黑体" w:eastAsia="黑体"/>
          <w:color w:val="000000" w:themeColor="text1"/>
          <w:sz w:val="30"/>
          <w14:textFill>
            <w14:solidFill>
              <w14:schemeClr w14:val="tx1"/>
            </w14:solidFill>
          </w14:textFill>
        </w:rPr>
        <w:t>、主要环境影响和保护措施</w:t>
      </w:r>
    </w:p>
    <w:tbl>
      <w:tblPr>
        <w:tblStyle w:val="40"/>
        <w:tblW w:w="89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57" w:type="dxa"/>
          <w:bottom w:w="57" w:type="dxa"/>
          <w:right w:w="57" w:type="dxa"/>
        </w:tblCellMar>
      </w:tblPr>
      <w:tblGrid>
        <w:gridCol w:w="624"/>
        <w:gridCol w:w="8292"/>
      </w:tblGrid>
      <w:tr w14:paraId="7A838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1793" w:hRule="atLeast"/>
          <w:jc w:val="center"/>
        </w:trPr>
        <w:tc>
          <w:tcPr>
            <w:tcW w:w="624" w:type="dxa"/>
            <w:tcMar>
              <w:left w:w="28" w:type="dxa"/>
              <w:right w:w="28" w:type="dxa"/>
            </w:tcMar>
            <w:vAlign w:val="center"/>
          </w:tcPr>
          <w:p w14:paraId="66B90835">
            <w:pPr>
              <w:pStyle w:val="35"/>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施工</w:t>
            </w:r>
          </w:p>
          <w:p w14:paraId="637CD5C8">
            <w:pPr>
              <w:pStyle w:val="35"/>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期环</w:t>
            </w:r>
          </w:p>
          <w:p w14:paraId="47225583">
            <w:pPr>
              <w:pStyle w:val="35"/>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境保</w:t>
            </w:r>
          </w:p>
          <w:p w14:paraId="0B376619">
            <w:pPr>
              <w:pStyle w:val="35"/>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护措</w:t>
            </w:r>
          </w:p>
          <w:p w14:paraId="675488F3">
            <w:pPr>
              <w:pStyle w:val="35"/>
              <w:adjustRightInd w:val="0"/>
              <w:snapToGrid w:val="0"/>
              <w:spacing w:before="0" w:beforeAutospacing="0" w:after="0" w:afterAutospacing="0"/>
              <w:jc w:val="center"/>
              <w:rPr>
                <w:rFonts w:ascii="Times New Roman" w:hAnsi="Times New Roman"/>
                <w:bCs/>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施</w:t>
            </w:r>
          </w:p>
        </w:tc>
        <w:tc>
          <w:tcPr>
            <w:tcW w:w="8292" w:type="dxa"/>
            <w:vAlign w:val="center"/>
          </w:tcPr>
          <w:p w14:paraId="3116B12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本项目租用已建厂房进行生产，故不存在施工期的环境污染。</w:t>
            </w:r>
          </w:p>
          <w:p w14:paraId="4E9663E8">
            <w:pPr>
              <w:pStyle w:val="49"/>
              <w:spacing w:line="360" w:lineRule="auto"/>
              <w:ind w:firstLine="480" w:firstLineChars="200"/>
              <w:rPr>
                <w:color w:val="000000" w:themeColor="text1"/>
                <w14:textFill>
                  <w14:solidFill>
                    <w14:schemeClr w14:val="tx1"/>
                  </w14:solidFill>
                </w14:textFill>
              </w:rPr>
            </w:pPr>
            <w:r>
              <w:rPr>
                <w:rFonts w:ascii="Times New Roman"/>
                <w:color w:val="000000" w:themeColor="text1"/>
                <w14:textFill>
                  <w14:solidFill>
                    <w14:schemeClr w14:val="tx1"/>
                  </w14:solidFill>
                </w14:textFill>
              </w:rPr>
              <w:t>本项目设备安装期间仅产生短暂性的噪声，通过适当的隔声、吸声、减振和降噪等措施，来</w:t>
            </w:r>
            <w:r>
              <w:rPr>
                <w:rFonts w:hint="eastAsia" w:ascii="Times New Roman"/>
                <w:color w:val="000000" w:themeColor="text1"/>
                <w14:textFill>
                  <w14:solidFill>
                    <w14:schemeClr w14:val="tx1"/>
                  </w14:solidFill>
                </w14:textFill>
              </w:rPr>
              <w:t>减轻</w:t>
            </w:r>
            <w:r>
              <w:rPr>
                <w:rFonts w:ascii="Times New Roman"/>
                <w:color w:val="000000" w:themeColor="text1"/>
                <w14:textFill>
                  <w14:solidFill>
                    <w14:schemeClr w14:val="tx1"/>
                  </w14:solidFill>
                </w14:textFill>
              </w:rPr>
              <w:t>设备安装期间产生的噪声对外界的影响。</w:t>
            </w:r>
          </w:p>
        </w:tc>
      </w:tr>
      <w:tr w14:paraId="555498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8681" w:hRule="atLeast"/>
          <w:jc w:val="center"/>
        </w:trPr>
        <w:tc>
          <w:tcPr>
            <w:tcW w:w="624" w:type="dxa"/>
            <w:tcMar>
              <w:left w:w="28" w:type="dxa"/>
              <w:right w:w="28" w:type="dxa"/>
            </w:tcMar>
            <w:vAlign w:val="center"/>
          </w:tcPr>
          <w:p w14:paraId="23C905C6">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运营</w:t>
            </w:r>
          </w:p>
          <w:p w14:paraId="71EF42FC">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期环</w:t>
            </w:r>
          </w:p>
          <w:p w14:paraId="02E9B762">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境影</w:t>
            </w:r>
          </w:p>
          <w:p w14:paraId="5B2CEB90">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响和</w:t>
            </w:r>
          </w:p>
          <w:p w14:paraId="6555DFA9">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保护</w:t>
            </w:r>
          </w:p>
          <w:p w14:paraId="2A7239E7">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措施</w:t>
            </w:r>
          </w:p>
        </w:tc>
        <w:tc>
          <w:tcPr>
            <w:tcW w:w="8292" w:type="dxa"/>
            <w:vAlign w:val="center"/>
          </w:tcPr>
          <w:p w14:paraId="7B240EC8">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一</w:t>
            </w:r>
            <w:r>
              <w:rPr>
                <w:b/>
                <w:color w:val="000000" w:themeColor="text1"/>
                <w:sz w:val="24"/>
                <w14:textFill>
                  <w14:solidFill>
                    <w14:schemeClr w14:val="tx1"/>
                  </w14:solidFill>
                </w14:textFill>
              </w:rPr>
              <w:t>、废气</w:t>
            </w:r>
            <w:r>
              <w:rPr>
                <w:rFonts w:hint="eastAsia"/>
                <w:b/>
                <w:color w:val="000000" w:themeColor="text1"/>
                <w:sz w:val="24"/>
                <w14:textFill>
                  <w14:solidFill>
                    <w14:schemeClr w14:val="tx1"/>
                  </w14:solidFill>
                </w14:textFill>
              </w:rPr>
              <w:t>环境影响</w:t>
            </w:r>
            <w:r>
              <w:rPr>
                <w:b/>
                <w:color w:val="000000" w:themeColor="text1"/>
                <w:sz w:val="24"/>
                <w14:textFill>
                  <w14:solidFill>
                    <w14:schemeClr w14:val="tx1"/>
                  </w14:solidFill>
                </w14:textFill>
              </w:rPr>
              <w:t>分析</w:t>
            </w:r>
          </w:p>
          <w:p w14:paraId="315813E1">
            <w:pPr>
              <w:spacing w:before="156" w:beforeLines="50"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1、大气污染物源</w:t>
            </w:r>
          </w:p>
          <w:p w14:paraId="1AFF7715">
            <w:pPr>
              <w:adjustRightInd w:val="0"/>
              <w:snapToGrid w:val="0"/>
              <w:spacing w:line="360" w:lineRule="auto"/>
              <w:ind w:firstLine="480"/>
              <w:rPr>
                <w:b/>
                <w:bCs/>
                <w:color w:val="000000" w:themeColor="text1"/>
                <w:sz w:val="24"/>
                <w14:textFill>
                  <w14:solidFill>
                    <w14:schemeClr w14:val="tx1"/>
                  </w14:solidFill>
                </w14:textFill>
              </w:rPr>
            </w:pPr>
            <w:r>
              <w:rPr>
                <w:color w:val="000000" w:themeColor="text1"/>
                <w:sz w:val="24"/>
                <w14:textFill>
                  <w14:solidFill>
                    <w14:schemeClr w14:val="tx1"/>
                  </w14:solidFill>
                </w14:textFill>
              </w:rPr>
              <w:t>本项目大气污染物项目产生的废气主要是</w:t>
            </w:r>
            <w:r>
              <w:rPr>
                <w:rFonts w:hint="eastAsia"/>
                <w:color w:val="000000" w:themeColor="text1"/>
                <w:sz w:val="24"/>
                <w14:textFill>
                  <w14:solidFill>
                    <w14:schemeClr w14:val="tx1"/>
                  </w14:solidFill>
                </w14:textFill>
              </w:rPr>
              <w:t>开料、雕刻、打磨、切割、批灰工序产生的粉尘，焊接工序产生的焊接烟尘，</w:t>
            </w:r>
            <w:r>
              <w:rPr>
                <w:color w:val="000000" w:themeColor="text1"/>
                <w:sz w:val="24"/>
                <w14:textFill>
                  <w14:solidFill>
                    <w14:schemeClr w14:val="tx1"/>
                  </w14:solidFill>
                </w14:textFill>
              </w:rPr>
              <w:t>喷</w:t>
            </w:r>
            <w:r>
              <w:rPr>
                <w:rFonts w:hint="eastAsia"/>
                <w:color w:val="000000" w:themeColor="text1"/>
                <w:sz w:val="24"/>
                <w14:textFill>
                  <w14:solidFill>
                    <w14:schemeClr w14:val="tx1"/>
                  </w14:solidFill>
                </w14:textFill>
              </w:rPr>
              <w:t>涂、晾干</w:t>
            </w:r>
            <w:r>
              <w:rPr>
                <w:color w:val="000000" w:themeColor="text1"/>
                <w:sz w:val="24"/>
                <w14:textFill>
                  <w14:solidFill>
                    <w14:schemeClr w14:val="tx1"/>
                  </w14:solidFill>
                </w14:textFill>
              </w:rPr>
              <w:t>工序产生的</w:t>
            </w:r>
            <w:r>
              <w:rPr>
                <w:rFonts w:hint="eastAsia"/>
                <w:color w:val="000000" w:themeColor="text1"/>
                <w:sz w:val="24"/>
                <w14:textFill>
                  <w14:solidFill>
                    <w14:schemeClr w14:val="tx1"/>
                  </w14:solidFill>
                </w14:textFill>
              </w:rPr>
              <w:t>有机废气，喷漆工序产生的漆雾（颗粒物）</w:t>
            </w:r>
            <w:r>
              <w:rPr>
                <w:color w:val="000000" w:themeColor="text1"/>
                <w:sz w:val="24"/>
                <w14:textFill>
                  <w14:solidFill>
                    <w14:schemeClr w14:val="tx1"/>
                  </w14:solidFill>
                </w14:textFill>
              </w:rPr>
              <w:t>。本项目年运行300天，每天8小时。</w:t>
            </w:r>
          </w:p>
          <w:p w14:paraId="55881A06">
            <w:pPr>
              <w:pStyle w:val="49"/>
              <w:jc w:val="center"/>
              <w:rPr>
                <w:rFonts w:ascii="Times New Roman"/>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表4-1 废气污染物源强核算结果一览表</w:t>
            </w:r>
          </w:p>
          <w:tbl>
            <w:tblPr>
              <w:tblStyle w:val="40"/>
              <w:tblW w:w="80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12"/>
              <w:gridCol w:w="436"/>
              <w:gridCol w:w="565"/>
              <w:gridCol w:w="523"/>
              <w:gridCol w:w="656"/>
              <w:gridCol w:w="706"/>
              <w:gridCol w:w="589"/>
              <w:gridCol w:w="565"/>
              <w:gridCol w:w="368"/>
              <w:gridCol w:w="429"/>
              <w:gridCol w:w="469"/>
              <w:gridCol w:w="566"/>
              <w:gridCol w:w="621"/>
              <w:gridCol w:w="536"/>
              <w:gridCol w:w="424"/>
            </w:tblGrid>
            <w:tr w14:paraId="5C5DD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restart"/>
                  <w:tcMar>
                    <w:top w:w="0" w:type="dxa"/>
                    <w:left w:w="28" w:type="dxa"/>
                    <w:bottom w:w="0" w:type="dxa"/>
                    <w:right w:w="28" w:type="dxa"/>
                  </w:tcMar>
                  <w:vAlign w:val="center"/>
                </w:tcPr>
                <w:p w14:paraId="615B3743">
                  <w:pPr>
                    <w:ind w:left="-105" w:leftChars="-50" w:right="-105" w:rightChars="-50"/>
                    <w:jc w:val="center"/>
                    <w:rPr>
                      <w:b/>
                      <w:bCs/>
                      <w:color w:val="000000" w:themeColor="text1"/>
                      <w:szCs w:val="21"/>
                      <w14:textFill>
                        <w14:solidFill>
                          <w14:schemeClr w14:val="tx1"/>
                        </w14:solidFill>
                      </w14:textFill>
                    </w:rPr>
                  </w:pPr>
                  <w:bookmarkStart w:id="6" w:name="_Hlk209170549"/>
                  <w:r>
                    <w:rPr>
                      <w:rFonts w:hint="eastAsia"/>
                      <w:b/>
                      <w:bCs/>
                      <w:color w:val="000000" w:themeColor="text1"/>
                      <w:szCs w:val="21"/>
                      <w14:textFill>
                        <w14:solidFill>
                          <w14:schemeClr w14:val="tx1"/>
                        </w14:solidFill>
                      </w14:textFill>
                    </w:rPr>
                    <w:t>排放</w:t>
                  </w:r>
                </w:p>
                <w:p w14:paraId="0363F271">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口编</w:t>
                  </w:r>
                </w:p>
                <w:p w14:paraId="2C587826">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号及</w:t>
                  </w:r>
                </w:p>
                <w:p w14:paraId="59060BE4">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270" w:type="pct"/>
                  <w:vMerge w:val="restart"/>
                  <w:tcMar>
                    <w:top w:w="0" w:type="dxa"/>
                    <w:left w:w="28" w:type="dxa"/>
                    <w:bottom w:w="0" w:type="dxa"/>
                    <w:right w:w="28" w:type="dxa"/>
                  </w:tcMar>
                  <w:vAlign w:val="center"/>
                </w:tcPr>
                <w:p w14:paraId="58030B9C">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产排污环节</w:t>
                  </w:r>
                </w:p>
              </w:tc>
              <w:tc>
                <w:tcPr>
                  <w:tcW w:w="350" w:type="pct"/>
                  <w:vMerge w:val="restart"/>
                  <w:tcMar>
                    <w:top w:w="0" w:type="dxa"/>
                    <w:left w:w="28" w:type="dxa"/>
                    <w:bottom w:w="0" w:type="dxa"/>
                    <w:right w:w="28" w:type="dxa"/>
                  </w:tcMar>
                  <w:vAlign w:val="center"/>
                </w:tcPr>
                <w:p w14:paraId="07E13B17">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w:t>
                  </w:r>
                </w:p>
                <w:p w14:paraId="66A4858B">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物种</w:t>
                  </w:r>
                </w:p>
                <w:p w14:paraId="50A41B6F">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w:t>
                  </w:r>
                </w:p>
              </w:tc>
              <w:tc>
                <w:tcPr>
                  <w:tcW w:w="324" w:type="pct"/>
                  <w:vMerge w:val="restart"/>
                  <w:tcMar>
                    <w:top w:w="0" w:type="dxa"/>
                    <w:left w:w="28" w:type="dxa"/>
                    <w:bottom w:w="0" w:type="dxa"/>
                    <w:right w:w="28" w:type="dxa"/>
                  </w:tcMar>
                  <w:vAlign w:val="center"/>
                </w:tcPr>
                <w:p w14:paraId="42BD476B">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废气</w:t>
                  </w:r>
                </w:p>
                <w:p w14:paraId="7269A265">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设计</w:t>
                  </w:r>
                </w:p>
                <w:p w14:paraId="5987E451">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风量</w:t>
                  </w:r>
                  <w:r>
                    <w:rPr>
                      <w:b/>
                      <w:bCs/>
                      <w:color w:val="000000" w:themeColor="text1"/>
                      <w:szCs w:val="21"/>
                      <w14:textFill>
                        <w14:solidFill>
                          <w14:schemeClr w14:val="tx1"/>
                        </w14:solidFill>
                      </w14:textFill>
                    </w:rPr>
                    <w:t>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/h</w:t>
                  </w:r>
                </w:p>
              </w:tc>
              <w:tc>
                <w:tcPr>
                  <w:tcW w:w="1210" w:type="pct"/>
                  <w:gridSpan w:val="3"/>
                  <w:tcMar>
                    <w:top w:w="0" w:type="dxa"/>
                    <w:left w:w="28" w:type="dxa"/>
                    <w:bottom w:w="0" w:type="dxa"/>
                    <w:right w:w="28" w:type="dxa"/>
                  </w:tcMar>
                  <w:vAlign w:val="center"/>
                </w:tcPr>
                <w:p w14:paraId="4D4ED95B">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产生情况</w:t>
                  </w:r>
                </w:p>
              </w:tc>
              <w:tc>
                <w:tcPr>
                  <w:tcW w:w="1135" w:type="pct"/>
                  <w:gridSpan w:val="4"/>
                  <w:tcMar>
                    <w:top w:w="0" w:type="dxa"/>
                    <w:left w:w="28" w:type="dxa"/>
                    <w:bottom w:w="0" w:type="dxa"/>
                    <w:right w:w="28" w:type="dxa"/>
                  </w:tcMar>
                  <w:vAlign w:val="center"/>
                </w:tcPr>
                <w:p w14:paraId="64F56168">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治理措施</w:t>
                  </w:r>
                </w:p>
              </w:tc>
              <w:tc>
                <w:tcPr>
                  <w:tcW w:w="1068" w:type="pct"/>
                  <w:gridSpan w:val="3"/>
                  <w:tcMar>
                    <w:top w:w="0" w:type="dxa"/>
                    <w:left w:w="28" w:type="dxa"/>
                    <w:bottom w:w="0" w:type="dxa"/>
                    <w:right w:w="28" w:type="dxa"/>
                  </w:tcMar>
                  <w:vAlign w:val="center"/>
                </w:tcPr>
                <w:p w14:paraId="34A6BB75">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排放情况</w:t>
                  </w:r>
                </w:p>
              </w:tc>
              <w:tc>
                <w:tcPr>
                  <w:tcW w:w="263" w:type="pct"/>
                  <w:vMerge w:val="restart"/>
                  <w:tcMar>
                    <w:top w:w="0" w:type="dxa"/>
                    <w:left w:w="28" w:type="dxa"/>
                    <w:bottom w:w="0" w:type="dxa"/>
                    <w:right w:w="28" w:type="dxa"/>
                  </w:tcMar>
                  <w:vAlign w:val="center"/>
                </w:tcPr>
                <w:p w14:paraId="7B7247D3">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6A3A5F10">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方式</w:t>
                  </w:r>
                </w:p>
              </w:tc>
            </w:tr>
            <w:tr w14:paraId="51055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continue"/>
                  <w:tcMar>
                    <w:top w:w="0" w:type="dxa"/>
                    <w:left w:w="28" w:type="dxa"/>
                    <w:bottom w:w="0" w:type="dxa"/>
                    <w:right w:w="28" w:type="dxa"/>
                  </w:tcMar>
                  <w:vAlign w:val="center"/>
                </w:tcPr>
                <w:p w14:paraId="17A4A871">
                  <w:pPr>
                    <w:ind w:left="-105" w:leftChars="-50" w:right="-105" w:rightChars="-50"/>
                    <w:jc w:val="center"/>
                    <w:rPr>
                      <w:color w:val="7030A0"/>
                      <w:szCs w:val="21"/>
                    </w:rPr>
                  </w:pPr>
                </w:p>
              </w:tc>
              <w:tc>
                <w:tcPr>
                  <w:tcW w:w="270" w:type="pct"/>
                  <w:vMerge w:val="continue"/>
                  <w:tcMar>
                    <w:top w:w="0" w:type="dxa"/>
                    <w:left w:w="28" w:type="dxa"/>
                    <w:bottom w:w="0" w:type="dxa"/>
                    <w:right w:w="28" w:type="dxa"/>
                  </w:tcMar>
                  <w:vAlign w:val="center"/>
                </w:tcPr>
                <w:p w14:paraId="22DEB192">
                  <w:pPr>
                    <w:ind w:left="-105" w:leftChars="-50" w:right="-105" w:rightChars="-50"/>
                    <w:jc w:val="center"/>
                    <w:rPr>
                      <w:color w:val="7030A0"/>
                      <w:szCs w:val="21"/>
                    </w:rPr>
                  </w:pPr>
                </w:p>
              </w:tc>
              <w:tc>
                <w:tcPr>
                  <w:tcW w:w="350" w:type="pct"/>
                  <w:vMerge w:val="continue"/>
                  <w:tcMar>
                    <w:top w:w="0" w:type="dxa"/>
                    <w:left w:w="28" w:type="dxa"/>
                    <w:bottom w:w="0" w:type="dxa"/>
                    <w:right w:w="28" w:type="dxa"/>
                  </w:tcMar>
                  <w:vAlign w:val="center"/>
                </w:tcPr>
                <w:p w14:paraId="544F028F">
                  <w:pPr>
                    <w:ind w:left="-105" w:leftChars="-50" w:right="-105" w:rightChars="-50"/>
                    <w:jc w:val="center"/>
                    <w:rPr>
                      <w:color w:val="7030A0"/>
                      <w:szCs w:val="21"/>
                    </w:rPr>
                  </w:pPr>
                </w:p>
              </w:tc>
              <w:tc>
                <w:tcPr>
                  <w:tcW w:w="324" w:type="pct"/>
                  <w:vMerge w:val="continue"/>
                  <w:tcMar>
                    <w:top w:w="0" w:type="dxa"/>
                    <w:left w:w="28" w:type="dxa"/>
                    <w:bottom w:w="0" w:type="dxa"/>
                    <w:right w:w="28" w:type="dxa"/>
                  </w:tcMar>
                  <w:vAlign w:val="center"/>
                </w:tcPr>
                <w:p w14:paraId="7621FD97">
                  <w:pPr>
                    <w:ind w:left="-105" w:leftChars="-50" w:right="-105" w:rightChars="-50"/>
                    <w:jc w:val="center"/>
                    <w:rPr>
                      <w:b/>
                      <w:bCs/>
                      <w:color w:val="000000" w:themeColor="text1"/>
                      <w:szCs w:val="21"/>
                      <w14:textFill>
                        <w14:solidFill>
                          <w14:schemeClr w14:val="tx1"/>
                        </w14:solidFill>
                      </w14:textFill>
                    </w:rPr>
                  </w:pPr>
                </w:p>
              </w:tc>
              <w:tc>
                <w:tcPr>
                  <w:tcW w:w="407" w:type="pct"/>
                  <w:tcMar>
                    <w:top w:w="0" w:type="dxa"/>
                    <w:left w:w="28" w:type="dxa"/>
                    <w:bottom w:w="0" w:type="dxa"/>
                    <w:right w:w="28" w:type="dxa"/>
                  </w:tcMar>
                  <w:vAlign w:val="center"/>
                </w:tcPr>
                <w:p w14:paraId="110A7B4D">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产生量</w:t>
                  </w:r>
                </w:p>
                <w:p w14:paraId="5A28ECBF">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t/a</w:t>
                  </w:r>
                </w:p>
              </w:tc>
              <w:tc>
                <w:tcPr>
                  <w:tcW w:w="438" w:type="pct"/>
                  <w:tcMar>
                    <w:top w:w="0" w:type="dxa"/>
                    <w:left w:w="28" w:type="dxa"/>
                    <w:bottom w:w="0" w:type="dxa"/>
                    <w:right w:w="28" w:type="dxa"/>
                  </w:tcMar>
                  <w:vAlign w:val="center"/>
                </w:tcPr>
                <w:p w14:paraId="6F0F48EE">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w:t>
                  </w:r>
                </w:p>
                <w:p w14:paraId="386DC1BB">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速率</w:t>
                  </w:r>
                </w:p>
                <w:p w14:paraId="65ADF2BB">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kg/h</w:t>
                  </w:r>
                </w:p>
              </w:tc>
              <w:tc>
                <w:tcPr>
                  <w:tcW w:w="365" w:type="pct"/>
                  <w:tcMar>
                    <w:top w:w="0" w:type="dxa"/>
                    <w:left w:w="28" w:type="dxa"/>
                    <w:bottom w:w="0" w:type="dxa"/>
                    <w:right w:w="28" w:type="dxa"/>
                  </w:tcMar>
                  <w:vAlign w:val="center"/>
                </w:tcPr>
                <w:p w14:paraId="5D45DAEE">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w:t>
                  </w:r>
                </w:p>
                <w:p w14:paraId="5BECC4FC">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w:t>
                  </w:r>
                </w:p>
                <w:p w14:paraId="254DE04C">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p>
              </w:tc>
              <w:tc>
                <w:tcPr>
                  <w:tcW w:w="350" w:type="pct"/>
                  <w:tcMar>
                    <w:top w:w="0" w:type="dxa"/>
                    <w:left w:w="28" w:type="dxa"/>
                    <w:bottom w:w="0" w:type="dxa"/>
                    <w:right w:w="28" w:type="dxa"/>
                  </w:tcMar>
                  <w:vAlign w:val="center"/>
                </w:tcPr>
                <w:p w14:paraId="37A29AE7">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工艺</w:t>
                  </w:r>
                </w:p>
              </w:tc>
              <w:tc>
                <w:tcPr>
                  <w:tcW w:w="228" w:type="pct"/>
                  <w:tcMar>
                    <w:top w:w="0" w:type="dxa"/>
                    <w:left w:w="28" w:type="dxa"/>
                    <w:bottom w:w="0" w:type="dxa"/>
                    <w:right w:w="28" w:type="dxa"/>
                  </w:tcMar>
                  <w:vAlign w:val="center"/>
                </w:tcPr>
                <w:p w14:paraId="741D5AD8">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收集</w:t>
                  </w:r>
                </w:p>
                <w:p w14:paraId="253302E3">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效率</w:t>
                  </w:r>
                </w:p>
                <w:p w14:paraId="31028007">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w:t>
                  </w:r>
                </w:p>
              </w:tc>
              <w:tc>
                <w:tcPr>
                  <w:tcW w:w="266" w:type="pct"/>
                  <w:tcMar>
                    <w:top w:w="0" w:type="dxa"/>
                    <w:left w:w="28" w:type="dxa"/>
                    <w:bottom w:w="0" w:type="dxa"/>
                    <w:right w:w="28" w:type="dxa"/>
                  </w:tcMar>
                  <w:vAlign w:val="center"/>
                </w:tcPr>
                <w:p w14:paraId="47F663E9">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去除效率%</w:t>
                  </w:r>
                </w:p>
              </w:tc>
              <w:tc>
                <w:tcPr>
                  <w:tcW w:w="291" w:type="pct"/>
                  <w:tcMar>
                    <w:top w:w="0" w:type="dxa"/>
                    <w:left w:w="28" w:type="dxa"/>
                    <w:bottom w:w="0" w:type="dxa"/>
                    <w:right w:w="28" w:type="dxa"/>
                  </w:tcMar>
                  <w:vAlign w:val="center"/>
                </w:tcPr>
                <w:p w14:paraId="5263B38A">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是否</w:t>
                  </w:r>
                </w:p>
                <w:p w14:paraId="55EBA36D">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为可</w:t>
                  </w:r>
                </w:p>
                <w:p w14:paraId="4BE974D3">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行技</w:t>
                  </w:r>
                </w:p>
                <w:p w14:paraId="56338F87">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术</w:t>
                  </w:r>
                </w:p>
              </w:tc>
              <w:tc>
                <w:tcPr>
                  <w:tcW w:w="351" w:type="pct"/>
                  <w:tcMar>
                    <w:top w:w="0" w:type="dxa"/>
                    <w:left w:w="28" w:type="dxa"/>
                    <w:bottom w:w="0" w:type="dxa"/>
                    <w:right w:w="28" w:type="dxa"/>
                  </w:tcMar>
                  <w:vAlign w:val="center"/>
                </w:tcPr>
                <w:p w14:paraId="131615D2">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514FE2B8">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量</w:t>
                  </w:r>
                </w:p>
                <w:p w14:paraId="00B986FD">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t/a</w:t>
                  </w:r>
                </w:p>
              </w:tc>
              <w:tc>
                <w:tcPr>
                  <w:tcW w:w="385" w:type="pct"/>
                  <w:tcMar>
                    <w:top w:w="0" w:type="dxa"/>
                    <w:left w:w="28" w:type="dxa"/>
                    <w:bottom w:w="0" w:type="dxa"/>
                    <w:right w:w="28" w:type="dxa"/>
                  </w:tcMar>
                  <w:vAlign w:val="center"/>
                </w:tcPr>
                <w:p w14:paraId="687C38BA">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009926D8">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速率</w:t>
                  </w:r>
                </w:p>
                <w:p w14:paraId="0E73E14C">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kg/h</w:t>
                  </w:r>
                </w:p>
              </w:tc>
              <w:tc>
                <w:tcPr>
                  <w:tcW w:w="332" w:type="pct"/>
                  <w:tcMar>
                    <w:top w:w="0" w:type="dxa"/>
                    <w:left w:w="28" w:type="dxa"/>
                    <w:bottom w:w="0" w:type="dxa"/>
                    <w:right w:w="28" w:type="dxa"/>
                  </w:tcMar>
                  <w:vAlign w:val="center"/>
                </w:tcPr>
                <w:p w14:paraId="0E96D643">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4BA6896A">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w:t>
                  </w:r>
                </w:p>
                <w:p w14:paraId="4EF28B20">
                  <w:pPr>
                    <w:ind w:left="-105" w:leftChars="-50" w:right="-105" w:rightChars="-50"/>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p>
              </w:tc>
              <w:tc>
                <w:tcPr>
                  <w:tcW w:w="263" w:type="pct"/>
                  <w:vMerge w:val="continue"/>
                  <w:tcMar>
                    <w:top w:w="0" w:type="dxa"/>
                    <w:left w:w="28" w:type="dxa"/>
                    <w:bottom w:w="0" w:type="dxa"/>
                    <w:right w:w="28" w:type="dxa"/>
                  </w:tcMar>
                  <w:vAlign w:val="center"/>
                </w:tcPr>
                <w:p w14:paraId="49D02417">
                  <w:pPr>
                    <w:ind w:left="-105" w:leftChars="-50" w:right="-105" w:rightChars="-50"/>
                    <w:jc w:val="center"/>
                    <w:rPr>
                      <w:color w:val="000000" w:themeColor="text1"/>
                      <w:szCs w:val="21"/>
                      <w14:textFill>
                        <w14:solidFill>
                          <w14:schemeClr w14:val="tx1"/>
                        </w14:solidFill>
                      </w14:textFill>
                    </w:rPr>
                  </w:pPr>
                </w:p>
              </w:tc>
            </w:tr>
            <w:tr w14:paraId="41FCC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restart"/>
                  <w:tcMar>
                    <w:top w:w="0" w:type="dxa"/>
                    <w:left w:w="28" w:type="dxa"/>
                    <w:bottom w:w="0" w:type="dxa"/>
                    <w:right w:w="28" w:type="dxa"/>
                  </w:tcMar>
                  <w:vAlign w:val="center"/>
                </w:tcPr>
                <w:p w14:paraId="5595F7D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排放</w:t>
                  </w:r>
                </w:p>
                <w:p w14:paraId="755258E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口</w:t>
                  </w:r>
                </w:p>
              </w:tc>
              <w:tc>
                <w:tcPr>
                  <w:tcW w:w="270" w:type="pct"/>
                  <w:vMerge w:val="restart"/>
                  <w:tcMar>
                    <w:top w:w="0" w:type="dxa"/>
                    <w:left w:w="28" w:type="dxa"/>
                    <w:bottom w:w="0" w:type="dxa"/>
                    <w:right w:w="28" w:type="dxa"/>
                  </w:tcMar>
                  <w:vAlign w:val="center"/>
                </w:tcPr>
                <w:p w14:paraId="7329C001">
                  <w:pPr>
                    <w:ind w:left="-105" w:leftChars="-50" w:right="-105" w:rightChars="-50"/>
                    <w:jc w:val="center"/>
                    <w:rPr>
                      <w:color w:val="7030A0"/>
                      <w:szCs w:val="21"/>
                    </w:rPr>
                  </w:pPr>
                  <w:r>
                    <w:rPr>
                      <w:rFonts w:hint="eastAsia"/>
                      <w:color w:val="000000" w:themeColor="text1"/>
                      <w:szCs w:val="21"/>
                      <w14:textFill>
                        <w14:solidFill>
                          <w14:schemeClr w14:val="tx1"/>
                        </w14:solidFill>
                      </w14:textFill>
                    </w:rPr>
                    <w:t>开料、雕刻、打磨、切割、焊接</w:t>
                  </w:r>
                </w:p>
              </w:tc>
              <w:tc>
                <w:tcPr>
                  <w:tcW w:w="350" w:type="pct"/>
                  <w:tcMar>
                    <w:top w:w="0" w:type="dxa"/>
                    <w:left w:w="0" w:type="dxa"/>
                    <w:bottom w:w="0" w:type="dxa"/>
                    <w:right w:w="0" w:type="dxa"/>
                  </w:tcMar>
                  <w:vAlign w:val="center"/>
                </w:tcPr>
                <w:p w14:paraId="23B7CCCB">
                  <w:pPr>
                    <w:ind w:left="-105" w:leftChars="-50" w:right="-105" w:rightChars="-50"/>
                    <w:jc w:val="center"/>
                    <w:rPr>
                      <w:color w:val="7030A0"/>
                      <w:szCs w:val="21"/>
                    </w:rPr>
                  </w:pPr>
                  <w:r>
                    <w:rPr>
                      <w:rFonts w:hint="eastAsia"/>
                      <w:color w:val="000000" w:themeColor="text1"/>
                      <w:szCs w:val="21"/>
                      <w14:textFill>
                        <w14:solidFill>
                          <w14:schemeClr w14:val="tx1"/>
                        </w14:solidFill>
                      </w14:textFill>
                    </w:rPr>
                    <w:t>颗粒物</w:t>
                  </w:r>
                </w:p>
              </w:tc>
              <w:tc>
                <w:tcPr>
                  <w:tcW w:w="324" w:type="pct"/>
                  <w:vMerge w:val="restart"/>
                  <w:tcMar>
                    <w:top w:w="0" w:type="dxa"/>
                    <w:left w:w="28" w:type="dxa"/>
                    <w:bottom w:w="0" w:type="dxa"/>
                    <w:right w:w="28" w:type="dxa"/>
                  </w:tcMar>
                  <w:vAlign w:val="center"/>
                </w:tcPr>
                <w:p w14:paraId="5D3846E9">
                  <w:pPr>
                    <w:ind w:left="-105" w:leftChars="-50" w:right="-105" w:rightChars="-50"/>
                    <w:jc w:val="center"/>
                    <w:rPr>
                      <w:color w:val="7030A0"/>
                      <w:szCs w:val="21"/>
                    </w:rPr>
                  </w:pPr>
                  <w:r>
                    <w:rPr>
                      <w:rFonts w:hint="eastAsia"/>
                      <w:color w:val="000000" w:themeColor="text1"/>
                      <w:szCs w:val="21"/>
                      <w14:textFill>
                        <w14:solidFill>
                          <w14:schemeClr w14:val="tx1"/>
                        </w14:solidFill>
                      </w14:textFill>
                    </w:rPr>
                    <w:t>7000</w:t>
                  </w:r>
                </w:p>
              </w:tc>
              <w:tc>
                <w:tcPr>
                  <w:tcW w:w="407" w:type="pct"/>
                  <w:tcMar>
                    <w:top w:w="0" w:type="dxa"/>
                    <w:left w:w="28" w:type="dxa"/>
                    <w:bottom w:w="0" w:type="dxa"/>
                    <w:right w:w="28" w:type="dxa"/>
                  </w:tcMar>
                  <w:vAlign w:val="center"/>
                </w:tcPr>
                <w:p w14:paraId="53053734">
                  <w:pPr>
                    <w:widowControl/>
                    <w:ind w:left="-105" w:leftChars="-50" w:right="-105" w:rightChars="-50"/>
                    <w:jc w:val="center"/>
                    <w:textAlignment w:val="center"/>
                    <w:rPr>
                      <w:color w:val="7030A0"/>
                      <w:kern w:val="0"/>
                      <w:szCs w:val="21"/>
                    </w:rPr>
                  </w:pPr>
                  <w:r>
                    <w:rPr>
                      <w:rFonts w:hint="eastAsia"/>
                      <w:color w:val="000000" w:themeColor="text1"/>
                      <w:kern w:val="0"/>
                      <w:szCs w:val="21"/>
                      <w14:textFill>
                        <w14:solidFill>
                          <w14:schemeClr w14:val="tx1"/>
                        </w14:solidFill>
                      </w14:textFill>
                    </w:rPr>
                    <w:t>2.270</w:t>
                  </w:r>
                </w:p>
              </w:tc>
              <w:tc>
                <w:tcPr>
                  <w:tcW w:w="438" w:type="pct"/>
                  <w:tcMar>
                    <w:top w:w="0" w:type="dxa"/>
                    <w:left w:w="28" w:type="dxa"/>
                    <w:bottom w:w="0" w:type="dxa"/>
                    <w:right w:w="28" w:type="dxa"/>
                  </w:tcMar>
                  <w:vAlign w:val="center"/>
                </w:tcPr>
                <w:p w14:paraId="0A23A893">
                  <w:pPr>
                    <w:widowControl/>
                    <w:ind w:left="-105" w:leftChars="-50" w:right="-105" w:rightChars="-50"/>
                    <w:jc w:val="center"/>
                    <w:textAlignment w:val="center"/>
                    <w:rPr>
                      <w:color w:val="7030A0"/>
                      <w:kern w:val="0"/>
                      <w:szCs w:val="21"/>
                    </w:rPr>
                  </w:pPr>
                  <w:r>
                    <w:rPr>
                      <w:rFonts w:hint="eastAsia"/>
                      <w:color w:val="000000" w:themeColor="text1"/>
                      <w:kern w:val="0"/>
                      <w:szCs w:val="21"/>
                      <w14:textFill>
                        <w14:solidFill>
                          <w14:schemeClr w14:val="tx1"/>
                        </w14:solidFill>
                      </w14:textFill>
                    </w:rPr>
                    <w:t>0.946</w:t>
                  </w:r>
                </w:p>
              </w:tc>
              <w:tc>
                <w:tcPr>
                  <w:tcW w:w="365" w:type="pct"/>
                  <w:tcMar>
                    <w:top w:w="0" w:type="dxa"/>
                    <w:left w:w="57" w:type="dxa"/>
                    <w:bottom w:w="0" w:type="dxa"/>
                    <w:right w:w="57" w:type="dxa"/>
                  </w:tcMar>
                  <w:vAlign w:val="center"/>
                </w:tcPr>
                <w:p w14:paraId="1506CB5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135.09</w:t>
                  </w:r>
                </w:p>
              </w:tc>
              <w:tc>
                <w:tcPr>
                  <w:tcW w:w="350" w:type="pct"/>
                  <w:vMerge w:val="restart"/>
                  <w:tcMar>
                    <w:top w:w="0" w:type="dxa"/>
                    <w:left w:w="28" w:type="dxa"/>
                    <w:bottom w:w="0" w:type="dxa"/>
                    <w:right w:w="28" w:type="dxa"/>
                  </w:tcMar>
                  <w:vAlign w:val="center"/>
                </w:tcPr>
                <w:p w14:paraId="40B3D4CC">
                  <w:pPr>
                    <w:pStyle w:val="22"/>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布袋</w:t>
                  </w:r>
                </w:p>
                <w:p w14:paraId="4DF76A2E">
                  <w:pPr>
                    <w:pStyle w:val="22"/>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除尘</w:t>
                  </w:r>
                </w:p>
                <w:p w14:paraId="27B138E9">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器</w:t>
                  </w:r>
                </w:p>
              </w:tc>
              <w:tc>
                <w:tcPr>
                  <w:tcW w:w="228" w:type="pct"/>
                  <w:tcMar>
                    <w:top w:w="0" w:type="dxa"/>
                    <w:left w:w="28" w:type="dxa"/>
                    <w:bottom w:w="0" w:type="dxa"/>
                    <w:right w:w="28" w:type="dxa"/>
                  </w:tcMar>
                  <w:vAlign w:val="center"/>
                </w:tcPr>
                <w:p w14:paraId="54E10016">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r>
                    <w:rPr>
                      <w:color w:val="000000" w:themeColor="text1"/>
                      <w:kern w:val="0"/>
                      <w:szCs w:val="21"/>
                      <w14:textFill>
                        <w14:solidFill>
                          <w14:schemeClr w14:val="tx1"/>
                        </w14:solidFill>
                      </w14:textFill>
                    </w:rPr>
                    <w:t>0</w:t>
                  </w:r>
                </w:p>
              </w:tc>
              <w:tc>
                <w:tcPr>
                  <w:tcW w:w="266" w:type="pct"/>
                  <w:tcMar>
                    <w:top w:w="0" w:type="dxa"/>
                    <w:left w:w="28" w:type="dxa"/>
                    <w:bottom w:w="0" w:type="dxa"/>
                    <w:right w:w="28" w:type="dxa"/>
                  </w:tcMar>
                  <w:vAlign w:val="center"/>
                </w:tcPr>
                <w:p w14:paraId="56CD23BB">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w:t>
                  </w:r>
                </w:p>
              </w:tc>
              <w:tc>
                <w:tcPr>
                  <w:tcW w:w="291" w:type="pct"/>
                  <w:tcMar>
                    <w:top w:w="0" w:type="dxa"/>
                    <w:left w:w="28" w:type="dxa"/>
                    <w:bottom w:w="0" w:type="dxa"/>
                    <w:right w:w="28" w:type="dxa"/>
                  </w:tcMar>
                  <w:vAlign w:val="center"/>
                </w:tcPr>
                <w:p w14:paraId="16E0B1AD">
                  <w:pPr>
                    <w:ind w:left="-105" w:leftChars="-50" w:right="-105" w:rightChars="-50"/>
                    <w:jc w:val="center"/>
                    <w:rPr>
                      <w:color w:val="7030A0"/>
                      <w:szCs w:val="21"/>
                    </w:rPr>
                  </w:pPr>
                  <w:r>
                    <w:rPr>
                      <w:rFonts w:hint="eastAsia"/>
                      <w:color w:val="000000" w:themeColor="text1"/>
                      <w:szCs w:val="21"/>
                      <w14:textFill>
                        <w14:solidFill>
                          <w14:schemeClr w14:val="tx1"/>
                        </w14:solidFill>
                      </w14:textFill>
                    </w:rPr>
                    <w:t>是</w:t>
                  </w:r>
                </w:p>
              </w:tc>
              <w:tc>
                <w:tcPr>
                  <w:tcW w:w="351" w:type="pct"/>
                  <w:tcMar>
                    <w:top w:w="0" w:type="dxa"/>
                    <w:left w:w="28" w:type="dxa"/>
                    <w:bottom w:w="0" w:type="dxa"/>
                    <w:right w:w="28" w:type="dxa"/>
                  </w:tcMar>
                  <w:vAlign w:val="center"/>
                </w:tcPr>
                <w:p w14:paraId="450CED2C">
                  <w:pPr>
                    <w:widowControl/>
                    <w:ind w:left="-105" w:leftChars="-50" w:right="-105" w:rightChars="-50"/>
                    <w:jc w:val="center"/>
                    <w:textAlignment w:val="center"/>
                    <w:rPr>
                      <w:color w:val="7030A0"/>
                      <w:kern w:val="0"/>
                      <w:szCs w:val="21"/>
                    </w:rPr>
                  </w:pPr>
                  <w:r>
                    <w:rPr>
                      <w:rFonts w:hint="eastAsia"/>
                      <w:color w:val="000000" w:themeColor="text1"/>
                      <w:kern w:val="0"/>
                      <w:szCs w:val="21"/>
                      <w14:textFill>
                        <w14:solidFill>
                          <w14:schemeClr w14:val="tx1"/>
                        </w14:solidFill>
                      </w14:textFill>
                    </w:rPr>
                    <w:t>0.227</w:t>
                  </w:r>
                </w:p>
              </w:tc>
              <w:tc>
                <w:tcPr>
                  <w:tcW w:w="385" w:type="pct"/>
                  <w:tcMar>
                    <w:top w:w="0" w:type="dxa"/>
                    <w:left w:w="28" w:type="dxa"/>
                    <w:bottom w:w="0" w:type="dxa"/>
                    <w:right w:w="28" w:type="dxa"/>
                  </w:tcMar>
                  <w:vAlign w:val="center"/>
                </w:tcPr>
                <w:p w14:paraId="1BF39B16">
                  <w:pPr>
                    <w:widowControl/>
                    <w:ind w:left="-105" w:leftChars="-50" w:right="-105" w:rightChars="-50"/>
                    <w:jc w:val="center"/>
                    <w:textAlignment w:val="center"/>
                    <w:rPr>
                      <w:color w:val="7030A0"/>
                      <w:kern w:val="0"/>
                      <w:szCs w:val="21"/>
                    </w:rPr>
                  </w:pPr>
                  <w:r>
                    <w:rPr>
                      <w:rFonts w:hint="eastAsia"/>
                      <w:color w:val="000000" w:themeColor="text1"/>
                      <w:kern w:val="0"/>
                      <w:szCs w:val="21"/>
                      <w14:textFill>
                        <w14:solidFill>
                          <w14:schemeClr w14:val="tx1"/>
                        </w14:solidFill>
                      </w14:textFill>
                    </w:rPr>
                    <w:t>0.095</w:t>
                  </w:r>
                </w:p>
              </w:tc>
              <w:tc>
                <w:tcPr>
                  <w:tcW w:w="332" w:type="pct"/>
                  <w:tcMar>
                    <w:top w:w="0" w:type="dxa"/>
                    <w:left w:w="28" w:type="dxa"/>
                    <w:bottom w:w="0" w:type="dxa"/>
                    <w:right w:w="28" w:type="dxa"/>
                  </w:tcMar>
                  <w:vAlign w:val="center"/>
                </w:tcPr>
                <w:p w14:paraId="6B915642">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13.51</w:t>
                  </w:r>
                </w:p>
              </w:tc>
              <w:tc>
                <w:tcPr>
                  <w:tcW w:w="263" w:type="pct"/>
                  <w:tcMar>
                    <w:top w:w="0" w:type="dxa"/>
                    <w:left w:w="28" w:type="dxa"/>
                    <w:bottom w:w="0" w:type="dxa"/>
                    <w:right w:w="28" w:type="dxa"/>
                  </w:tcMar>
                  <w:vAlign w:val="center"/>
                </w:tcPr>
                <w:p w14:paraId="41A715D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14:paraId="5E43A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continue"/>
                  <w:tcMar>
                    <w:top w:w="0" w:type="dxa"/>
                    <w:left w:w="28" w:type="dxa"/>
                    <w:bottom w:w="0" w:type="dxa"/>
                    <w:right w:w="28" w:type="dxa"/>
                  </w:tcMar>
                  <w:vAlign w:val="center"/>
                </w:tcPr>
                <w:p w14:paraId="3B3071B1">
                  <w:pPr>
                    <w:ind w:left="-105" w:leftChars="-50" w:right="-105" w:rightChars="-50"/>
                    <w:jc w:val="center"/>
                    <w:rPr>
                      <w:color w:val="000000" w:themeColor="text1"/>
                      <w:szCs w:val="21"/>
                      <w14:textFill>
                        <w14:solidFill>
                          <w14:schemeClr w14:val="tx1"/>
                        </w14:solidFill>
                      </w14:textFill>
                    </w:rPr>
                  </w:pPr>
                </w:p>
              </w:tc>
              <w:tc>
                <w:tcPr>
                  <w:tcW w:w="270" w:type="pct"/>
                  <w:vMerge w:val="continue"/>
                  <w:tcMar>
                    <w:top w:w="0" w:type="dxa"/>
                    <w:left w:w="28" w:type="dxa"/>
                    <w:bottom w:w="0" w:type="dxa"/>
                    <w:right w:w="28" w:type="dxa"/>
                  </w:tcMar>
                  <w:vAlign w:val="center"/>
                </w:tcPr>
                <w:p w14:paraId="4C865F94">
                  <w:pPr>
                    <w:ind w:left="-105" w:leftChars="-50" w:right="-105" w:rightChars="-50"/>
                    <w:jc w:val="center"/>
                    <w:rPr>
                      <w:color w:val="000000" w:themeColor="text1"/>
                      <w:szCs w:val="21"/>
                      <w14:textFill>
                        <w14:solidFill>
                          <w14:schemeClr w14:val="tx1"/>
                        </w14:solidFill>
                      </w14:textFill>
                    </w:rPr>
                  </w:pPr>
                </w:p>
              </w:tc>
              <w:tc>
                <w:tcPr>
                  <w:tcW w:w="350" w:type="pct"/>
                  <w:tcMar>
                    <w:top w:w="0" w:type="dxa"/>
                    <w:left w:w="0" w:type="dxa"/>
                    <w:bottom w:w="0" w:type="dxa"/>
                    <w:right w:w="0" w:type="dxa"/>
                  </w:tcMar>
                  <w:vAlign w:val="center"/>
                </w:tcPr>
                <w:p w14:paraId="5A0D8728">
                  <w:pPr>
                    <w:ind w:left="-105" w:leftChars="-50" w:right="-105" w:rightChars="-50"/>
                    <w:jc w:val="center"/>
                    <w:rPr>
                      <w:color w:val="0070C0"/>
                      <w:szCs w:val="21"/>
                    </w:rPr>
                  </w:pPr>
                  <w:r>
                    <w:rPr>
                      <w:rFonts w:hint="eastAsia"/>
                      <w:color w:val="000000" w:themeColor="text1"/>
                      <w:szCs w:val="21"/>
                      <w14:textFill>
                        <w14:solidFill>
                          <w14:schemeClr w14:val="tx1"/>
                        </w14:solidFill>
                      </w14:textFill>
                    </w:rPr>
                    <w:t>锰及其化合物</w:t>
                  </w:r>
                </w:p>
              </w:tc>
              <w:tc>
                <w:tcPr>
                  <w:tcW w:w="324" w:type="pct"/>
                  <w:vMerge w:val="continue"/>
                  <w:tcMar>
                    <w:top w:w="0" w:type="dxa"/>
                    <w:left w:w="28" w:type="dxa"/>
                    <w:bottom w:w="0" w:type="dxa"/>
                    <w:right w:w="28" w:type="dxa"/>
                  </w:tcMar>
                  <w:vAlign w:val="center"/>
                </w:tcPr>
                <w:p w14:paraId="5406F3EE">
                  <w:pPr>
                    <w:ind w:left="-105" w:leftChars="-50" w:right="-105" w:rightChars="-50"/>
                    <w:jc w:val="center"/>
                    <w:rPr>
                      <w:color w:val="0070C0"/>
                      <w:szCs w:val="21"/>
                    </w:rPr>
                  </w:pPr>
                </w:p>
              </w:tc>
              <w:tc>
                <w:tcPr>
                  <w:tcW w:w="407" w:type="pct"/>
                  <w:tcMar>
                    <w:top w:w="0" w:type="dxa"/>
                    <w:left w:w="28" w:type="dxa"/>
                    <w:bottom w:w="0" w:type="dxa"/>
                    <w:right w:w="28" w:type="dxa"/>
                  </w:tcMar>
                  <w:vAlign w:val="center"/>
                </w:tcPr>
                <w:p w14:paraId="6F450A3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4.06</w:t>
                  </w:r>
                </w:p>
                <w:p w14:paraId="29C8C89B">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-6</w:t>
                  </w:r>
                </w:p>
              </w:tc>
              <w:tc>
                <w:tcPr>
                  <w:tcW w:w="438" w:type="pct"/>
                  <w:tcMar>
                    <w:top w:w="0" w:type="dxa"/>
                    <w:left w:w="28" w:type="dxa"/>
                    <w:bottom w:w="0" w:type="dxa"/>
                    <w:right w:w="28" w:type="dxa"/>
                  </w:tcMar>
                  <w:vAlign w:val="center"/>
                </w:tcPr>
                <w:p w14:paraId="62B70C87">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1.35</w:t>
                  </w:r>
                </w:p>
                <w:p w14:paraId="16C49F4E">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-5</w:t>
                  </w:r>
                </w:p>
              </w:tc>
              <w:tc>
                <w:tcPr>
                  <w:tcW w:w="365" w:type="pct"/>
                  <w:tcMar>
                    <w:top w:w="0" w:type="dxa"/>
                    <w:left w:w="57" w:type="dxa"/>
                    <w:bottom w:w="0" w:type="dxa"/>
                    <w:right w:w="57" w:type="dxa"/>
                  </w:tcMar>
                  <w:vAlign w:val="bottom"/>
                </w:tcPr>
                <w:p w14:paraId="1C4C06AC">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1.93</w:t>
                  </w:r>
                </w:p>
                <w:p w14:paraId="10202145">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-3</w:t>
                  </w:r>
                </w:p>
              </w:tc>
              <w:tc>
                <w:tcPr>
                  <w:tcW w:w="350" w:type="pct"/>
                  <w:vMerge w:val="continue"/>
                  <w:tcMar>
                    <w:top w:w="0" w:type="dxa"/>
                    <w:left w:w="28" w:type="dxa"/>
                    <w:bottom w:w="0" w:type="dxa"/>
                    <w:right w:w="28" w:type="dxa"/>
                  </w:tcMar>
                  <w:vAlign w:val="center"/>
                </w:tcPr>
                <w:p w14:paraId="3BA914CE">
                  <w:pPr>
                    <w:pStyle w:val="22"/>
                    <w:ind w:left="-105" w:leftChars="-50" w:right="-105" w:rightChars="-50"/>
                    <w:jc w:val="center"/>
                    <w:rPr>
                      <w:color w:val="0070C0"/>
                      <w:szCs w:val="21"/>
                    </w:rPr>
                  </w:pPr>
                </w:p>
              </w:tc>
              <w:tc>
                <w:tcPr>
                  <w:tcW w:w="228" w:type="pct"/>
                  <w:tcMar>
                    <w:top w:w="0" w:type="dxa"/>
                    <w:left w:w="28" w:type="dxa"/>
                    <w:bottom w:w="0" w:type="dxa"/>
                    <w:right w:w="28" w:type="dxa"/>
                  </w:tcMar>
                  <w:vAlign w:val="center"/>
                </w:tcPr>
                <w:p w14:paraId="608FFA47">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5</w:t>
                  </w:r>
                  <w:r>
                    <w:rPr>
                      <w:color w:val="000000" w:themeColor="text1"/>
                      <w:kern w:val="0"/>
                      <w:szCs w:val="21"/>
                      <w14:textFill>
                        <w14:solidFill>
                          <w14:schemeClr w14:val="tx1"/>
                        </w14:solidFill>
                      </w14:textFill>
                    </w:rPr>
                    <w:t>0</w:t>
                  </w:r>
                </w:p>
              </w:tc>
              <w:tc>
                <w:tcPr>
                  <w:tcW w:w="266" w:type="pct"/>
                  <w:tcMar>
                    <w:top w:w="0" w:type="dxa"/>
                    <w:left w:w="28" w:type="dxa"/>
                    <w:bottom w:w="0" w:type="dxa"/>
                    <w:right w:w="28" w:type="dxa"/>
                  </w:tcMar>
                  <w:vAlign w:val="center"/>
                </w:tcPr>
                <w:p w14:paraId="0E814EA9">
                  <w:pPr>
                    <w:widowControl/>
                    <w:ind w:left="-105" w:leftChars="-50" w:right="-105" w:rightChars="-50"/>
                    <w:jc w:val="center"/>
                    <w:textAlignment w:val="center"/>
                    <w:rPr>
                      <w:color w:val="0070C0"/>
                      <w:kern w:val="0"/>
                      <w:szCs w:val="21"/>
                    </w:rPr>
                  </w:pPr>
                  <w:r>
                    <w:rPr>
                      <w:color w:val="000000" w:themeColor="text1"/>
                      <w:kern w:val="0"/>
                      <w:szCs w:val="21"/>
                      <w14:textFill>
                        <w14:solidFill>
                          <w14:schemeClr w14:val="tx1"/>
                        </w14:solidFill>
                      </w14:textFill>
                    </w:rPr>
                    <w:t>90</w:t>
                  </w:r>
                </w:p>
              </w:tc>
              <w:tc>
                <w:tcPr>
                  <w:tcW w:w="291" w:type="pct"/>
                  <w:tcMar>
                    <w:top w:w="0" w:type="dxa"/>
                    <w:left w:w="28" w:type="dxa"/>
                    <w:bottom w:w="0" w:type="dxa"/>
                    <w:right w:w="28" w:type="dxa"/>
                  </w:tcMar>
                  <w:vAlign w:val="center"/>
                </w:tcPr>
                <w:p w14:paraId="11B36D35">
                  <w:pPr>
                    <w:ind w:left="-105" w:leftChars="-50" w:right="-105" w:rightChars="-50"/>
                    <w:jc w:val="center"/>
                    <w:rPr>
                      <w:color w:val="0070C0"/>
                      <w:szCs w:val="21"/>
                    </w:rPr>
                  </w:pPr>
                  <w:r>
                    <w:rPr>
                      <w:rFonts w:hint="eastAsia"/>
                      <w:color w:val="000000" w:themeColor="text1"/>
                      <w:szCs w:val="21"/>
                      <w14:textFill>
                        <w14:solidFill>
                          <w14:schemeClr w14:val="tx1"/>
                        </w14:solidFill>
                      </w14:textFill>
                    </w:rPr>
                    <w:t>是</w:t>
                  </w:r>
                </w:p>
              </w:tc>
              <w:tc>
                <w:tcPr>
                  <w:tcW w:w="351" w:type="pct"/>
                  <w:tcMar>
                    <w:top w:w="0" w:type="dxa"/>
                    <w:left w:w="28" w:type="dxa"/>
                    <w:bottom w:w="0" w:type="dxa"/>
                    <w:right w:w="28" w:type="dxa"/>
                  </w:tcMar>
                  <w:vAlign w:val="center"/>
                </w:tcPr>
                <w:p w14:paraId="465727A1">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4.06</w:t>
                  </w:r>
                </w:p>
                <w:p w14:paraId="2B714C7E">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-9</w:t>
                  </w:r>
                </w:p>
              </w:tc>
              <w:tc>
                <w:tcPr>
                  <w:tcW w:w="385" w:type="pct"/>
                  <w:tcMar>
                    <w:top w:w="0" w:type="dxa"/>
                    <w:left w:w="28" w:type="dxa"/>
                    <w:bottom w:w="0" w:type="dxa"/>
                    <w:right w:w="28" w:type="dxa"/>
                  </w:tcMar>
                  <w:vAlign w:val="center"/>
                </w:tcPr>
                <w:p w14:paraId="1DF9EEEB">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1.35</w:t>
                  </w:r>
                </w:p>
                <w:p w14:paraId="34904721">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-6</w:t>
                  </w:r>
                </w:p>
              </w:tc>
              <w:tc>
                <w:tcPr>
                  <w:tcW w:w="332" w:type="pct"/>
                  <w:tcMar>
                    <w:top w:w="0" w:type="dxa"/>
                    <w:left w:w="28" w:type="dxa"/>
                    <w:bottom w:w="0" w:type="dxa"/>
                    <w:right w:w="28" w:type="dxa"/>
                  </w:tcMar>
                  <w:vAlign w:val="bottom"/>
                </w:tcPr>
                <w:p w14:paraId="3876F42D">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1.93</w:t>
                  </w:r>
                </w:p>
                <w:p w14:paraId="1E059029">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-4</w:t>
                  </w:r>
                </w:p>
              </w:tc>
              <w:tc>
                <w:tcPr>
                  <w:tcW w:w="263" w:type="pct"/>
                  <w:tcMar>
                    <w:top w:w="0" w:type="dxa"/>
                    <w:left w:w="28" w:type="dxa"/>
                    <w:bottom w:w="0" w:type="dxa"/>
                    <w:right w:w="28" w:type="dxa"/>
                  </w:tcMar>
                  <w:vAlign w:val="center"/>
                </w:tcPr>
                <w:p w14:paraId="5678403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14:paraId="6EF5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continue"/>
                  <w:tcMar>
                    <w:top w:w="0" w:type="dxa"/>
                    <w:left w:w="28" w:type="dxa"/>
                    <w:bottom w:w="0" w:type="dxa"/>
                    <w:right w:w="28" w:type="dxa"/>
                  </w:tcMar>
                  <w:vAlign w:val="center"/>
                </w:tcPr>
                <w:p w14:paraId="102067AF">
                  <w:pPr>
                    <w:ind w:left="-105" w:leftChars="-50" w:right="-105" w:rightChars="-50"/>
                    <w:jc w:val="center"/>
                    <w:rPr>
                      <w:color w:val="000000" w:themeColor="text1"/>
                      <w:szCs w:val="21"/>
                      <w14:textFill>
                        <w14:solidFill>
                          <w14:schemeClr w14:val="tx1"/>
                        </w14:solidFill>
                      </w14:textFill>
                    </w:rPr>
                  </w:pPr>
                </w:p>
              </w:tc>
              <w:tc>
                <w:tcPr>
                  <w:tcW w:w="270" w:type="pct"/>
                  <w:vMerge w:val="continue"/>
                  <w:tcMar>
                    <w:top w:w="0" w:type="dxa"/>
                    <w:left w:w="28" w:type="dxa"/>
                    <w:bottom w:w="0" w:type="dxa"/>
                    <w:right w:w="28" w:type="dxa"/>
                  </w:tcMar>
                  <w:vAlign w:val="center"/>
                </w:tcPr>
                <w:p w14:paraId="463663BD">
                  <w:pPr>
                    <w:ind w:left="-105" w:leftChars="-50" w:right="-105" w:rightChars="-50"/>
                    <w:jc w:val="center"/>
                    <w:rPr>
                      <w:color w:val="000000" w:themeColor="text1"/>
                      <w:szCs w:val="21"/>
                      <w14:textFill>
                        <w14:solidFill>
                          <w14:schemeClr w14:val="tx1"/>
                        </w14:solidFill>
                      </w14:textFill>
                    </w:rPr>
                  </w:pPr>
                </w:p>
              </w:tc>
              <w:tc>
                <w:tcPr>
                  <w:tcW w:w="350" w:type="pct"/>
                  <w:tcMar>
                    <w:top w:w="0" w:type="dxa"/>
                    <w:left w:w="0" w:type="dxa"/>
                    <w:bottom w:w="0" w:type="dxa"/>
                    <w:right w:w="0" w:type="dxa"/>
                  </w:tcMar>
                  <w:vAlign w:val="center"/>
                </w:tcPr>
                <w:p w14:paraId="2F9D283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324" w:type="pct"/>
                  <w:tcMar>
                    <w:top w:w="0" w:type="dxa"/>
                    <w:left w:w="28" w:type="dxa"/>
                    <w:bottom w:w="0" w:type="dxa"/>
                    <w:right w:w="28" w:type="dxa"/>
                  </w:tcMar>
                  <w:vAlign w:val="center"/>
                </w:tcPr>
                <w:p w14:paraId="3B1CCF06">
                  <w:pPr>
                    <w:ind w:left="-105" w:leftChars="-50" w:right="-105" w:rightChars="-50"/>
                    <w:jc w:val="center"/>
                    <w:rPr>
                      <w:color w:val="7030A0"/>
                      <w:szCs w:val="21"/>
                    </w:rPr>
                  </w:pPr>
                  <w:r>
                    <w:rPr>
                      <w:rFonts w:hint="eastAsia"/>
                      <w:color w:val="000000" w:themeColor="text1"/>
                      <w:szCs w:val="21"/>
                      <w14:textFill>
                        <w14:solidFill>
                          <w14:schemeClr w14:val="tx1"/>
                        </w14:solidFill>
                      </w14:textFill>
                    </w:rPr>
                    <w:t>/</w:t>
                  </w:r>
                </w:p>
              </w:tc>
              <w:tc>
                <w:tcPr>
                  <w:tcW w:w="407" w:type="pct"/>
                  <w:tcMar>
                    <w:top w:w="0" w:type="dxa"/>
                    <w:left w:w="28" w:type="dxa"/>
                    <w:bottom w:w="0" w:type="dxa"/>
                    <w:right w:w="28" w:type="dxa"/>
                  </w:tcMar>
                  <w:vAlign w:val="center"/>
                </w:tcPr>
                <w:p w14:paraId="5B3EFB7C">
                  <w:pPr>
                    <w:widowControl/>
                    <w:ind w:left="-105" w:leftChars="-50" w:right="-105" w:rightChars="-50"/>
                    <w:jc w:val="center"/>
                    <w:textAlignment w:val="center"/>
                    <w:rPr>
                      <w:color w:val="7030A0"/>
                      <w:kern w:val="0"/>
                      <w:szCs w:val="21"/>
                    </w:rPr>
                  </w:pPr>
                  <w:r>
                    <w:rPr>
                      <w:rFonts w:hint="eastAsia"/>
                      <w:color w:val="000000" w:themeColor="text1"/>
                      <w:kern w:val="0"/>
                      <w:szCs w:val="21"/>
                      <w14:textFill>
                        <w14:solidFill>
                          <w14:schemeClr w14:val="tx1"/>
                        </w14:solidFill>
                      </w14:textFill>
                    </w:rPr>
                    <w:t>2.270</w:t>
                  </w:r>
                </w:p>
              </w:tc>
              <w:tc>
                <w:tcPr>
                  <w:tcW w:w="438" w:type="pct"/>
                  <w:tcMar>
                    <w:top w:w="0" w:type="dxa"/>
                    <w:left w:w="28" w:type="dxa"/>
                    <w:bottom w:w="0" w:type="dxa"/>
                    <w:right w:w="28" w:type="dxa"/>
                  </w:tcMar>
                  <w:vAlign w:val="center"/>
                </w:tcPr>
                <w:p w14:paraId="1A42A9E1">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0.946</w:t>
                  </w:r>
                </w:p>
              </w:tc>
              <w:tc>
                <w:tcPr>
                  <w:tcW w:w="365" w:type="pct"/>
                  <w:tcMar>
                    <w:top w:w="0" w:type="dxa"/>
                    <w:left w:w="57" w:type="dxa"/>
                    <w:bottom w:w="0" w:type="dxa"/>
                    <w:right w:w="57" w:type="dxa"/>
                  </w:tcMar>
                  <w:vAlign w:val="center"/>
                </w:tcPr>
                <w:p w14:paraId="0A7BCA73">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w:t>
                  </w:r>
                </w:p>
              </w:tc>
              <w:tc>
                <w:tcPr>
                  <w:tcW w:w="350" w:type="pct"/>
                  <w:tcMar>
                    <w:top w:w="0" w:type="dxa"/>
                    <w:left w:w="28" w:type="dxa"/>
                    <w:bottom w:w="0" w:type="dxa"/>
                    <w:right w:w="28" w:type="dxa"/>
                  </w:tcMar>
                  <w:vAlign w:val="center"/>
                </w:tcPr>
                <w:p w14:paraId="14DFA6A0">
                  <w:pPr>
                    <w:pStyle w:val="22"/>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车间</w:t>
                  </w:r>
                </w:p>
                <w:p w14:paraId="4A12499C">
                  <w:pPr>
                    <w:pStyle w:val="22"/>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沉降</w:t>
                  </w:r>
                </w:p>
              </w:tc>
              <w:tc>
                <w:tcPr>
                  <w:tcW w:w="228" w:type="pct"/>
                  <w:tcMar>
                    <w:top w:w="0" w:type="dxa"/>
                    <w:left w:w="28" w:type="dxa"/>
                    <w:bottom w:w="0" w:type="dxa"/>
                    <w:right w:w="28" w:type="dxa"/>
                  </w:tcMar>
                  <w:vAlign w:val="center"/>
                </w:tcPr>
                <w:p w14:paraId="3A9EC97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w:t>
                  </w:r>
                </w:p>
              </w:tc>
              <w:tc>
                <w:tcPr>
                  <w:tcW w:w="266" w:type="pct"/>
                  <w:tcMar>
                    <w:top w:w="0" w:type="dxa"/>
                    <w:left w:w="28" w:type="dxa"/>
                    <w:bottom w:w="0" w:type="dxa"/>
                    <w:right w:w="28" w:type="dxa"/>
                  </w:tcMar>
                  <w:vAlign w:val="center"/>
                </w:tcPr>
                <w:p w14:paraId="78A4250F">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w:t>
                  </w:r>
                </w:p>
              </w:tc>
              <w:tc>
                <w:tcPr>
                  <w:tcW w:w="291" w:type="pct"/>
                  <w:tcMar>
                    <w:top w:w="0" w:type="dxa"/>
                    <w:left w:w="28" w:type="dxa"/>
                    <w:bottom w:w="0" w:type="dxa"/>
                    <w:right w:w="28" w:type="dxa"/>
                  </w:tcMar>
                  <w:vAlign w:val="center"/>
                </w:tcPr>
                <w:p w14:paraId="4C2EA53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51" w:type="pct"/>
                  <w:tcMar>
                    <w:top w:w="0" w:type="dxa"/>
                    <w:left w:w="28" w:type="dxa"/>
                    <w:bottom w:w="0" w:type="dxa"/>
                    <w:right w:w="28" w:type="dxa"/>
                  </w:tcMar>
                  <w:vAlign w:val="center"/>
                </w:tcPr>
                <w:p w14:paraId="3483FC47">
                  <w:pPr>
                    <w:widowControl/>
                    <w:ind w:left="-105" w:leftChars="-50" w:right="-105" w:rightChars="-50"/>
                    <w:jc w:val="center"/>
                    <w:textAlignment w:val="center"/>
                    <w:rPr>
                      <w:color w:val="7030A0"/>
                      <w:kern w:val="0"/>
                      <w:szCs w:val="21"/>
                    </w:rPr>
                  </w:pPr>
                  <w:r>
                    <w:rPr>
                      <w:rFonts w:hint="eastAsia"/>
                      <w:color w:val="000000" w:themeColor="text1"/>
                      <w:kern w:val="0"/>
                      <w:szCs w:val="21"/>
                      <w14:textFill>
                        <w14:solidFill>
                          <w14:schemeClr w14:val="tx1"/>
                        </w14:solidFill>
                      </w14:textFill>
                    </w:rPr>
                    <w:t>0.341</w:t>
                  </w:r>
                </w:p>
              </w:tc>
              <w:tc>
                <w:tcPr>
                  <w:tcW w:w="385" w:type="pct"/>
                  <w:tcMar>
                    <w:top w:w="0" w:type="dxa"/>
                    <w:left w:w="28" w:type="dxa"/>
                    <w:bottom w:w="0" w:type="dxa"/>
                    <w:right w:w="28" w:type="dxa"/>
                  </w:tcMar>
                  <w:vAlign w:val="center"/>
                </w:tcPr>
                <w:p w14:paraId="46720177">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0.142</w:t>
                  </w:r>
                </w:p>
              </w:tc>
              <w:tc>
                <w:tcPr>
                  <w:tcW w:w="332" w:type="pct"/>
                  <w:tcMar>
                    <w:top w:w="0" w:type="dxa"/>
                    <w:left w:w="28" w:type="dxa"/>
                    <w:bottom w:w="0" w:type="dxa"/>
                    <w:right w:w="28" w:type="dxa"/>
                  </w:tcMar>
                  <w:vAlign w:val="center"/>
                </w:tcPr>
                <w:p w14:paraId="1EAF0B9F">
                  <w:pPr>
                    <w:widowControl/>
                    <w:ind w:left="-105" w:leftChars="-50" w:right="-105" w:rightChars="-50"/>
                    <w:jc w:val="center"/>
                    <w:textAlignment w:val="center"/>
                    <w:rPr>
                      <w:color w:val="7030A0"/>
                      <w:kern w:val="0"/>
                      <w:szCs w:val="21"/>
                    </w:rPr>
                  </w:pPr>
                  <w:r>
                    <w:rPr>
                      <w:color w:val="000000" w:themeColor="text1"/>
                      <w:kern w:val="0"/>
                      <w:szCs w:val="21"/>
                      <w14:textFill>
                        <w14:solidFill>
                          <w14:schemeClr w14:val="tx1"/>
                        </w14:solidFill>
                      </w14:textFill>
                    </w:rPr>
                    <w:t>/</w:t>
                  </w:r>
                </w:p>
              </w:tc>
              <w:tc>
                <w:tcPr>
                  <w:tcW w:w="263" w:type="pct"/>
                  <w:tcMar>
                    <w:top w:w="0" w:type="dxa"/>
                    <w:left w:w="28" w:type="dxa"/>
                    <w:bottom w:w="0" w:type="dxa"/>
                    <w:right w:w="28" w:type="dxa"/>
                  </w:tcMar>
                  <w:vAlign w:val="center"/>
                </w:tcPr>
                <w:p w14:paraId="3C5DA0F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14:paraId="12C12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continue"/>
                  <w:tcMar>
                    <w:top w:w="0" w:type="dxa"/>
                    <w:left w:w="28" w:type="dxa"/>
                    <w:bottom w:w="0" w:type="dxa"/>
                    <w:right w:w="28" w:type="dxa"/>
                  </w:tcMar>
                  <w:vAlign w:val="center"/>
                </w:tcPr>
                <w:p w14:paraId="193FD8C7">
                  <w:pPr>
                    <w:ind w:left="-105" w:leftChars="-50" w:right="-105" w:rightChars="-50"/>
                    <w:jc w:val="center"/>
                    <w:rPr>
                      <w:color w:val="7030A0"/>
                      <w:szCs w:val="21"/>
                    </w:rPr>
                  </w:pPr>
                </w:p>
              </w:tc>
              <w:tc>
                <w:tcPr>
                  <w:tcW w:w="270" w:type="pct"/>
                  <w:vMerge w:val="continue"/>
                  <w:tcMar>
                    <w:top w:w="0" w:type="dxa"/>
                    <w:left w:w="28" w:type="dxa"/>
                    <w:bottom w:w="0" w:type="dxa"/>
                    <w:right w:w="28" w:type="dxa"/>
                  </w:tcMar>
                  <w:vAlign w:val="center"/>
                </w:tcPr>
                <w:p w14:paraId="416BF8D3">
                  <w:pPr>
                    <w:ind w:left="-105" w:leftChars="-50" w:right="-105" w:rightChars="-50"/>
                    <w:jc w:val="center"/>
                    <w:rPr>
                      <w:color w:val="000000" w:themeColor="text1"/>
                      <w:szCs w:val="21"/>
                      <w14:textFill>
                        <w14:solidFill>
                          <w14:schemeClr w14:val="tx1"/>
                        </w14:solidFill>
                      </w14:textFill>
                    </w:rPr>
                  </w:pPr>
                </w:p>
              </w:tc>
              <w:tc>
                <w:tcPr>
                  <w:tcW w:w="350" w:type="pct"/>
                  <w:tcMar>
                    <w:top w:w="0" w:type="dxa"/>
                    <w:left w:w="0" w:type="dxa"/>
                    <w:bottom w:w="0" w:type="dxa"/>
                    <w:right w:w="0" w:type="dxa"/>
                  </w:tcMar>
                  <w:vAlign w:val="center"/>
                </w:tcPr>
                <w:p w14:paraId="663588C6">
                  <w:pPr>
                    <w:ind w:left="-105" w:leftChars="-50" w:right="-105" w:rightChars="-50"/>
                    <w:jc w:val="center"/>
                    <w:rPr>
                      <w:color w:val="0070C0"/>
                      <w:szCs w:val="21"/>
                    </w:rPr>
                  </w:pPr>
                  <w:r>
                    <w:rPr>
                      <w:rFonts w:hint="eastAsia"/>
                      <w:color w:val="000000" w:themeColor="text1"/>
                      <w:szCs w:val="21"/>
                      <w14:textFill>
                        <w14:solidFill>
                          <w14:schemeClr w14:val="tx1"/>
                        </w14:solidFill>
                      </w14:textFill>
                    </w:rPr>
                    <w:t>锰及其化合物</w:t>
                  </w:r>
                </w:p>
              </w:tc>
              <w:tc>
                <w:tcPr>
                  <w:tcW w:w="324" w:type="pct"/>
                  <w:tcMar>
                    <w:top w:w="0" w:type="dxa"/>
                    <w:left w:w="28" w:type="dxa"/>
                    <w:bottom w:w="0" w:type="dxa"/>
                    <w:right w:w="28" w:type="dxa"/>
                  </w:tcMar>
                  <w:vAlign w:val="center"/>
                </w:tcPr>
                <w:p w14:paraId="2ECCF0C4">
                  <w:pPr>
                    <w:ind w:left="-105" w:leftChars="-50" w:right="-105" w:rightChars="-50"/>
                    <w:jc w:val="center"/>
                    <w:rPr>
                      <w:color w:val="0070C0"/>
                      <w:szCs w:val="21"/>
                    </w:rPr>
                  </w:pPr>
                  <w:r>
                    <w:rPr>
                      <w:rFonts w:hint="eastAsia"/>
                      <w:color w:val="000000" w:themeColor="text1"/>
                      <w:szCs w:val="21"/>
                      <w14:textFill>
                        <w14:solidFill>
                          <w14:schemeClr w14:val="tx1"/>
                        </w14:solidFill>
                      </w14:textFill>
                    </w:rPr>
                    <w:t>/</w:t>
                  </w:r>
                </w:p>
              </w:tc>
              <w:tc>
                <w:tcPr>
                  <w:tcW w:w="407" w:type="pct"/>
                  <w:tcMar>
                    <w:top w:w="0" w:type="dxa"/>
                    <w:left w:w="28" w:type="dxa"/>
                    <w:bottom w:w="0" w:type="dxa"/>
                    <w:right w:w="28" w:type="dxa"/>
                  </w:tcMar>
                  <w:vAlign w:val="center"/>
                </w:tcPr>
                <w:p w14:paraId="0560FAF6">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4.06</w:t>
                  </w:r>
                </w:p>
                <w:p w14:paraId="073D6B12">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-6</w:t>
                  </w:r>
                </w:p>
              </w:tc>
              <w:tc>
                <w:tcPr>
                  <w:tcW w:w="438" w:type="pct"/>
                  <w:tcMar>
                    <w:top w:w="0" w:type="dxa"/>
                    <w:left w:w="28" w:type="dxa"/>
                    <w:bottom w:w="0" w:type="dxa"/>
                    <w:right w:w="28" w:type="dxa"/>
                  </w:tcMar>
                  <w:vAlign w:val="center"/>
                </w:tcPr>
                <w:p w14:paraId="31C00D90">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1.35</w:t>
                  </w:r>
                </w:p>
                <w:p w14:paraId="5A41392D">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-5</w:t>
                  </w:r>
                </w:p>
              </w:tc>
              <w:tc>
                <w:tcPr>
                  <w:tcW w:w="365" w:type="pct"/>
                  <w:tcMar>
                    <w:top w:w="0" w:type="dxa"/>
                    <w:left w:w="57" w:type="dxa"/>
                    <w:bottom w:w="0" w:type="dxa"/>
                    <w:right w:w="57" w:type="dxa"/>
                  </w:tcMar>
                  <w:vAlign w:val="center"/>
                </w:tcPr>
                <w:p w14:paraId="133B5090">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w:t>
                  </w:r>
                </w:p>
              </w:tc>
              <w:tc>
                <w:tcPr>
                  <w:tcW w:w="350" w:type="pct"/>
                  <w:tcMar>
                    <w:top w:w="0" w:type="dxa"/>
                    <w:left w:w="28" w:type="dxa"/>
                    <w:bottom w:w="0" w:type="dxa"/>
                    <w:right w:w="28" w:type="dxa"/>
                  </w:tcMar>
                  <w:vAlign w:val="center"/>
                </w:tcPr>
                <w:p w14:paraId="209134A5">
                  <w:pPr>
                    <w:pStyle w:val="22"/>
                    <w:ind w:left="-105" w:leftChars="-50" w:right="-105" w:rightChars="-50"/>
                    <w:jc w:val="center"/>
                    <w:rPr>
                      <w:rFonts w:ascii="Times New Roman" w:hAnsi="Times New Roman"/>
                      <w:color w:val="0070C0"/>
                      <w:szCs w:val="21"/>
                    </w:rPr>
                  </w:pPr>
                  <w:r>
                    <w:rPr>
                      <w:rFonts w:hint="eastAsia" w:ascii="Times New Roman" w:hAnsi="Times New Roman"/>
                      <w:color w:val="000000" w:themeColor="text1"/>
                      <w:szCs w:val="21"/>
                      <w14:textFill>
                        <w14:solidFill>
                          <w14:schemeClr w14:val="tx1"/>
                        </w14:solidFill>
                      </w14:textFill>
                    </w:rPr>
                    <w:t>/</w:t>
                  </w:r>
                </w:p>
              </w:tc>
              <w:tc>
                <w:tcPr>
                  <w:tcW w:w="228" w:type="pct"/>
                  <w:tcMar>
                    <w:top w:w="0" w:type="dxa"/>
                    <w:left w:w="28" w:type="dxa"/>
                    <w:bottom w:w="0" w:type="dxa"/>
                    <w:right w:w="28" w:type="dxa"/>
                  </w:tcMar>
                  <w:vAlign w:val="center"/>
                </w:tcPr>
                <w:p w14:paraId="7D9D56A9">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w:t>
                  </w:r>
                </w:p>
              </w:tc>
              <w:tc>
                <w:tcPr>
                  <w:tcW w:w="266" w:type="pct"/>
                  <w:tcMar>
                    <w:top w:w="0" w:type="dxa"/>
                    <w:left w:w="28" w:type="dxa"/>
                    <w:bottom w:w="0" w:type="dxa"/>
                    <w:right w:w="28" w:type="dxa"/>
                  </w:tcMar>
                  <w:vAlign w:val="center"/>
                </w:tcPr>
                <w:p w14:paraId="18127E7E">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w:t>
                  </w:r>
                </w:p>
              </w:tc>
              <w:tc>
                <w:tcPr>
                  <w:tcW w:w="291" w:type="pct"/>
                  <w:tcMar>
                    <w:top w:w="0" w:type="dxa"/>
                    <w:left w:w="28" w:type="dxa"/>
                    <w:bottom w:w="0" w:type="dxa"/>
                    <w:right w:w="28" w:type="dxa"/>
                  </w:tcMar>
                  <w:vAlign w:val="center"/>
                </w:tcPr>
                <w:p w14:paraId="188B6D3C">
                  <w:pPr>
                    <w:ind w:left="-105" w:leftChars="-50" w:right="-105" w:rightChars="-50"/>
                    <w:jc w:val="center"/>
                    <w:rPr>
                      <w:color w:val="0070C0"/>
                      <w:szCs w:val="21"/>
                    </w:rPr>
                  </w:pPr>
                  <w:r>
                    <w:rPr>
                      <w:rFonts w:hint="eastAsia"/>
                      <w:color w:val="000000" w:themeColor="text1"/>
                      <w:szCs w:val="21"/>
                      <w14:textFill>
                        <w14:solidFill>
                          <w14:schemeClr w14:val="tx1"/>
                        </w14:solidFill>
                      </w14:textFill>
                    </w:rPr>
                    <w:t>/</w:t>
                  </w:r>
                </w:p>
              </w:tc>
              <w:tc>
                <w:tcPr>
                  <w:tcW w:w="351" w:type="pct"/>
                  <w:tcMar>
                    <w:top w:w="0" w:type="dxa"/>
                    <w:left w:w="28" w:type="dxa"/>
                    <w:bottom w:w="0" w:type="dxa"/>
                    <w:right w:w="28" w:type="dxa"/>
                  </w:tcMar>
                  <w:vAlign w:val="center"/>
                </w:tcPr>
                <w:p w14:paraId="6552BF6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4.06</w:t>
                  </w:r>
                </w:p>
                <w:p w14:paraId="37EA58E2">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-6</w:t>
                  </w:r>
                </w:p>
              </w:tc>
              <w:tc>
                <w:tcPr>
                  <w:tcW w:w="385" w:type="pct"/>
                  <w:tcMar>
                    <w:top w:w="0" w:type="dxa"/>
                    <w:left w:w="28" w:type="dxa"/>
                    <w:bottom w:w="0" w:type="dxa"/>
                    <w:right w:w="28" w:type="dxa"/>
                  </w:tcMar>
                  <w:vAlign w:val="center"/>
                </w:tcPr>
                <w:p w14:paraId="5A87F7E1">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1.35</w:t>
                  </w:r>
                </w:p>
                <w:p w14:paraId="3460B7E2">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×10</w:t>
                  </w:r>
                  <w:r>
                    <w:rPr>
                      <w:rFonts w:hint="eastAsia"/>
                      <w:color w:val="000000" w:themeColor="text1"/>
                      <w:kern w:val="0"/>
                      <w:szCs w:val="21"/>
                      <w:vertAlign w:val="superscript"/>
                      <w14:textFill>
                        <w14:solidFill>
                          <w14:schemeClr w14:val="tx1"/>
                        </w14:solidFill>
                      </w14:textFill>
                    </w:rPr>
                    <w:t>-5</w:t>
                  </w:r>
                </w:p>
              </w:tc>
              <w:tc>
                <w:tcPr>
                  <w:tcW w:w="332" w:type="pct"/>
                  <w:tcMar>
                    <w:top w:w="0" w:type="dxa"/>
                    <w:left w:w="28" w:type="dxa"/>
                    <w:bottom w:w="0" w:type="dxa"/>
                    <w:right w:w="28" w:type="dxa"/>
                  </w:tcMar>
                  <w:vAlign w:val="center"/>
                </w:tcPr>
                <w:p w14:paraId="7D7B3483">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w:t>
                  </w:r>
                </w:p>
              </w:tc>
              <w:tc>
                <w:tcPr>
                  <w:tcW w:w="263" w:type="pct"/>
                  <w:tcMar>
                    <w:top w:w="0" w:type="dxa"/>
                    <w:left w:w="28" w:type="dxa"/>
                    <w:bottom w:w="0" w:type="dxa"/>
                    <w:right w:w="28" w:type="dxa"/>
                  </w:tcMar>
                  <w:vAlign w:val="center"/>
                </w:tcPr>
                <w:p w14:paraId="7A9A768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14:paraId="58817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restart"/>
                  <w:tcMar>
                    <w:top w:w="0" w:type="dxa"/>
                    <w:left w:w="28" w:type="dxa"/>
                    <w:bottom w:w="0" w:type="dxa"/>
                    <w:right w:w="28" w:type="dxa"/>
                  </w:tcMar>
                  <w:vAlign w:val="center"/>
                </w:tcPr>
                <w:p w14:paraId="1749F68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w:t>
                  </w: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排放</w:t>
                  </w:r>
                </w:p>
                <w:p w14:paraId="0B82D0F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口</w:t>
                  </w:r>
                </w:p>
              </w:tc>
              <w:tc>
                <w:tcPr>
                  <w:tcW w:w="270" w:type="pct"/>
                  <w:vMerge w:val="restart"/>
                  <w:tcMar>
                    <w:top w:w="0" w:type="dxa"/>
                    <w:left w:w="28" w:type="dxa"/>
                    <w:bottom w:w="0" w:type="dxa"/>
                    <w:right w:w="28" w:type="dxa"/>
                  </w:tcMar>
                  <w:vAlign w:val="center"/>
                </w:tcPr>
                <w:p w14:paraId="3497513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喷漆、晾干</w:t>
                  </w:r>
                </w:p>
              </w:tc>
              <w:tc>
                <w:tcPr>
                  <w:tcW w:w="350" w:type="pct"/>
                  <w:tcMar>
                    <w:top w:w="0" w:type="dxa"/>
                    <w:left w:w="0" w:type="dxa"/>
                    <w:bottom w:w="0" w:type="dxa"/>
                    <w:right w:w="0" w:type="dxa"/>
                  </w:tcMar>
                  <w:vAlign w:val="center"/>
                </w:tcPr>
                <w:p w14:paraId="2C14BC9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漆雾</w:t>
                  </w:r>
                </w:p>
              </w:tc>
              <w:tc>
                <w:tcPr>
                  <w:tcW w:w="324" w:type="pct"/>
                  <w:vMerge w:val="restart"/>
                  <w:tcMar>
                    <w:top w:w="0" w:type="dxa"/>
                    <w:left w:w="28" w:type="dxa"/>
                    <w:bottom w:w="0" w:type="dxa"/>
                    <w:right w:w="28" w:type="dxa"/>
                  </w:tcMar>
                  <w:vAlign w:val="center"/>
                </w:tcPr>
                <w:p w14:paraId="329403D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35000</w:t>
                  </w:r>
                </w:p>
              </w:tc>
              <w:tc>
                <w:tcPr>
                  <w:tcW w:w="407" w:type="pct"/>
                  <w:tcMar>
                    <w:top w:w="0" w:type="dxa"/>
                    <w:left w:w="28" w:type="dxa"/>
                    <w:bottom w:w="0" w:type="dxa"/>
                    <w:right w:w="28" w:type="dxa"/>
                  </w:tcMar>
                  <w:vAlign w:val="center"/>
                </w:tcPr>
                <w:p w14:paraId="736402CE">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3.713</w:t>
                  </w:r>
                </w:p>
              </w:tc>
              <w:tc>
                <w:tcPr>
                  <w:tcW w:w="438" w:type="pct"/>
                  <w:tcMar>
                    <w:top w:w="0" w:type="dxa"/>
                    <w:left w:w="28" w:type="dxa"/>
                    <w:bottom w:w="0" w:type="dxa"/>
                    <w:right w:w="28" w:type="dxa"/>
                  </w:tcMar>
                  <w:vAlign w:val="center"/>
                </w:tcPr>
                <w:p w14:paraId="5ECC7F69">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1.547</w:t>
                  </w:r>
                </w:p>
              </w:tc>
              <w:tc>
                <w:tcPr>
                  <w:tcW w:w="365" w:type="pct"/>
                  <w:tcMar>
                    <w:top w:w="0" w:type="dxa"/>
                    <w:left w:w="57" w:type="dxa"/>
                    <w:bottom w:w="0" w:type="dxa"/>
                    <w:right w:w="57" w:type="dxa"/>
                  </w:tcMar>
                  <w:vAlign w:val="center"/>
                </w:tcPr>
                <w:p w14:paraId="6640D29B">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44.20</w:t>
                  </w:r>
                </w:p>
              </w:tc>
              <w:tc>
                <w:tcPr>
                  <w:tcW w:w="350" w:type="pct"/>
                  <w:vMerge w:val="restart"/>
                  <w:tcMar>
                    <w:top w:w="0" w:type="dxa"/>
                    <w:left w:w="28" w:type="dxa"/>
                    <w:bottom w:w="0" w:type="dxa"/>
                    <w:right w:w="28" w:type="dxa"/>
                  </w:tcMar>
                  <w:vAlign w:val="center"/>
                </w:tcPr>
                <w:p w14:paraId="5FDC80FD">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喷淋</w:t>
                  </w:r>
                </w:p>
                <w:p w14:paraId="294D4D57">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塔+</w:t>
                  </w:r>
                  <w:r>
                    <w:rPr>
                      <w:rFonts w:hint="eastAsia" w:ascii="Times New Roman" w:hAnsi="Times New Roman"/>
                      <w:color w:val="000000" w:themeColor="text1"/>
                      <w:szCs w:val="21"/>
                      <w14:textFill>
                        <w14:solidFill>
                          <w14:schemeClr w14:val="tx1"/>
                        </w14:solidFill>
                      </w14:textFill>
                    </w:rPr>
                    <w:t>过滤除</w:t>
                  </w:r>
                </w:p>
                <w:p w14:paraId="159CDDDF">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雾器+二级</w:t>
                  </w:r>
                </w:p>
                <w:p w14:paraId="3DF870A1">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活性</w:t>
                  </w:r>
                </w:p>
                <w:p w14:paraId="7F05A84D">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炭吸</w:t>
                  </w:r>
                </w:p>
                <w:p w14:paraId="17168DAF">
                  <w:pPr>
                    <w:pStyle w:val="22"/>
                    <w:ind w:left="-105" w:leftChars="-50" w:right="-105" w:rightChars="-50"/>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附</w:t>
                  </w:r>
                </w:p>
              </w:tc>
              <w:tc>
                <w:tcPr>
                  <w:tcW w:w="228" w:type="pct"/>
                  <w:tcMar>
                    <w:top w:w="0" w:type="dxa"/>
                    <w:left w:w="28" w:type="dxa"/>
                    <w:bottom w:w="0" w:type="dxa"/>
                    <w:right w:w="28" w:type="dxa"/>
                  </w:tcMar>
                  <w:vAlign w:val="center"/>
                </w:tcPr>
                <w:p w14:paraId="574621D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90</w:t>
                  </w:r>
                </w:p>
              </w:tc>
              <w:tc>
                <w:tcPr>
                  <w:tcW w:w="266" w:type="pct"/>
                  <w:tcMar>
                    <w:top w:w="0" w:type="dxa"/>
                    <w:left w:w="28" w:type="dxa"/>
                    <w:bottom w:w="0" w:type="dxa"/>
                    <w:right w:w="28" w:type="dxa"/>
                  </w:tcMar>
                  <w:vAlign w:val="center"/>
                </w:tcPr>
                <w:p w14:paraId="388D99A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80</w:t>
                  </w:r>
                </w:p>
              </w:tc>
              <w:tc>
                <w:tcPr>
                  <w:tcW w:w="291" w:type="pct"/>
                  <w:tcMar>
                    <w:top w:w="0" w:type="dxa"/>
                    <w:left w:w="28" w:type="dxa"/>
                    <w:bottom w:w="0" w:type="dxa"/>
                    <w:right w:w="28" w:type="dxa"/>
                  </w:tcMar>
                  <w:vAlign w:val="center"/>
                </w:tcPr>
                <w:p w14:paraId="2B4BDC3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w:t>
                  </w:r>
                </w:p>
              </w:tc>
              <w:tc>
                <w:tcPr>
                  <w:tcW w:w="351" w:type="pct"/>
                  <w:tcMar>
                    <w:top w:w="0" w:type="dxa"/>
                    <w:left w:w="28" w:type="dxa"/>
                    <w:bottom w:w="0" w:type="dxa"/>
                    <w:right w:w="28" w:type="dxa"/>
                  </w:tcMar>
                  <w:vAlign w:val="center"/>
                </w:tcPr>
                <w:p w14:paraId="184B9680">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0.743</w:t>
                  </w:r>
                </w:p>
              </w:tc>
              <w:tc>
                <w:tcPr>
                  <w:tcW w:w="385" w:type="pct"/>
                  <w:tcMar>
                    <w:top w:w="0" w:type="dxa"/>
                    <w:left w:w="28" w:type="dxa"/>
                    <w:bottom w:w="0" w:type="dxa"/>
                    <w:right w:w="28" w:type="dxa"/>
                  </w:tcMar>
                  <w:vAlign w:val="center"/>
                </w:tcPr>
                <w:p w14:paraId="26D97DA6">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0.309</w:t>
                  </w:r>
                </w:p>
              </w:tc>
              <w:tc>
                <w:tcPr>
                  <w:tcW w:w="332" w:type="pct"/>
                  <w:tcMar>
                    <w:top w:w="0" w:type="dxa"/>
                    <w:left w:w="28" w:type="dxa"/>
                    <w:bottom w:w="0" w:type="dxa"/>
                    <w:right w:w="28" w:type="dxa"/>
                  </w:tcMar>
                  <w:vAlign w:val="center"/>
                </w:tcPr>
                <w:p w14:paraId="00B6184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8.84</w:t>
                  </w:r>
                </w:p>
              </w:tc>
              <w:tc>
                <w:tcPr>
                  <w:tcW w:w="263" w:type="pct"/>
                  <w:tcMar>
                    <w:top w:w="0" w:type="dxa"/>
                    <w:left w:w="28" w:type="dxa"/>
                    <w:bottom w:w="0" w:type="dxa"/>
                    <w:right w:w="28" w:type="dxa"/>
                  </w:tcMar>
                  <w:vAlign w:val="center"/>
                </w:tcPr>
                <w:p w14:paraId="64CE46D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14:paraId="60FE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continue"/>
                  <w:tcMar>
                    <w:top w:w="0" w:type="dxa"/>
                    <w:left w:w="28" w:type="dxa"/>
                    <w:bottom w:w="0" w:type="dxa"/>
                    <w:right w:w="28" w:type="dxa"/>
                  </w:tcMar>
                  <w:vAlign w:val="center"/>
                </w:tcPr>
                <w:p w14:paraId="7A767162">
                  <w:pPr>
                    <w:ind w:left="-105" w:leftChars="-50" w:right="-105" w:rightChars="-50"/>
                    <w:jc w:val="center"/>
                    <w:rPr>
                      <w:color w:val="7030A0"/>
                      <w:szCs w:val="21"/>
                    </w:rPr>
                  </w:pPr>
                </w:p>
              </w:tc>
              <w:tc>
                <w:tcPr>
                  <w:tcW w:w="270" w:type="pct"/>
                  <w:vMerge w:val="continue"/>
                  <w:tcMar>
                    <w:top w:w="0" w:type="dxa"/>
                    <w:left w:w="28" w:type="dxa"/>
                    <w:bottom w:w="0" w:type="dxa"/>
                    <w:right w:w="28" w:type="dxa"/>
                  </w:tcMar>
                  <w:vAlign w:val="center"/>
                </w:tcPr>
                <w:p w14:paraId="2CE8B29D">
                  <w:pPr>
                    <w:ind w:left="-105" w:leftChars="-50" w:right="-105" w:rightChars="-50"/>
                    <w:jc w:val="center"/>
                    <w:rPr>
                      <w:color w:val="000000" w:themeColor="text1"/>
                      <w:szCs w:val="21"/>
                      <w14:textFill>
                        <w14:solidFill>
                          <w14:schemeClr w14:val="tx1"/>
                        </w14:solidFill>
                      </w14:textFill>
                    </w:rPr>
                  </w:pPr>
                </w:p>
              </w:tc>
              <w:tc>
                <w:tcPr>
                  <w:tcW w:w="350" w:type="pct"/>
                  <w:tcMar>
                    <w:top w:w="0" w:type="dxa"/>
                    <w:left w:w="28" w:type="dxa"/>
                    <w:bottom w:w="0" w:type="dxa"/>
                    <w:right w:w="28" w:type="dxa"/>
                  </w:tcMar>
                  <w:vAlign w:val="center"/>
                </w:tcPr>
                <w:p w14:paraId="76190E2B">
                  <w:pPr>
                    <w:ind w:left="-105" w:leftChars="-50" w:right="-105" w:rightChars="-50"/>
                    <w:jc w:val="center"/>
                    <w:rPr>
                      <w:color w:val="7030A0"/>
                      <w:szCs w:val="21"/>
                    </w:rPr>
                  </w:pPr>
                  <w:r>
                    <w:rPr>
                      <w:rFonts w:hint="eastAsia"/>
                      <w:color w:val="000000" w:themeColor="text1"/>
                      <w:szCs w:val="21"/>
                      <w14:textFill>
                        <w14:solidFill>
                          <w14:schemeClr w14:val="tx1"/>
                        </w14:solidFill>
                      </w14:textFill>
                    </w:rPr>
                    <w:t>TVOC</w:t>
                  </w:r>
                </w:p>
              </w:tc>
              <w:tc>
                <w:tcPr>
                  <w:tcW w:w="324" w:type="pct"/>
                  <w:vMerge w:val="continue"/>
                  <w:tcMar>
                    <w:top w:w="0" w:type="dxa"/>
                    <w:left w:w="28" w:type="dxa"/>
                    <w:bottom w:w="0" w:type="dxa"/>
                    <w:right w:w="28" w:type="dxa"/>
                  </w:tcMar>
                  <w:vAlign w:val="center"/>
                </w:tcPr>
                <w:p w14:paraId="3A417F5B">
                  <w:pPr>
                    <w:ind w:left="-105" w:leftChars="-50" w:right="-105" w:rightChars="-50"/>
                    <w:jc w:val="center"/>
                    <w:rPr>
                      <w:color w:val="000000" w:themeColor="text1"/>
                      <w:szCs w:val="21"/>
                      <w14:textFill>
                        <w14:solidFill>
                          <w14:schemeClr w14:val="tx1"/>
                        </w14:solidFill>
                      </w14:textFill>
                    </w:rPr>
                  </w:pPr>
                </w:p>
              </w:tc>
              <w:tc>
                <w:tcPr>
                  <w:tcW w:w="407" w:type="pct"/>
                  <w:tcMar>
                    <w:top w:w="0" w:type="dxa"/>
                    <w:left w:w="28" w:type="dxa"/>
                    <w:bottom w:w="0" w:type="dxa"/>
                    <w:right w:w="28" w:type="dxa"/>
                  </w:tcMar>
                  <w:vAlign w:val="center"/>
                </w:tcPr>
                <w:p w14:paraId="7DBFAA16">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1.791</w:t>
                  </w:r>
                </w:p>
              </w:tc>
              <w:tc>
                <w:tcPr>
                  <w:tcW w:w="438" w:type="pct"/>
                  <w:tcMar>
                    <w:top w:w="0" w:type="dxa"/>
                    <w:left w:w="28" w:type="dxa"/>
                    <w:bottom w:w="0" w:type="dxa"/>
                    <w:right w:w="28" w:type="dxa"/>
                  </w:tcMar>
                  <w:vAlign w:val="center"/>
                </w:tcPr>
                <w:p w14:paraId="3CECFAA4">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0.746</w:t>
                  </w:r>
                </w:p>
              </w:tc>
              <w:tc>
                <w:tcPr>
                  <w:tcW w:w="365" w:type="pct"/>
                  <w:tcMar>
                    <w:top w:w="0" w:type="dxa"/>
                    <w:left w:w="28" w:type="dxa"/>
                    <w:bottom w:w="0" w:type="dxa"/>
                    <w:right w:w="28" w:type="dxa"/>
                  </w:tcMar>
                  <w:vAlign w:val="center"/>
                </w:tcPr>
                <w:p w14:paraId="6A5827BD">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21.32</w:t>
                  </w:r>
                </w:p>
              </w:tc>
              <w:tc>
                <w:tcPr>
                  <w:tcW w:w="350" w:type="pct"/>
                  <w:vMerge w:val="continue"/>
                  <w:tcMar>
                    <w:top w:w="0" w:type="dxa"/>
                    <w:left w:w="28" w:type="dxa"/>
                    <w:bottom w:w="0" w:type="dxa"/>
                    <w:right w:w="28" w:type="dxa"/>
                  </w:tcMar>
                  <w:vAlign w:val="center"/>
                </w:tcPr>
                <w:p w14:paraId="52F96669">
                  <w:pPr>
                    <w:ind w:left="-105" w:leftChars="-50" w:right="-105" w:rightChars="-50"/>
                    <w:jc w:val="center"/>
                    <w:rPr>
                      <w:color w:val="000000" w:themeColor="text1"/>
                      <w:szCs w:val="21"/>
                      <w14:textFill>
                        <w14:solidFill>
                          <w14:schemeClr w14:val="tx1"/>
                        </w14:solidFill>
                      </w14:textFill>
                    </w:rPr>
                  </w:pPr>
                </w:p>
              </w:tc>
              <w:tc>
                <w:tcPr>
                  <w:tcW w:w="228" w:type="pct"/>
                  <w:tcMar>
                    <w:top w:w="0" w:type="dxa"/>
                    <w:left w:w="28" w:type="dxa"/>
                    <w:bottom w:w="0" w:type="dxa"/>
                    <w:right w:w="28" w:type="dxa"/>
                  </w:tcMar>
                  <w:vAlign w:val="center"/>
                </w:tcPr>
                <w:p w14:paraId="44DAA17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90</w:t>
                  </w:r>
                </w:p>
              </w:tc>
              <w:tc>
                <w:tcPr>
                  <w:tcW w:w="266" w:type="pct"/>
                  <w:tcMar>
                    <w:top w:w="0" w:type="dxa"/>
                    <w:left w:w="28" w:type="dxa"/>
                    <w:bottom w:w="0" w:type="dxa"/>
                    <w:right w:w="28" w:type="dxa"/>
                  </w:tcMar>
                  <w:vAlign w:val="center"/>
                </w:tcPr>
                <w:p w14:paraId="1270109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75</w:t>
                  </w:r>
                </w:p>
              </w:tc>
              <w:tc>
                <w:tcPr>
                  <w:tcW w:w="291" w:type="pct"/>
                  <w:tcMar>
                    <w:top w:w="0" w:type="dxa"/>
                    <w:left w:w="28" w:type="dxa"/>
                    <w:bottom w:w="0" w:type="dxa"/>
                    <w:right w:w="28" w:type="dxa"/>
                  </w:tcMar>
                  <w:vAlign w:val="center"/>
                </w:tcPr>
                <w:p w14:paraId="703A4973">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是</w:t>
                  </w:r>
                </w:p>
              </w:tc>
              <w:tc>
                <w:tcPr>
                  <w:tcW w:w="351" w:type="pct"/>
                  <w:tcMar>
                    <w:top w:w="0" w:type="dxa"/>
                    <w:left w:w="28" w:type="dxa"/>
                    <w:bottom w:w="0" w:type="dxa"/>
                    <w:right w:w="28" w:type="dxa"/>
                  </w:tcMar>
                  <w:vAlign w:val="center"/>
                </w:tcPr>
                <w:p w14:paraId="0720A8A2">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0.448</w:t>
                  </w:r>
                </w:p>
              </w:tc>
              <w:tc>
                <w:tcPr>
                  <w:tcW w:w="385" w:type="pct"/>
                  <w:tcMar>
                    <w:top w:w="0" w:type="dxa"/>
                    <w:left w:w="28" w:type="dxa"/>
                    <w:bottom w:w="0" w:type="dxa"/>
                    <w:right w:w="28" w:type="dxa"/>
                  </w:tcMar>
                  <w:vAlign w:val="center"/>
                </w:tcPr>
                <w:p w14:paraId="0AF1F90A">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0.187</w:t>
                  </w:r>
                </w:p>
              </w:tc>
              <w:tc>
                <w:tcPr>
                  <w:tcW w:w="332" w:type="pct"/>
                  <w:tcMar>
                    <w:top w:w="0" w:type="dxa"/>
                    <w:left w:w="28" w:type="dxa"/>
                    <w:bottom w:w="0" w:type="dxa"/>
                    <w:right w:w="28" w:type="dxa"/>
                  </w:tcMar>
                  <w:vAlign w:val="center"/>
                </w:tcPr>
                <w:p w14:paraId="7FEBB238">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5.33</w:t>
                  </w:r>
                </w:p>
              </w:tc>
              <w:tc>
                <w:tcPr>
                  <w:tcW w:w="263" w:type="pct"/>
                  <w:tcMar>
                    <w:top w:w="0" w:type="dxa"/>
                    <w:left w:w="28" w:type="dxa"/>
                    <w:bottom w:w="0" w:type="dxa"/>
                    <w:right w:w="28" w:type="dxa"/>
                  </w:tcMar>
                  <w:vAlign w:val="center"/>
                </w:tcPr>
                <w:p w14:paraId="10211A6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w:t>
                  </w:r>
                  <w:r>
                    <w:rPr>
                      <w:color w:val="000000" w:themeColor="text1"/>
                      <w:szCs w:val="21"/>
                      <w14:textFill>
                        <w14:solidFill>
                          <w14:schemeClr w14:val="tx1"/>
                        </w14:solidFill>
                      </w14:textFill>
                    </w:rPr>
                    <w:t>组织</w:t>
                  </w:r>
                </w:p>
              </w:tc>
            </w:tr>
            <w:tr w14:paraId="4D04A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continue"/>
                  <w:tcMar>
                    <w:top w:w="0" w:type="dxa"/>
                    <w:left w:w="28" w:type="dxa"/>
                    <w:bottom w:w="0" w:type="dxa"/>
                    <w:right w:w="28" w:type="dxa"/>
                  </w:tcMar>
                  <w:vAlign w:val="center"/>
                </w:tcPr>
                <w:p w14:paraId="0D728F65">
                  <w:pPr>
                    <w:ind w:left="-105" w:leftChars="-50" w:right="-105" w:rightChars="-50"/>
                    <w:jc w:val="center"/>
                    <w:rPr>
                      <w:color w:val="7030A0"/>
                      <w:szCs w:val="21"/>
                    </w:rPr>
                  </w:pPr>
                </w:p>
              </w:tc>
              <w:tc>
                <w:tcPr>
                  <w:tcW w:w="270" w:type="pct"/>
                  <w:vMerge w:val="continue"/>
                  <w:tcMar>
                    <w:top w:w="0" w:type="dxa"/>
                    <w:left w:w="28" w:type="dxa"/>
                    <w:bottom w:w="0" w:type="dxa"/>
                    <w:right w:w="28" w:type="dxa"/>
                  </w:tcMar>
                  <w:vAlign w:val="center"/>
                </w:tcPr>
                <w:p w14:paraId="7EF3CE42">
                  <w:pPr>
                    <w:ind w:left="-105" w:leftChars="-50" w:right="-105" w:rightChars="-50"/>
                    <w:jc w:val="center"/>
                    <w:rPr>
                      <w:color w:val="000000" w:themeColor="text1"/>
                      <w:szCs w:val="21"/>
                      <w14:textFill>
                        <w14:solidFill>
                          <w14:schemeClr w14:val="tx1"/>
                        </w14:solidFill>
                      </w14:textFill>
                    </w:rPr>
                  </w:pPr>
                </w:p>
              </w:tc>
              <w:tc>
                <w:tcPr>
                  <w:tcW w:w="350" w:type="pct"/>
                  <w:tcMar>
                    <w:top w:w="0" w:type="dxa"/>
                    <w:left w:w="28" w:type="dxa"/>
                    <w:bottom w:w="0" w:type="dxa"/>
                    <w:right w:w="28" w:type="dxa"/>
                  </w:tcMar>
                  <w:vAlign w:val="center"/>
                </w:tcPr>
                <w:p w14:paraId="6A3CBF7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漆雾</w:t>
                  </w:r>
                </w:p>
              </w:tc>
              <w:tc>
                <w:tcPr>
                  <w:tcW w:w="324" w:type="pct"/>
                  <w:tcMar>
                    <w:top w:w="0" w:type="dxa"/>
                    <w:left w:w="28" w:type="dxa"/>
                    <w:bottom w:w="0" w:type="dxa"/>
                    <w:right w:w="28" w:type="dxa"/>
                  </w:tcMar>
                  <w:vAlign w:val="center"/>
                </w:tcPr>
                <w:p w14:paraId="378B5F5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07" w:type="pct"/>
                  <w:tcMar>
                    <w:top w:w="0" w:type="dxa"/>
                    <w:left w:w="28" w:type="dxa"/>
                    <w:bottom w:w="0" w:type="dxa"/>
                    <w:right w:w="28" w:type="dxa"/>
                  </w:tcMar>
                  <w:vAlign w:val="center"/>
                </w:tcPr>
                <w:p w14:paraId="78D5CEF7">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0.413</w:t>
                  </w:r>
                </w:p>
              </w:tc>
              <w:tc>
                <w:tcPr>
                  <w:tcW w:w="438" w:type="pct"/>
                  <w:tcMar>
                    <w:top w:w="0" w:type="dxa"/>
                    <w:left w:w="28" w:type="dxa"/>
                    <w:bottom w:w="0" w:type="dxa"/>
                    <w:right w:w="28" w:type="dxa"/>
                  </w:tcMar>
                  <w:vAlign w:val="center"/>
                </w:tcPr>
                <w:p w14:paraId="3D71E0AD">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0.172</w:t>
                  </w:r>
                </w:p>
              </w:tc>
              <w:tc>
                <w:tcPr>
                  <w:tcW w:w="365" w:type="pct"/>
                  <w:tcMar>
                    <w:top w:w="0" w:type="dxa"/>
                    <w:left w:w="28" w:type="dxa"/>
                    <w:bottom w:w="0" w:type="dxa"/>
                    <w:right w:w="28" w:type="dxa"/>
                  </w:tcMar>
                  <w:vAlign w:val="center"/>
                </w:tcPr>
                <w:p w14:paraId="54C52BE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350" w:type="pct"/>
                  <w:tcMar>
                    <w:top w:w="0" w:type="dxa"/>
                    <w:left w:w="28" w:type="dxa"/>
                    <w:bottom w:w="0" w:type="dxa"/>
                    <w:right w:w="28" w:type="dxa"/>
                  </w:tcMar>
                  <w:vAlign w:val="center"/>
                </w:tcPr>
                <w:p w14:paraId="2B33368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28" w:type="pct"/>
                  <w:tcMar>
                    <w:top w:w="0" w:type="dxa"/>
                    <w:left w:w="28" w:type="dxa"/>
                    <w:bottom w:w="0" w:type="dxa"/>
                    <w:right w:w="28" w:type="dxa"/>
                  </w:tcMar>
                  <w:vAlign w:val="center"/>
                </w:tcPr>
                <w:p w14:paraId="66C0D168">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266" w:type="pct"/>
                  <w:tcMar>
                    <w:top w:w="0" w:type="dxa"/>
                    <w:left w:w="28" w:type="dxa"/>
                    <w:bottom w:w="0" w:type="dxa"/>
                    <w:right w:w="28" w:type="dxa"/>
                  </w:tcMar>
                  <w:vAlign w:val="center"/>
                </w:tcPr>
                <w:p w14:paraId="0E2E6B3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291" w:type="pct"/>
                  <w:tcMar>
                    <w:top w:w="0" w:type="dxa"/>
                    <w:left w:w="28" w:type="dxa"/>
                    <w:bottom w:w="0" w:type="dxa"/>
                    <w:right w:w="28" w:type="dxa"/>
                  </w:tcMar>
                  <w:vAlign w:val="center"/>
                </w:tcPr>
                <w:p w14:paraId="25D49838">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w:t>
                  </w:r>
                </w:p>
              </w:tc>
              <w:tc>
                <w:tcPr>
                  <w:tcW w:w="351" w:type="pct"/>
                  <w:tcMar>
                    <w:top w:w="0" w:type="dxa"/>
                    <w:left w:w="28" w:type="dxa"/>
                    <w:bottom w:w="0" w:type="dxa"/>
                    <w:right w:w="28" w:type="dxa"/>
                  </w:tcMar>
                  <w:vAlign w:val="center"/>
                </w:tcPr>
                <w:p w14:paraId="67E05164">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0.413</w:t>
                  </w:r>
                </w:p>
              </w:tc>
              <w:tc>
                <w:tcPr>
                  <w:tcW w:w="385" w:type="pct"/>
                  <w:tcMar>
                    <w:top w:w="0" w:type="dxa"/>
                    <w:left w:w="28" w:type="dxa"/>
                    <w:bottom w:w="0" w:type="dxa"/>
                    <w:right w:w="28" w:type="dxa"/>
                  </w:tcMar>
                  <w:vAlign w:val="center"/>
                </w:tcPr>
                <w:p w14:paraId="239F5A3F">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0.172</w:t>
                  </w:r>
                </w:p>
              </w:tc>
              <w:tc>
                <w:tcPr>
                  <w:tcW w:w="332" w:type="pct"/>
                  <w:tcMar>
                    <w:top w:w="0" w:type="dxa"/>
                    <w:left w:w="28" w:type="dxa"/>
                    <w:bottom w:w="0" w:type="dxa"/>
                    <w:right w:w="28" w:type="dxa"/>
                  </w:tcMar>
                  <w:vAlign w:val="center"/>
                </w:tcPr>
                <w:p w14:paraId="3355F27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263" w:type="pct"/>
                  <w:tcMar>
                    <w:top w:w="0" w:type="dxa"/>
                    <w:left w:w="28" w:type="dxa"/>
                    <w:bottom w:w="0" w:type="dxa"/>
                    <w:right w:w="28" w:type="dxa"/>
                  </w:tcMar>
                  <w:vAlign w:val="center"/>
                </w:tcPr>
                <w:p w14:paraId="03436EF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w:t>
                  </w:r>
                  <w:r>
                    <w:rPr>
                      <w:color w:val="000000" w:themeColor="text1"/>
                      <w:szCs w:val="21"/>
                      <w14:textFill>
                        <w14:solidFill>
                          <w14:schemeClr w14:val="tx1"/>
                        </w14:solidFill>
                      </w14:textFill>
                    </w:rPr>
                    <w:t>组织</w:t>
                  </w:r>
                </w:p>
              </w:tc>
            </w:tr>
            <w:tr w14:paraId="7179B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vMerge w:val="continue"/>
                  <w:tcMar>
                    <w:top w:w="0" w:type="dxa"/>
                    <w:left w:w="28" w:type="dxa"/>
                    <w:bottom w:w="0" w:type="dxa"/>
                    <w:right w:w="28" w:type="dxa"/>
                  </w:tcMar>
                  <w:vAlign w:val="center"/>
                </w:tcPr>
                <w:p w14:paraId="45C38F75">
                  <w:pPr>
                    <w:ind w:left="-105" w:leftChars="-50" w:right="-105" w:rightChars="-50"/>
                    <w:jc w:val="center"/>
                    <w:rPr>
                      <w:color w:val="7030A0"/>
                      <w:szCs w:val="21"/>
                    </w:rPr>
                  </w:pPr>
                </w:p>
              </w:tc>
              <w:tc>
                <w:tcPr>
                  <w:tcW w:w="270" w:type="pct"/>
                  <w:vMerge w:val="continue"/>
                  <w:tcMar>
                    <w:top w:w="0" w:type="dxa"/>
                    <w:left w:w="28" w:type="dxa"/>
                    <w:bottom w:w="0" w:type="dxa"/>
                    <w:right w:w="28" w:type="dxa"/>
                  </w:tcMar>
                  <w:vAlign w:val="center"/>
                </w:tcPr>
                <w:p w14:paraId="7A634DFF">
                  <w:pPr>
                    <w:ind w:left="-105" w:leftChars="-50" w:right="-105" w:rightChars="-50"/>
                    <w:jc w:val="center"/>
                    <w:rPr>
                      <w:color w:val="000000" w:themeColor="text1"/>
                      <w:szCs w:val="21"/>
                      <w14:textFill>
                        <w14:solidFill>
                          <w14:schemeClr w14:val="tx1"/>
                        </w14:solidFill>
                      </w14:textFill>
                    </w:rPr>
                  </w:pPr>
                </w:p>
              </w:tc>
              <w:tc>
                <w:tcPr>
                  <w:tcW w:w="350" w:type="pct"/>
                  <w:tcMar>
                    <w:top w:w="0" w:type="dxa"/>
                    <w:left w:w="28" w:type="dxa"/>
                    <w:bottom w:w="0" w:type="dxa"/>
                    <w:right w:w="28" w:type="dxa"/>
                  </w:tcMar>
                  <w:vAlign w:val="center"/>
                </w:tcPr>
                <w:p w14:paraId="4EB42F5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总VOC</w:t>
                  </w:r>
                  <w:r>
                    <w:rPr>
                      <w:color w:val="000000" w:themeColor="text1"/>
                      <w:szCs w:val="21"/>
                      <w14:textFill>
                        <w14:solidFill>
                          <w14:schemeClr w14:val="tx1"/>
                        </w14:solidFill>
                      </w14:textFill>
                    </w:rPr>
                    <w:t>s</w:t>
                  </w:r>
                </w:p>
              </w:tc>
              <w:tc>
                <w:tcPr>
                  <w:tcW w:w="324" w:type="pct"/>
                  <w:tcMar>
                    <w:top w:w="0" w:type="dxa"/>
                    <w:left w:w="28" w:type="dxa"/>
                    <w:bottom w:w="0" w:type="dxa"/>
                    <w:right w:w="28" w:type="dxa"/>
                  </w:tcMar>
                  <w:vAlign w:val="center"/>
                </w:tcPr>
                <w:p w14:paraId="7187FDA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07" w:type="pct"/>
                  <w:tcMar>
                    <w:top w:w="0" w:type="dxa"/>
                    <w:left w:w="28" w:type="dxa"/>
                    <w:bottom w:w="0" w:type="dxa"/>
                    <w:right w:w="28" w:type="dxa"/>
                  </w:tcMar>
                  <w:vAlign w:val="center"/>
                </w:tcPr>
                <w:p w14:paraId="091BF274">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0.199</w:t>
                  </w:r>
                </w:p>
              </w:tc>
              <w:tc>
                <w:tcPr>
                  <w:tcW w:w="438" w:type="pct"/>
                  <w:tcMar>
                    <w:top w:w="0" w:type="dxa"/>
                    <w:left w:w="28" w:type="dxa"/>
                    <w:bottom w:w="0" w:type="dxa"/>
                    <w:right w:w="28" w:type="dxa"/>
                  </w:tcMar>
                  <w:vAlign w:val="center"/>
                </w:tcPr>
                <w:p w14:paraId="1030F188">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0.083</w:t>
                  </w:r>
                </w:p>
              </w:tc>
              <w:tc>
                <w:tcPr>
                  <w:tcW w:w="365" w:type="pct"/>
                  <w:tcMar>
                    <w:top w:w="0" w:type="dxa"/>
                    <w:left w:w="28" w:type="dxa"/>
                    <w:bottom w:w="0" w:type="dxa"/>
                    <w:right w:w="28" w:type="dxa"/>
                  </w:tcMar>
                  <w:vAlign w:val="center"/>
                </w:tcPr>
                <w:p w14:paraId="40AEBA6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350" w:type="pct"/>
                  <w:tcMar>
                    <w:top w:w="0" w:type="dxa"/>
                    <w:left w:w="28" w:type="dxa"/>
                    <w:bottom w:w="0" w:type="dxa"/>
                    <w:right w:w="28" w:type="dxa"/>
                  </w:tcMar>
                  <w:vAlign w:val="center"/>
                </w:tcPr>
                <w:p w14:paraId="0A31227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28" w:type="pct"/>
                  <w:tcMar>
                    <w:top w:w="0" w:type="dxa"/>
                    <w:left w:w="28" w:type="dxa"/>
                    <w:bottom w:w="0" w:type="dxa"/>
                    <w:right w:w="28" w:type="dxa"/>
                  </w:tcMar>
                  <w:vAlign w:val="center"/>
                </w:tcPr>
                <w:p w14:paraId="1A04C39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266" w:type="pct"/>
                  <w:tcMar>
                    <w:top w:w="0" w:type="dxa"/>
                    <w:left w:w="28" w:type="dxa"/>
                    <w:bottom w:w="0" w:type="dxa"/>
                    <w:right w:w="28" w:type="dxa"/>
                  </w:tcMar>
                  <w:vAlign w:val="center"/>
                </w:tcPr>
                <w:p w14:paraId="43CF675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291" w:type="pct"/>
                  <w:tcMar>
                    <w:top w:w="0" w:type="dxa"/>
                    <w:left w:w="28" w:type="dxa"/>
                    <w:bottom w:w="0" w:type="dxa"/>
                    <w:right w:w="28" w:type="dxa"/>
                  </w:tcMar>
                  <w:vAlign w:val="center"/>
                </w:tcPr>
                <w:p w14:paraId="06BB7FDF">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w:t>
                  </w:r>
                </w:p>
              </w:tc>
              <w:tc>
                <w:tcPr>
                  <w:tcW w:w="351" w:type="pct"/>
                  <w:tcMar>
                    <w:top w:w="0" w:type="dxa"/>
                    <w:left w:w="28" w:type="dxa"/>
                    <w:bottom w:w="0" w:type="dxa"/>
                    <w:right w:w="28" w:type="dxa"/>
                  </w:tcMar>
                  <w:vAlign w:val="center"/>
                </w:tcPr>
                <w:p w14:paraId="622541A3">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0.199</w:t>
                  </w:r>
                </w:p>
              </w:tc>
              <w:tc>
                <w:tcPr>
                  <w:tcW w:w="385" w:type="pct"/>
                  <w:tcMar>
                    <w:top w:w="0" w:type="dxa"/>
                    <w:left w:w="28" w:type="dxa"/>
                    <w:bottom w:w="0" w:type="dxa"/>
                    <w:right w:w="28" w:type="dxa"/>
                  </w:tcMar>
                  <w:vAlign w:val="center"/>
                </w:tcPr>
                <w:p w14:paraId="4A53E9D3">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0.083</w:t>
                  </w:r>
                </w:p>
              </w:tc>
              <w:tc>
                <w:tcPr>
                  <w:tcW w:w="332" w:type="pct"/>
                  <w:tcMar>
                    <w:top w:w="0" w:type="dxa"/>
                    <w:left w:w="28" w:type="dxa"/>
                    <w:bottom w:w="0" w:type="dxa"/>
                    <w:right w:w="28" w:type="dxa"/>
                  </w:tcMar>
                  <w:vAlign w:val="center"/>
                </w:tcPr>
                <w:p w14:paraId="103E14CE">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263" w:type="pct"/>
                  <w:tcMar>
                    <w:top w:w="0" w:type="dxa"/>
                    <w:left w:w="28" w:type="dxa"/>
                    <w:bottom w:w="0" w:type="dxa"/>
                    <w:right w:w="28" w:type="dxa"/>
                  </w:tcMar>
                  <w:vAlign w:val="center"/>
                </w:tcPr>
                <w:p w14:paraId="38B0CB7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14:paraId="75571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tcMar>
                    <w:top w:w="0" w:type="dxa"/>
                    <w:left w:w="28" w:type="dxa"/>
                    <w:bottom w:w="0" w:type="dxa"/>
                    <w:right w:w="28" w:type="dxa"/>
                  </w:tcMar>
                  <w:vAlign w:val="center"/>
                </w:tcPr>
                <w:p w14:paraId="6D38448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70" w:type="pct"/>
                  <w:tcMar>
                    <w:top w:w="0" w:type="dxa"/>
                    <w:left w:w="28" w:type="dxa"/>
                    <w:bottom w:w="0" w:type="dxa"/>
                    <w:right w:w="28" w:type="dxa"/>
                  </w:tcMar>
                  <w:vAlign w:val="center"/>
                </w:tcPr>
                <w:p w14:paraId="22AAF23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批灰</w:t>
                  </w:r>
                </w:p>
              </w:tc>
              <w:tc>
                <w:tcPr>
                  <w:tcW w:w="350" w:type="pct"/>
                  <w:tcMar>
                    <w:top w:w="0" w:type="dxa"/>
                    <w:left w:w="28" w:type="dxa"/>
                    <w:bottom w:w="0" w:type="dxa"/>
                    <w:right w:w="28" w:type="dxa"/>
                  </w:tcMar>
                  <w:vAlign w:val="center"/>
                </w:tcPr>
                <w:p w14:paraId="131A56B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324" w:type="pct"/>
                  <w:tcMar>
                    <w:top w:w="0" w:type="dxa"/>
                    <w:left w:w="28" w:type="dxa"/>
                    <w:bottom w:w="0" w:type="dxa"/>
                    <w:right w:w="28" w:type="dxa"/>
                  </w:tcMar>
                  <w:vAlign w:val="center"/>
                </w:tcPr>
                <w:p w14:paraId="747C4E5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07" w:type="pct"/>
                  <w:tcMar>
                    <w:top w:w="0" w:type="dxa"/>
                    <w:left w:w="28" w:type="dxa"/>
                    <w:bottom w:w="0" w:type="dxa"/>
                    <w:right w:w="28" w:type="dxa"/>
                  </w:tcMar>
                  <w:vAlign w:val="center"/>
                </w:tcPr>
                <w:p w14:paraId="5FD6467B">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0.001</w:t>
                  </w:r>
                </w:p>
              </w:tc>
              <w:tc>
                <w:tcPr>
                  <w:tcW w:w="438" w:type="pct"/>
                  <w:tcMar>
                    <w:top w:w="0" w:type="dxa"/>
                    <w:left w:w="28" w:type="dxa"/>
                    <w:bottom w:w="0" w:type="dxa"/>
                    <w:right w:w="28" w:type="dxa"/>
                  </w:tcMar>
                  <w:vAlign w:val="center"/>
                </w:tcPr>
                <w:p w14:paraId="3A5AC5A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0.013</w:t>
                  </w:r>
                </w:p>
              </w:tc>
              <w:tc>
                <w:tcPr>
                  <w:tcW w:w="365" w:type="pct"/>
                  <w:tcMar>
                    <w:top w:w="0" w:type="dxa"/>
                    <w:left w:w="28" w:type="dxa"/>
                    <w:bottom w:w="0" w:type="dxa"/>
                    <w:right w:w="28" w:type="dxa"/>
                  </w:tcMar>
                  <w:vAlign w:val="center"/>
                </w:tcPr>
                <w:p w14:paraId="475DAA3A">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350" w:type="pct"/>
                  <w:tcMar>
                    <w:top w:w="0" w:type="dxa"/>
                    <w:left w:w="28" w:type="dxa"/>
                    <w:bottom w:w="0" w:type="dxa"/>
                    <w:right w:w="28" w:type="dxa"/>
                  </w:tcMar>
                  <w:vAlign w:val="center"/>
                </w:tcPr>
                <w:p w14:paraId="6F5857F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加强车间通风</w:t>
                  </w:r>
                </w:p>
              </w:tc>
              <w:tc>
                <w:tcPr>
                  <w:tcW w:w="228" w:type="pct"/>
                  <w:tcMar>
                    <w:top w:w="0" w:type="dxa"/>
                    <w:left w:w="28" w:type="dxa"/>
                    <w:bottom w:w="0" w:type="dxa"/>
                    <w:right w:w="28" w:type="dxa"/>
                  </w:tcMar>
                  <w:vAlign w:val="center"/>
                </w:tcPr>
                <w:p w14:paraId="2B34C52E">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266" w:type="pct"/>
                  <w:tcMar>
                    <w:top w:w="0" w:type="dxa"/>
                    <w:left w:w="28" w:type="dxa"/>
                    <w:bottom w:w="0" w:type="dxa"/>
                    <w:right w:w="28" w:type="dxa"/>
                  </w:tcMar>
                  <w:vAlign w:val="center"/>
                </w:tcPr>
                <w:p w14:paraId="227D2CC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291" w:type="pct"/>
                  <w:tcMar>
                    <w:top w:w="0" w:type="dxa"/>
                    <w:left w:w="28" w:type="dxa"/>
                    <w:bottom w:w="0" w:type="dxa"/>
                    <w:right w:w="28" w:type="dxa"/>
                  </w:tcMar>
                  <w:vAlign w:val="center"/>
                </w:tcPr>
                <w:p w14:paraId="372BE1E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51" w:type="pct"/>
                  <w:tcMar>
                    <w:top w:w="0" w:type="dxa"/>
                    <w:left w:w="28" w:type="dxa"/>
                    <w:bottom w:w="0" w:type="dxa"/>
                    <w:right w:w="28" w:type="dxa"/>
                  </w:tcMar>
                  <w:vAlign w:val="center"/>
                </w:tcPr>
                <w:p w14:paraId="29862E51">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0.001</w:t>
                  </w:r>
                </w:p>
              </w:tc>
              <w:tc>
                <w:tcPr>
                  <w:tcW w:w="385" w:type="pct"/>
                  <w:tcMar>
                    <w:top w:w="0" w:type="dxa"/>
                    <w:left w:w="28" w:type="dxa"/>
                    <w:bottom w:w="0" w:type="dxa"/>
                    <w:right w:w="28" w:type="dxa"/>
                  </w:tcMar>
                  <w:vAlign w:val="center"/>
                </w:tcPr>
                <w:p w14:paraId="1BAB9346">
                  <w:pPr>
                    <w:widowControl/>
                    <w:ind w:left="-105" w:leftChars="-50" w:right="-105" w:rightChars="-50"/>
                    <w:jc w:val="center"/>
                    <w:textAlignment w:val="center"/>
                    <w:rPr>
                      <w:color w:val="000000" w:themeColor="text1"/>
                      <w:kern w:val="0"/>
                      <w:sz w:val="20"/>
                      <w:szCs w:val="20"/>
                      <w14:textFill>
                        <w14:solidFill>
                          <w14:schemeClr w14:val="tx1"/>
                        </w14:solidFill>
                      </w14:textFill>
                    </w:rPr>
                  </w:pPr>
                  <w:r>
                    <w:rPr>
                      <w:rFonts w:hint="eastAsia"/>
                      <w:color w:val="000000" w:themeColor="text1"/>
                      <w:kern w:val="0"/>
                      <w:szCs w:val="21"/>
                      <w14:textFill>
                        <w14:solidFill>
                          <w14:schemeClr w14:val="tx1"/>
                        </w14:solidFill>
                      </w14:textFill>
                    </w:rPr>
                    <w:t>0.013</w:t>
                  </w:r>
                </w:p>
              </w:tc>
              <w:tc>
                <w:tcPr>
                  <w:tcW w:w="332" w:type="pct"/>
                  <w:tcMar>
                    <w:top w:w="0" w:type="dxa"/>
                    <w:left w:w="28" w:type="dxa"/>
                    <w:bottom w:w="0" w:type="dxa"/>
                    <w:right w:w="28" w:type="dxa"/>
                  </w:tcMar>
                  <w:vAlign w:val="center"/>
                </w:tcPr>
                <w:p w14:paraId="203DA09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263" w:type="pct"/>
                  <w:tcMar>
                    <w:top w:w="0" w:type="dxa"/>
                    <w:left w:w="28" w:type="dxa"/>
                    <w:bottom w:w="0" w:type="dxa"/>
                    <w:right w:w="28" w:type="dxa"/>
                  </w:tcMar>
                  <w:vAlign w:val="center"/>
                </w:tcPr>
                <w:p w14:paraId="7746E1F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14:paraId="79CA3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9" w:type="pct"/>
                  <w:tcMar>
                    <w:top w:w="0" w:type="dxa"/>
                    <w:left w:w="28" w:type="dxa"/>
                    <w:bottom w:w="0" w:type="dxa"/>
                    <w:right w:w="28" w:type="dxa"/>
                  </w:tcMar>
                  <w:vAlign w:val="center"/>
                </w:tcPr>
                <w:p w14:paraId="3BFB529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排放</w:t>
                  </w:r>
                </w:p>
                <w:p w14:paraId="339D3D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口</w:t>
                  </w:r>
                </w:p>
              </w:tc>
              <w:tc>
                <w:tcPr>
                  <w:tcW w:w="270" w:type="pct"/>
                  <w:tcMar>
                    <w:top w:w="0" w:type="dxa"/>
                    <w:left w:w="28" w:type="dxa"/>
                    <w:bottom w:w="0" w:type="dxa"/>
                    <w:right w:w="28" w:type="dxa"/>
                  </w:tcMar>
                  <w:vAlign w:val="center"/>
                </w:tcPr>
                <w:p w14:paraId="325FA41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员工食堂</w:t>
                  </w:r>
                </w:p>
              </w:tc>
              <w:tc>
                <w:tcPr>
                  <w:tcW w:w="350" w:type="pct"/>
                  <w:tcMar>
                    <w:top w:w="0" w:type="dxa"/>
                    <w:left w:w="28" w:type="dxa"/>
                    <w:bottom w:w="0" w:type="dxa"/>
                    <w:right w:w="28" w:type="dxa"/>
                  </w:tcMar>
                  <w:vAlign w:val="center"/>
                </w:tcPr>
                <w:p w14:paraId="1A2610D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w:t>
                  </w:r>
                </w:p>
                <w:p w14:paraId="4161F5A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324" w:type="pct"/>
                  <w:tcMar>
                    <w:top w:w="0" w:type="dxa"/>
                    <w:left w:w="28" w:type="dxa"/>
                    <w:bottom w:w="0" w:type="dxa"/>
                    <w:right w:w="28" w:type="dxa"/>
                  </w:tcMar>
                  <w:vAlign w:val="center"/>
                </w:tcPr>
                <w:p w14:paraId="661AF6A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4000</w:t>
                  </w:r>
                </w:p>
              </w:tc>
              <w:tc>
                <w:tcPr>
                  <w:tcW w:w="407" w:type="pct"/>
                  <w:tcMar>
                    <w:top w:w="0" w:type="dxa"/>
                    <w:left w:w="28" w:type="dxa"/>
                    <w:bottom w:w="0" w:type="dxa"/>
                    <w:right w:w="28" w:type="dxa"/>
                  </w:tcMar>
                  <w:vAlign w:val="center"/>
                </w:tcPr>
                <w:p w14:paraId="3375CB86">
                  <w:pPr>
                    <w:widowControl/>
                    <w:ind w:left="-105" w:leftChars="-50" w:right="-105" w:rightChars="-50"/>
                    <w:jc w:val="center"/>
                    <w:textAlignment w:val="center"/>
                    <w:rPr>
                      <w:color w:val="000000" w:themeColor="text1"/>
                      <w:kern w:val="0"/>
                      <w:sz w:val="20"/>
                      <w:szCs w:val="20"/>
                      <w14:textFill>
                        <w14:solidFill>
                          <w14:schemeClr w14:val="tx1"/>
                        </w14:solidFill>
                      </w14:textFill>
                    </w:rPr>
                  </w:pPr>
                  <w:r>
                    <w:rPr>
                      <w:color w:val="000000" w:themeColor="text1"/>
                      <w:kern w:val="0"/>
                      <w:sz w:val="20"/>
                      <w:szCs w:val="20"/>
                      <w14:textFill>
                        <w14:solidFill>
                          <w14:schemeClr w14:val="tx1"/>
                        </w14:solidFill>
                      </w14:textFill>
                    </w:rPr>
                    <w:t>0.00</w:t>
                  </w:r>
                  <w:r>
                    <w:rPr>
                      <w:rFonts w:hint="eastAsia"/>
                      <w:color w:val="000000" w:themeColor="text1"/>
                      <w:kern w:val="0"/>
                      <w:sz w:val="20"/>
                      <w:szCs w:val="20"/>
                      <w14:textFill>
                        <w14:solidFill>
                          <w14:schemeClr w14:val="tx1"/>
                        </w14:solidFill>
                      </w14:textFill>
                    </w:rPr>
                    <w:t>4</w:t>
                  </w:r>
                </w:p>
              </w:tc>
              <w:tc>
                <w:tcPr>
                  <w:tcW w:w="438" w:type="pct"/>
                  <w:tcMar>
                    <w:top w:w="0" w:type="dxa"/>
                    <w:left w:w="28" w:type="dxa"/>
                    <w:bottom w:w="0" w:type="dxa"/>
                    <w:right w:w="28" w:type="dxa"/>
                  </w:tcMar>
                  <w:vAlign w:val="center"/>
                </w:tcPr>
                <w:p w14:paraId="490D9F82">
                  <w:pPr>
                    <w:widowControl/>
                    <w:ind w:left="-105" w:leftChars="-50" w:right="-105" w:rightChars="-50"/>
                    <w:jc w:val="center"/>
                    <w:textAlignment w:val="center"/>
                    <w:rPr>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0</w:t>
                  </w:r>
                  <w:r>
                    <w:rPr>
                      <w:color w:val="000000" w:themeColor="text1"/>
                      <w:kern w:val="0"/>
                      <w:sz w:val="20"/>
                      <w:szCs w:val="20"/>
                      <w14:textFill>
                        <w14:solidFill>
                          <w14:schemeClr w14:val="tx1"/>
                        </w14:solidFill>
                      </w14:textFill>
                    </w:rPr>
                    <w:t>.00</w:t>
                  </w:r>
                  <w:r>
                    <w:rPr>
                      <w:rFonts w:hint="eastAsia"/>
                      <w:color w:val="000000" w:themeColor="text1"/>
                      <w:kern w:val="0"/>
                      <w:sz w:val="20"/>
                      <w:szCs w:val="20"/>
                      <w14:textFill>
                        <w14:solidFill>
                          <w14:schemeClr w14:val="tx1"/>
                        </w14:solidFill>
                      </w14:textFill>
                    </w:rPr>
                    <w:t>5</w:t>
                  </w:r>
                </w:p>
              </w:tc>
              <w:tc>
                <w:tcPr>
                  <w:tcW w:w="365" w:type="pct"/>
                  <w:tcMar>
                    <w:top w:w="0" w:type="dxa"/>
                    <w:left w:w="28" w:type="dxa"/>
                    <w:bottom w:w="0" w:type="dxa"/>
                    <w:right w:w="28" w:type="dxa"/>
                  </w:tcMar>
                  <w:vAlign w:val="center"/>
                </w:tcPr>
                <w:p w14:paraId="2AAD112C">
                  <w:pPr>
                    <w:widowControl/>
                    <w:ind w:left="-105" w:leftChars="-50" w:right="-105" w:rightChars="-50"/>
                    <w:jc w:val="center"/>
                    <w:textAlignment w:val="center"/>
                    <w:rPr>
                      <w:rFonts w:hint="eastAsia" w:ascii="宋体" w:hAnsi="宋体" w:cs="宋体"/>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1.13</w:t>
                  </w:r>
                </w:p>
              </w:tc>
              <w:tc>
                <w:tcPr>
                  <w:tcW w:w="350" w:type="pct"/>
                  <w:tcMar>
                    <w:top w:w="0" w:type="dxa"/>
                    <w:left w:w="28" w:type="dxa"/>
                    <w:bottom w:w="0" w:type="dxa"/>
                    <w:right w:w="28" w:type="dxa"/>
                  </w:tcMar>
                  <w:vAlign w:val="center"/>
                </w:tcPr>
                <w:p w14:paraId="4C78A1B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高效</w:t>
                  </w:r>
                </w:p>
                <w:p w14:paraId="4AE1F14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油烟</w:t>
                  </w:r>
                </w:p>
                <w:p w14:paraId="58F2294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净化</w:t>
                  </w:r>
                </w:p>
                <w:p w14:paraId="5D2665A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器</w:t>
                  </w:r>
                </w:p>
              </w:tc>
              <w:tc>
                <w:tcPr>
                  <w:tcW w:w="228" w:type="pct"/>
                  <w:tcMar>
                    <w:top w:w="0" w:type="dxa"/>
                    <w:left w:w="28" w:type="dxa"/>
                    <w:bottom w:w="0" w:type="dxa"/>
                    <w:right w:w="28" w:type="dxa"/>
                  </w:tcMar>
                  <w:vAlign w:val="center"/>
                </w:tcPr>
                <w:p w14:paraId="2515AD5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66" w:type="pct"/>
                  <w:tcMar>
                    <w:top w:w="0" w:type="dxa"/>
                    <w:left w:w="28" w:type="dxa"/>
                    <w:bottom w:w="0" w:type="dxa"/>
                    <w:right w:w="28" w:type="dxa"/>
                  </w:tcMar>
                  <w:vAlign w:val="center"/>
                </w:tcPr>
                <w:p w14:paraId="4BA823B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291" w:type="pct"/>
                  <w:tcMar>
                    <w:top w:w="0" w:type="dxa"/>
                    <w:left w:w="28" w:type="dxa"/>
                    <w:bottom w:w="0" w:type="dxa"/>
                    <w:right w:w="28" w:type="dxa"/>
                  </w:tcMar>
                  <w:vAlign w:val="center"/>
                </w:tcPr>
                <w:p w14:paraId="0C6E40E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351" w:type="pct"/>
                  <w:tcMar>
                    <w:top w:w="0" w:type="dxa"/>
                    <w:left w:w="28" w:type="dxa"/>
                    <w:bottom w:w="0" w:type="dxa"/>
                    <w:right w:w="28" w:type="dxa"/>
                  </w:tcMar>
                  <w:vAlign w:val="center"/>
                </w:tcPr>
                <w:p w14:paraId="7CBBA9B6">
                  <w:pPr>
                    <w:widowControl/>
                    <w:ind w:left="-105" w:leftChars="-50" w:right="-105" w:rightChars="-50"/>
                    <w:jc w:val="center"/>
                    <w:textAlignment w:val="center"/>
                    <w:rPr>
                      <w:color w:val="000000" w:themeColor="text1"/>
                      <w:kern w:val="0"/>
                      <w:sz w:val="20"/>
                      <w:szCs w:val="20"/>
                      <w14:textFill>
                        <w14:solidFill>
                          <w14:schemeClr w14:val="tx1"/>
                        </w14:solidFill>
                      </w14:textFill>
                    </w:rPr>
                  </w:pPr>
                  <w:r>
                    <w:rPr>
                      <w:color w:val="000000" w:themeColor="text1"/>
                      <w:kern w:val="0"/>
                      <w:sz w:val="20"/>
                      <w:szCs w:val="20"/>
                      <w14:textFill>
                        <w14:solidFill>
                          <w14:schemeClr w14:val="tx1"/>
                        </w14:solidFill>
                      </w14:textFill>
                    </w:rPr>
                    <w:t>0.00</w:t>
                  </w:r>
                  <w:r>
                    <w:rPr>
                      <w:rFonts w:hint="eastAsia"/>
                      <w:color w:val="000000" w:themeColor="text1"/>
                      <w:kern w:val="0"/>
                      <w:sz w:val="20"/>
                      <w:szCs w:val="20"/>
                      <w14:textFill>
                        <w14:solidFill>
                          <w14:schemeClr w14:val="tx1"/>
                        </w14:solidFill>
                      </w14:textFill>
                    </w:rPr>
                    <w:t>1</w:t>
                  </w:r>
                </w:p>
              </w:tc>
              <w:tc>
                <w:tcPr>
                  <w:tcW w:w="385" w:type="pct"/>
                  <w:tcMar>
                    <w:top w:w="0" w:type="dxa"/>
                    <w:left w:w="28" w:type="dxa"/>
                    <w:bottom w:w="0" w:type="dxa"/>
                    <w:right w:w="28" w:type="dxa"/>
                  </w:tcMar>
                  <w:vAlign w:val="center"/>
                </w:tcPr>
                <w:p w14:paraId="466AB13D">
                  <w:pPr>
                    <w:widowControl/>
                    <w:ind w:left="-105" w:leftChars="-50" w:right="-105" w:rightChars="-50"/>
                    <w:jc w:val="center"/>
                    <w:textAlignment w:val="center"/>
                    <w:rPr>
                      <w:color w:val="000000" w:themeColor="text1"/>
                      <w:kern w:val="0"/>
                      <w:sz w:val="20"/>
                      <w:szCs w:val="20"/>
                      <w14:textFill>
                        <w14:solidFill>
                          <w14:schemeClr w14:val="tx1"/>
                        </w14:solidFill>
                      </w14:textFill>
                    </w:rPr>
                  </w:pPr>
                  <w:r>
                    <w:rPr>
                      <w:color w:val="000000" w:themeColor="text1"/>
                      <w:kern w:val="0"/>
                      <w:sz w:val="20"/>
                      <w:szCs w:val="20"/>
                      <w14:textFill>
                        <w14:solidFill>
                          <w14:schemeClr w14:val="tx1"/>
                        </w14:solidFill>
                      </w14:textFill>
                    </w:rPr>
                    <w:t>0.00</w:t>
                  </w:r>
                  <w:r>
                    <w:rPr>
                      <w:rFonts w:hint="eastAsia"/>
                      <w:color w:val="000000" w:themeColor="text1"/>
                      <w:kern w:val="0"/>
                      <w:sz w:val="20"/>
                      <w:szCs w:val="20"/>
                      <w14:textFill>
                        <w14:solidFill>
                          <w14:schemeClr w14:val="tx1"/>
                        </w14:solidFill>
                      </w14:textFill>
                    </w:rPr>
                    <w:t>1</w:t>
                  </w:r>
                </w:p>
              </w:tc>
              <w:tc>
                <w:tcPr>
                  <w:tcW w:w="332" w:type="pct"/>
                  <w:tcMar>
                    <w:top w:w="0" w:type="dxa"/>
                    <w:left w:w="28" w:type="dxa"/>
                    <w:bottom w:w="0" w:type="dxa"/>
                    <w:right w:w="28" w:type="dxa"/>
                  </w:tcMar>
                  <w:vAlign w:val="center"/>
                </w:tcPr>
                <w:p w14:paraId="061E5066">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w:t>
                  </w:r>
                  <w:r>
                    <w:rPr>
                      <w:rFonts w:hint="eastAsia"/>
                      <w:color w:val="000000" w:themeColor="text1"/>
                      <w:kern w:val="0"/>
                      <w:szCs w:val="21"/>
                      <w14:textFill>
                        <w14:solidFill>
                          <w14:schemeClr w14:val="tx1"/>
                        </w14:solidFill>
                      </w14:textFill>
                    </w:rPr>
                    <w:t>28</w:t>
                  </w:r>
                </w:p>
              </w:tc>
              <w:tc>
                <w:tcPr>
                  <w:tcW w:w="263" w:type="pct"/>
                  <w:tcMar>
                    <w:top w:w="0" w:type="dxa"/>
                    <w:left w:w="28" w:type="dxa"/>
                    <w:bottom w:w="0" w:type="dxa"/>
                    <w:right w:w="28" w:type="dxa"/>
                  </w:tcMar>
                  <w:vAlign w:val="center"/>
                </w:tcPr>
                <w:p w14:paraId="53FF075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r>
            <w:bookmarkEnd w:id="6"/>
          </w:tbl>
          <w:p w14:paraId="5DD34133">
            <w:pPr>
              <w:pStyle w:val="160"/>
              <w:spacing w:before="156" w:beforeLines="50"/>
              <w:ind w:firstLine="482" w:firstLineChars="200"/>
              <w:rPr>
                <w:b/>
                <w:color w:val="000000" w:themeColor="text1"/>
                <w14:textFill>
                  <w14:solidFill>
                    <w14:schemeClr w14:val="tx1"/>
                  </w14:solidFill>
                </w14:textFill>
              </w:rPr>
            </w:pPr>
            <w:bookmarkStart w:id="7" w:name="_Hlk209170469"/>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核算过程</w:t>
            </w:r>
          </w:p>
          <w:p w14:paraId="0C791C45">
            <w:pPr>
              <w:pStyle w:val="160"/>
              <w:ind w:firstLine="482" w:firstLineChars="200"/>
              <w:rPr>
                <w:b/>
                <w:bCs/>
                <w:color w:val="000000" w:themeColor="text1"/>
                <w14:textFill>
                  <w14:solidFill>
                    <w14:schemeClr w14:val="tx1"/>
                  </w14:solidFill>
                </w14:textFill>
              </w:rPr>
            </w:pPr>
            <w:r>
              <w:rPr>
                <w:rStyle w:val="48"/>
                <w:b/>
                <w:bCs/>
                <w:color w:val="000000" w:themeColor="text1"/>
                <w:kern w:val="0"/>
                <w:sz w:val="24"/>
                <w14:textFill>
                  <w14:solidFill>
                    <w14:schemeClr w14:val="tx1"/>
                  </w14:solidFill>
                </w14:textFill>
              </w:rPr>
              <w:t>1</w:t>
            </w:r>
            <w:r>
              <w:rPr>
                <w:rStyle w:val="48"/>
                <w:rFonts w:hint="eastAsia"/>
                <w:b/>
                <w:bCs/>
                <w:color w:val="000000" w:themeColor="text1"/>
                <w:kern w:val="0"/>
                <w:sz w:val="24"/>
                <w14:textFill>
                  <w14:solidFill>
                    <w14:schemeClr w14:val="tx1"/>
                  </w14:solidFill>
                </w14:textFill>
              </w:rPr>
              <w:t>）开料、雕刻、</w:t>
            </w:r>
            <w:r>
              <w:rPr>
                <w:rFonts w:hint="eastAsia"/>
                <w:b/>
                <w:bCs/>
                <w:color w:val="000000" w:themeColor="text1"/>
                <w14:textFill>
                  <w14:solidFill>
                    <w14:schemeClr w14:val="tx1"/>
                  </w14:solidFill>
                </w14:textFill>
              </w:rPr>
              <w:t>打磨、切割、批灰、焊接</w:t>
            </w:r>
            <w:r>
              <w:rPr>
                <w:b/>
                <w:color w:val="000000" w:themeColor="text1"/>
                <w14:textFill>
                  <w14:solidFill>
                    <w14:schemeClr w14:val="tx1"/>
                  </w14:solidFill>
                </w14:textFill>
              </w:rPr>
              <w:t>工序产生的</w:t>
            </w:r>
            <w:r>
              <w:rPr>
                <w:rFonts w:hint="eastAsia"/>
                <w:b/>
                <w:color w:val="000000" w:themeColor="text1"/>
                <w14:textFill>
                  <w14:solidFill>
                    <w14:schemeClr w14:val="tx1"/>
                  </w14:solidFill>
                </w14:textFill>
              </w:rPr>
              <w:t>粉尘</w:t>
            </w:r>
          </w:p>
          <w:p w14:paraId="1D3E3545">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①开料、雕刻工序产生的粉尘</w:t>
            </w:r>
          </w:p>
          <w:p w14:paraId="768E665D">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项目木制品开料、雕刻工序产生粉尘。参考《排放源统计调查产排污核算方法和系数手册》中《2</w:t>
            </w:r>
            <w:r>
              <w:rPr>
                <w:bCs/>
                <w:color w:val="000000" w:themeColor="text1"/>
                <w:sz w:val="24"/>
                <w14:textFill>
                  <w14:solidFill>
                    <w14:schemeClr w14:val="tx1"/>
                  </w14:solidFill>
                </w14:textFill>
              </w:rPr>
              <w:t>03</w:t>
            </w:r>
            <w:r>
              <w:rPr>
                <w:rFonts w:hint="eastAsia"/>
                <w:bCs/>
                <w:color w:val="000000" w:themeColor="text1"/>
                <w:sz w:val="24"/>
                <w14:textFill>
                  <w14:solidFill>
                    <w14:schemeClr w14:val="tx1"/>
                  </w14:solidFill>
                </w14:textFill>
              </w:rPr>
              <w:t>木质制品制造行业系数手册》中“2</w:t>
            </w:r>
            <w:r>
              <w:rPr>
                <w:bCs/>
                <w:color w:val="000000" w:themeColor="text1"/>
                <w:sz w:val="24"/>
                <w14:textFill>
                  <w14:solidFill>
                    <w14:schemeClr w14:val="tx1"/>
                  </w14:solidFill>
                </w14:textFill>
              </w:rPr>
              <w:t>03</w:t>
            </w:r>
            <w:r>
              <w:rPr>
                <w:rFonts w:hint="eastAsia"/>
                <w:bCs/>
                <w:color w:val="000000" w:themeColor="text1"/>
                <w:sz w:val="24"/>
                <w14:textFill>
                  <w14:solidFill>
                    <w14:schemeClr w14:val="tx1"/>
                  </w14:solidFill>
                </w14:textFill>
              </w:rPr>
              <w:t>木质制品制造行业系数表”，使用木材生产建筑用木料、实木地板、其他木制品（木制容器、软木制品）下料（切割、旋切）工序颗粒物的产生量为2</w:t>
            </w:r>
            <w:r>
              <w:rPr>
                <w:bCs/>
                <w:color w:val="000000" w:themeColor="text1"/>
                <w:sz w:val="24"/>
                <w14:textFill>
                  <w14:solidFill>
                    <w14:schemeClr w14:val="tx1"/>
                  </w14:solidFill>
                </w14:textFill>
              </w:rPr>
              <w:t>45</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10</w:t>
            </w:r>
            <w:r>
              <w:rPr>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千克/立方米产品。项目使用板材原料使用量为20</w:t>
            </w:r>
            <w:r>
              <w:rPr>
                <w:bCs/>
                <w:color w:val="000000" w:themeColor="text1"/>
                <w:sz w:val="24"/>
                <w14:textFill>
                  <w14:solidFill>
                    <w14:schemeClr w14:val="tx1"/>
                  </w14:solidFill>
                </w14:textFill>
              </w:rPr>
              <w:t>00</w:t>
            </w:r>
            <w:r>
              <w:rPr>
                <w:rFonts w:hint="eastAsia"/>
                <w:bCs/>
                <w:color w:val="000000" w:themeColor="text1"/>
                <w:sz w:val="24"/>
                <w14:textFill>
                  <w14:solidFill>
                    <w14:schemeClr w14:val="tx1"/>
                  </w14:solidFill>
                </w14:textFill>
              </w:rPr>
              <w:t>t</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a，除去木材边角料及加工损失，生产木制品配件约为1960t</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a，项目使用的板材在0</w:t>
            </w:r>
            <w:r>
              <w:rPr>
                <w:bCs/>
                <w:color w:val="000000" w:themeColor="text1"/>
                <w:sz w:val="24"/>
                <w14:textFill>
                  <w14:solidFill>
                    <w14:schemeClr w14:val="tx1"/>
                  </w14:solidFill>
                </w14:textFill>
              </w:rPr>
              <w:t>.65</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0.80</w:t>
            </w:r>
            <w:r>
              <w:rPr>
                <w:rFonts w:hint="eastAsia"/>
                <w:bCs/>
                <w:color w:val="000000" w:themeColor="text1"/>
                <w:sz w:val="24"/>
                <w14:textFill>
                  <w14:solidFill>
                    <w14:schemeClr w14:val="tx1"/>
                  </w14:solidFill>
                </w14:textFill>
              </w:rPr>
              <w:t xml:space="preserve"> g</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cm</w:t>
            </w:r>
            <w:r>
              <w:rPr>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之间，平均密度取0</w:t>
            </w:r>
            <w:r>
              <w:rPr>
                <w:bCs/>
                <w:color w:val="000000" w:themeColor="text1"/>
                <w:sz w:val="24"/>
                <w14:textFill>
                  <w14:solidFill>
                    <w14:schemeClr w14:val="tx1"/>
                  </w14:solidFill>
                </w14:textFill>
              </w:rPr>
              <w:t>.7</w:t>
            </w:r>
            <w:r>
              <w:rPr>
                <w:rFonts w:hint="eastAsia"/>
                <w:bCs/>
                <w:color w:val="000000" w:themeColor="text1"/>
                <w:sz w:val="24"/>
                <w14:textFill>
                  <w14:solidFill>
                    <w14:schemeClr w14:val="tx1"/>
                  </w14:solidFill>
                </w14:textFill>
              </w:rPr>
              <w:t>g</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cm</w:t>
            </w:r>
            <w:r>
              <w:rPr>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，则木制品配件产量为为280</w:t>
            </w:r>
            <w:r>
              <w:rPr>
                <w:bCs/>
                <w:color w:val="000000" w:themeColor="text1"/>
                <w:sz w:val="24"/>
                <w14:textFill>
                  <w14:solidFill>
                    <w14:schemeClr w14:val="tx1"/>
                  </w14:solidFill>
                </w14:textFill>
              </w:rPr>
              <w:t>0</w:t>
            </w:r>
            <w:r>
              <w:rPr>
                <w:rFonts w:hint="eastAsia"/>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a，因此项目开料、雕刻工序产生粉尘量为0</w:t>
            </w:r>
            <w:r>
              <w:rPr>
                <w:bCs/>
                <w:color w:val="000000" w:themeColor="text1"/>
                <w:sz w:val="24"/>
                <w14:textFill>
                  <w14:solidFill>
                    <w14:schemeClr w14:val="tx1"/>
                  </w14:solidFill>
                </w14:textFill>
              </w:rPr>
              <w:t>.0</w:t>
            </w:r>
            <w:r>
              <w:rPr>
                <w:rFonts w:hint="eastAsia"/>
                <w:bCs/>
                <w:color w:val="000000" w:themeColor="text1"/>
                <w:sz w:val="24"/>
                <w14:textFill>
                  <w14:solidFill>
                    <w14:schemeClr w14:val="tx1"/>
                  </w14:solidFill>
                </w14:textFill>
              </w:rPr>
              <w:t>69t</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a。</w:t>
            </w:r>
          </w:p>
          <w:p w14:paraId="4FF9F6DE">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②打磨工序产生的粉尘</w:t>
            </w:r>
          </w:p>
          <w:p w14:paraId="438090DE">
            <w:pPr>
              <w:pStyle w:val="160"/>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项目木制品雕刻后需进行打磨，以利于上漆，打磨工序产生粉尘。参考《排放源统计调查产排污核算方法和系数手册》中《2</w:t>
            </w:r>
            <w:r>
              <w:rPr>
                <w:bCs/>
                <w:color w:val="000000" w:themeColor="text1"/>
                <w14:textFill>
                  <w14:solidFill>
                    <w14:schemeClr w14:val="tx1"/>
                  </w14:solidFill>
                </w14:textFill>
              </w:rPr>
              <w:t>03</w:t>
            </w:r>
            <w:r>
              <w:rPr>
                <w:rFonts w:hint="eastAsia"/>
                <w:bCs/>
                <w:color w:val="000000" w:themeColor="text1"/>
                <w14:textFill>
                  <w14:solidFill>
                    <w14:schemeClr w14:val="tx1"/>
                  </w14:solidFill>
                </w14:textFill>
              </w:rPr>
              <w:t>木质制品制造行业系数手册》中“2</w:t>
            </w:r>
            <w:r>
              <w:rPr>
                <w:bCs/>
                <w:color w:val="000000" w:themeColor="text1"/>
                <w14:textFill>
                  <w14:solidFill>
                    <w14:schemeClr w14:val="tx1"/>
                  </w14:solidFill>
                </w14:textFill>
              </w:rPr>
              <w:t>03</w:t>
            </w:r>
            <w:r>
              <w:rPr>
                <w:rFonts w:hint="eastAsia"/>
                <w:bCs/>
                <w:color w:val="000000" w:themeColor="text1"/>
                <w14:textFill>
                  <w14:solidFill>
                    <w14:schemeClr w14:val="tx1"/>
                  </w14:solidFill>
                </w14:textFill>
              </w:rPr>
              <w:t>木质制品制造行业系数表”，使用木材生产其他木制品木制容器、软木制品）砂光/打磨工序颗粒物的产生量为1</w:t>
            </w:r>
            <w:r>
              <w:rPr>
                <w:bCs/>
                <w:color w:val="000000" w:themeColor="text1"/>
                <w14:textFill>
                  <w14:solidFill>
                    <w14:schemeClr w14:val="tx1"/>
                  </w14:solidFill>
                </w14:textFill>
              </w:rPr>
              <w:t>.52</w:t>
            </w:r>
            <w:r>
              <w:rPr>
                <w:rFonts w:hint="eastAsia"/>
                <w:bCs/>
                <w:color w:val="000000" w:themeColor="text1"/>
                <w14:textFill>
                  <w14:solidFill>
                    <w14:schemeClr w14:val="tx1"/>
                  </w14:solidFill>
                </w14:textFill>
              </w:rPr>
              <w:t>千克/立方米产品。项目使用板材原料使用量为20</w:t>
            </w:r>
            <w:r>
              <w:rPr>
                <w:bCs/>
                <w:color w:val="000000" w:themeColor="text1"/>
                <w14:textFill>
                  <w14:solidFill>
                    <w14:schemeClr w14:val="tx1"/>
                  </w14:solidFill>
                </w14:textFill>
              </w:rPr>
              <w:t>00</w:t>
            </w:r>
            <w:r>
              <w:rPr>
                <w:rFonts w:hint="eastAsia"/>
                <w:bCs/>
                <w:color w:val="000000" w:themeColor="text1"/>
                <w14:textFill>
                  <w14:solidFill>
                    <w14:schemeClr w14:val="tx1"/>
                  </w14:solidFill>
                </w14:textFill>
              </w:rPr>
              <w:t>t</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a，除去木材边角料及加工损失，木制品配件产量约为196</w:t>
            </w: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t</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a，项目使用的板材在0</w:t>
            </w:r>
            <w:r>
              <w:rPr>
                <w:bCs/>
                <w:color w:val="000000" w:themeColor="text1"/>
                <w14:textFill>
                  <w14:solidFill>
                    <w14:schemeClr w14:val="tx1"/>
                  </w14:solidFill>
                </w14:textFill>
              </w:rPr>
              <w:t>.65</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0.80</w:t>
            </w:r>
            <w:r>
              <w:rPr>
                <w:rFonts w:hint="eastAsia"/>
                <w:bCs/>
                <w:color w:val="000000" w:themeColor="text1"/>
                <w14:textFill>
                  <w14:solidFill>
                    <w14:schemeClr w14:val="tx1"/>
                  </w14:solidFill>
                </w14:textFill>
              </w:rPr>
              <w:t xml:space="preserve"> g</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cm</w:t>
            </w:r>
            <w:r>
              <w:rPr>
                <w:bCs/>
                <w:color w:val="000000" w:themeColor="text1"/>
                <w:vertAlign w:val="superscript"/>
                <w14:textFill>
                  <w14:solidFill>
                    <w14:schemeClr w14:val="tx1"/>
                  </w14:solidFill>
                </w14:textFill>
              </w:rPr>
              <w:t>3</w:t>
            </w:r>
            <w:r>
              <w:rPr>
                <w:rFonts w:hint="eastAsia"/>
                <w:bCs/>
                <w:color w:val="000000" w:themeColor="text1"/>
                <w14:textFill>
                  <w14:solidFill>
                    <w14:schemeClr w14:val="tx1"/>
                  </w14:solidFill>
                </w14:textFill>
              </w:rPr>
              <w:t>之间，平均密度取0</w:t>
            </w:r>
            <w:r>
              <w:rPr>
                <w:bCs/>
                <w:color w:val="000000" w:themeColor="text1"/>
                <w14:textFill>
                  <w14:solidFill>
                    <w14:schemeClr w14:val="tx1"/>
                  </w14:solidFill>
                </w14:textFill>
              </w:rPr>
              <w:t>.7</w:t>
            </w:r>
            <w:r>
              <w:rPr>
                <w:rFonts w:hint="eastAsia"/>
                <w:bCs/>
                <w:color w:val="000000" w:themeColor="text1"/>
                <w14:textFill>
                  <w14:solidFill>
                    <w14:schemeClr w14:val="tx1"/>
                  </w14:solidFill>
                </w14:textFill>
              </w:rPr>
              <w:t>g</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cm</w:t>
            </w:r>
            <w:r>
              <w:rPr>
                <w:bCs/>
                <w:color w:val="000000" w:themeColor="text1"/>
                <w:vertAlign w:val="superscript"/>
                <w14:textFill>
                  <w14:solidFill>
                    <w14:schemeClr w14:val="tx1"/>
                  </w14:solidFill>
                </w14:textFill>
              </w:rPr>
              <w:t>3</w:t>
            </w:r>
            <w:r>
              <w:rPr>
                <w:rFonts w:hint="eastAsia"/>
                <w:bCs/>
                <w:color w:val="000000" w:themeColor="text1"/>
                <w14:textFill>
                  <w14:solidFill>
                    <w14:schemeClr w14:val="tx1"/>
                  </w14:solidFill>
                </w14:textFill>
              </w:rPr>
              <w:t>，则木制品配件产量为28</w:t>
            </w:r>
            <w:r>
              <w:rPr>
                <w:bCs/>
                <w:color w:val="000000" w:themeColor="text1"/>
                <w14:textFill>
                  <w14:solidFill>
                    <w14:schemeClr w14:val="tx1"/>
                  </w14:solidFill>
                </w14:textFill>
              </w:rPr>
              <w:t>00</w:t>
            </w:r>
            <w:r>
              <w:rPr>
                <w:rFonts w:hint="eastAsia"/>
                <w:bCs/>
                <w:color w:val="000000" w:themeColor="text1"/>
                <w14:textFill>
                  <w14:solidFill>
                    <w14:schemeClr w14:val="tx1"/>
                  </w14:solidFill>
                </w14:textFill>
              </w:rPr>
              <w:t>m</w:t>
            </w:r>
            <w:r>
              <w:rPr>
                <w:bCs/>
                <w:color w:val="000000" w:themeColor="text1"/>
                <w:vertAlign w:val="superscript"/>
                <w14:textFill>
                  <w14:solidFill>
                    <w14:schemeClr w14:val="tx1"/>
                  </w14:solidFill>
                </w14:textFill>
              </w:rPr>
              <w:t>3</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a，因项目打磨工序粉尘的产生量为4.256t</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a。</w:t>
            </w:r>
          </w:p>
          <w:p w14:paraId="364275E8">
            <w:pPr>
              <w:pStyle w:val="160"/>
              <w:ind w:firstLine="48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③切割工序产生的粉尘</w:t>
            </w:r>
          </w:p>
          <w:p w14:paraId="2EB2164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切割工序</w:t>
            </w:r>
            <w:r>
              <w:rPr>
                <w:color w:val="000000" w:themeColor="text1"/>
                <w:sz w:val="24"/>
                <w14:textFill>
                  <w14:solidFill>
                    <w14:schemeClr w14:val="tx1"/>
                  </w14:solidFill>
                </w14:textFill>
              </w:rPr>
              <w:t>产生金属粉尘，根据《排放源统计调查产排污核算方法和系数手册》中</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33-27、431-434机械行业系数手册</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04</w:t>
            </w:r>
            <w:r>
              <w:rPr>
                <w:rFonts w:hint="eastAsia"/>
                <w:color w:val="000000" w:themeColor="text1"/>
                <w:sz w:val="24"/>
                <w14:textFill>
                  <w14:solidFill>
                    <w14:schemeClr w14:val="tx1"/>
                  </w14:solidFill>
                </w14:textFill>
              </w:rPr>
              <w:t>下料，锯床、砂轮切割机切割颗粒物</w:t>
            </w:r>
            <w:r>
              <w:rPr>
                <w:color w:val="000000" w:themeColor="text1"/>
                <w:sz w:val="24"/>
                <w14:textFill>
                  <w14:solidFill>
                    <w14:schemeClr w14:val="tx1"/>
                  </w14:solidFill>
                </w14:textFill>
              </w:rPr>
              <w:t>废气的产污系数5.30千克/吨-原料，项目</w:t>
            </w:r>
            <w:r>
              <w:rPr>
                <w:rFonts w:hint="eastAsia"/>
                <w:color w:val="000000" w:themeColor="text1"/>
                <w:sz w:val="24"/>
                <w14:textFill>
                  <w14:solidFill>
                    <w14:schemeClr w14:val="tx1"/>
                  </w14:solidFill>
                </w14:textFill>
              </w:rPr>
              <w:t>铁管</w:t>
            </w:r>
            <w:r>
              <w:rPr>
                <w:color w:val="000000" w:themeColor="text1"/>
                <w:sz w:val="24"/>
                <w14:textFill>
                  <w14:solidFill>
                    <w14:schemeClr w14:val="tx1"/>
                  </w14:solidFill>
                </w14:textFill>
              </w:rPr>
              <w:t>用量为</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0t/a，则本项目金属</w:t>
            </w:r>
            <w:r>
              <w:rPr>
                <w:rFonts w:hint="eastAsia"/>
                <w:color w:val="000000" w:themeColor="text1"/>
                <w:sz w:val="24"/>
                <w14:textFill>
                  <w14:solidFill>
                    <w14:schemeClr w14:val="tx1"/>
                  </w14:solidFill>
                </w14:textFill>
              </w:rPr>
              <w:t>粉尘</w:t>
            </w:r>
            <w:r>
              <w:rPr>
                <w:color w:val="000000" w:themeColor="text1"/>
                <w:sz w:val="24"/>
                <w14:textFill>
                  <w14:solidFill>
                    <w14:schemeClr w14:val="tx1"/>
                  </w14:solidFill>
                </w14:textFill>
              </w:rPr>
              <w:t>产生量约为</w:t>
            </w:r>
            <w:r>
              <w:rPr>
                <w:rFonts w:hint="eastAsia"/>
                <w:color w:val="000000" w:themeColor="text1"/>
                <w:sz w:val="24"/>
                <w14:textFill>
                  <w14:solidFill>
                    <w14:schemeClr w14:val="tx1"/>
                  </w14:solidFill>
                </w14:textFill>
              </w:rPr>
              <w:t>0.212</w:t>
            </w:r>
            <w:r>
              <w:rPr>
                <w:color w:val="000000" w:themeColor="text1"/>
                <w:sz w:val="24"/>
                <w14:textFill>
                  <w14:solidFill>
                    <w14:schemeClr w14:val="tx1"/>
                  </w14:solidFill>
                </w14:textFill>
              </w:rPr>
              <w:t>t/a。</w:t>
            </w:r>
          </w:p>
          <w:p w14:paraId="322A94A3">
            <w:pPr>
              <w:pStyle w:val="160"/>
              <w:ind w:firstLine="48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④批灰工序产生的粉尘</w:t>
            </w:r>
          </w:p>
          <w:p w14:paraId="29925706">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批灰工序需要对腻子粉加水进行调配，腻子粉为粉状，人工调配过程产生少量粉尘，参考《逸散性工业粉尘控制技术》（中国环境科学出版社）第109页，表3-1，石灰生产的逸散尘排放因子，石灰石输送和转运粉尘排放因子为0.4kg/t（石灰），本项目使用腻子粉有2.4t/a，则混料粉尘产生量约为0.001t/a，腻子调配每天进行一次调配，一次约为15分钟，则年工作时间75h，粉尘产生速率为0.013kg/h。批灰项目使用腻子对工件表面不平整的位置进行填补和找平，使用量较少，产生的粉尘在车间以无组织形式排放。</w:t>
            </w:r>
          </w:p>
          <w:p w14:paraId="44655B29">
            <w:pPr>
              <w:pStyle w:val="160"/>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2）焊接工序产生的焊接烟尘</w:t>
            </w:r>
          </w:p>
          <w:p w14:paraId="7F6709E9">
            <w:pPr>
              <w:spacing w:line="360" w:lineRule="auto"/>
              <w:ind w:firstLine="480" w:firstLineChars="200"/>
              <w:rPr>
                <w:color w:val="000000" w:themeColor="text1"/>
                <w14:textFill>
                  <w14:solidFill>
                    <w14:schemeClr w14:val="tx1"/>
                  </w14:solidFill>
                </w14:textFill>
              </w:rPr>
            </w:pPr>
            <w:r>
              <w:rPr>
                <w:rFonts w:hint="eastAsia"/>
                <w:bCs/>
                <w:color w:val="000000" w:themeColor="text1"/>
                <w:sz w:val="24"/>
                <w14:textFill>
                  <w14:solidFill>
                    <w14:schemeClr w14:val="tx1"/>
                  </w14:solidFill>
                </w14:textFill>
              </w:rPr>
              <w:t>本项目焊接工序产生焊接烟尘，以颗粒物、</w:t>
            </w:r>
            <w:r>
              <w:rPr>
                <w:rFonts w:hint="eastAsia"/>
                <w:color w:val="000000" w:themeColor="text1"/>
                <w:sz w:val="24"/>
                <w14:textFill>
                  <w14:solidFill>
                    <w14:schemeClr w14:val="tx1"/>
                  </w14:solidFill>
                </w14:textFill>
              </w:rPr>
              <w:t>锰及其化合物</w:t>
            </w:r>
            <w:r>
              <w:rPr>
                <w:rFonts w:hint="eastAsia"/>
                <w:bCs/>
                <w:color w:val="000000" w:themeColor="text1"/>
                <w:sz w:val="24"/>
                <w14:textFill>
                  <w14:solidFill>
                    <w14:schemeClr w14:val="tx1"/>
                  </w14:solidFill>
                </w14:textFill>
              </w:rPr>
              <w:t>为表征。根据建设单位提供的资料，项目焊丝的年用量为</w:t>
            </w:r>
            <w:r>
              <w:rPr>
                <w:bCs/>
                <w:color w:val="000000" w:themeColor="text1"/>
                <w:sz w:val="24"/>
                <w14:textFill>
                  <w14:solidFill>
                    <w14:schemeClr w14:val="tx1"/>
                  </w14:solidFill>
                </w14:textFill>
              </w:rPr>
              <w:t>0.5</w:t>
            </w:r>
            <w:r>
              <w:rPr>
                <w:rFonts w:hint="eastAsia"/>
                <w:bCs/>
                <w:color w:val="000000" w:themeColor="text1"/>
                <w:sz w:val="24"/>
                <w14:textFill>
                  <w14:solidFill>
                    <w14:schemeClr w14:val="tx1"/>
                  </w14:solidFill>
                </w14:textFill>
              </w:rPr>
              <w:t>t。根据《焊接工程师手册》（第2版，陈祝年编著），焊接材料的发尘量为2g/kg~5g/kg，项目烟尘产生系数取5g/kg，则项目焊接烟尘产生量为0.003t/a，项目每天焊接工作时长平均约为</w:t>
            </w:r>
            <w:r>
              <w:rPr>
                <w:bCs/>
                <w:color w:val="000000" w:themeColor="text1"/>
                <w:sz w:val="24"/>
                <w14:textFill>
                  <w14:solidFill>
                    <w14:schemeClr w14:val="tx1"/>
                  </w14:solidFill>
                </w14:textFill>
              </w:rPr>
              <w:t>1</w:t>
            </w:r>
            <w:r>
              <w:rPr>
                <w:rFonts w:hint="eastAsia"/>
                <w:bCs/>
                <w:color w:val="000000" w:themeColor="text1"/>
                <w:sz w:val="24"/>
                <w14:textFill>
                  <w14:solidFill>
                    <w14:schemeClr w14:val="tx1"/>
                  </w14:solidFill>
                </w14:textFill>
              </w:rPr>
              <w:t>h，因此年焊接工作约为</w:t>
            </w:r>
            <w:r>
              <w:rPr>
                <w:bCs/>
                <w:color w:val="000000" w:themeColor="text1"/>
                <w:sz w:val="24"/>
                <w14:textFill>
                  <w14:solidFill>
                    <w14:schemeClr w14:val="tx1"/>
                  </w14:solidFill>
                </w14:textFill>
              </w:rPr>
              <w:t>300</w:t>
            </w:r>
            <w:r>
              <w:rPr>
                <w:rFonts w:hint="eastAsia"/>
                <w:bCs/>
                <w:color w:val="000000" w:themeColor="text1"/>
                <w:sz w:val="24"/>
                <w14:textFill>
                  <w14:solidFill>
                    <w14:schemeClr w14:val="tx1"/>
                  </w14:solidFill>
                </w14:textFill>
              </w:rPr>
              <w:t>h，因此产生速率为0.00</w:t>
            </w:r>
            <w:r>
              <w:rPr>
                <w:bCs/>
                <w:color w:val="000000" w:themeColor="text1"/>
                <w:sz w:val="24"/>
                <w14:textFill>
                  <w14:solidFill>
                    <w14:schemeClr w14:val="tx1"/>
                  </w14:solidFill>
                </w14:textFill>
              </w:rPr>
              <w:t>8</w:t>
            </w:r>
            <w:r>
              <w:rPr>
                <w:rFonts w:hint="eastAsia"/>
                <w:bCs/>
                <w:color w:val="000000" w:themeColor="text1"/>
                <w:sz w:val="24"/>
                <w14:textFill>
                  <w14:solidFill>
                    <w14:schemeClr w14:val="tx1"/>
                  </w14:solidFill>
                </w14:textFill>
              </w:rPr>
              <w:t>kg/h。焊接产生主要的污染物有Fe</w:t>
            </w:r>
            <w:r>
              <w:rPr>
                <w:rFonts w:hint="eastAsia"/>
                <w:bCs/>
                <w:color w:val="000000" w:themeColor="text1"/>
                <w:sz w:val="24"/>
                <w:vertAlign w:val="subscript"/>
                <w14:textFill>
                  <w14:solidFill>
                    <w14:schemeClr w14:val="tx1"/>
                  </w14:solidFill>
                </w14:textFill>
              </w:rPr>
              <w:t>2</w:t>
            </w:r>
            <w:r>
              <w:rPr>
                <w:rFonts w:hint="eastAsia"/>
                <w:bCs/>
                <w:color w:val="000000" w:themeColor="text1"/>
                <w:sz w:val="24"/>
                <w14:textFill>
                  <w14:solidFill>
                    <w14:schemeClr w14:val="tx1"/>
                  </w14:solidFill>
                </w14:textFill>
              </w:rPr>
              <w:t>O</w:t>
            </w:r>
            <w:r>
              <w:rPr>
                <w:rFonts w:hint="eastAsia"/>
                <w:bCs/>
                <w:color w:val="000000" w:themeColor="text1"/>
                <w:sz w:val="24"/>
                <w:vertAlign w:val="subscript"/>
                <w14:textFill>
                  <w14:solidFill>
                    <w14:schemeClr w14:val="tx1"/>
                  </w14:solidFill>
                </w14:textFill>
              </w:rPr>
              <w:t>3</w:t>
            </w:r>
            <w:r>
              <w:rPr>
                <w:rFonts w:hint="eastAsia"/>
                <w:bCs/>
                <w:color w:val="000000" w:themeColor="text1"/>
                <w:sz w:val="24"/>
                <w14:textFill>
                  <w14:solidFill>
                    <w14:schemeClr w14:val="tx1"/>
                  </w14:solidFill>
                </w14:textFill>
              </w:rPr>
              <w:t>、MnO</w:t>
            </w:r>
            <w:r>
              <w:rPr>
                <w:rFonts w:hint="eastAsia"/>
                <w:bCs/>
                <w:color w:val="000000" w:themeColor="text1"/>
                <w:sz w:val="24"/>
                <w:vertAlign w:val="subscript"/>
                <w14:textFill>
                  <w14:solidFill>
                    <w14:schemeClr w14:val="tx1"/>
                  </w14:solidFill>
                </w14:textFill>
              </w:rPr>
              <w:t>2</w:t>
            </w:r>
            <w:r>
              <w:rPr>
                <w:rFonts w:hint="eastAsia"/>
                <w:bCs/>
                <w:color w:val="000000" w:themeColor="text1"/>
                <w:sz w:val="24"/>
                <w14:textFill>
                  <w14:solidFill>
                    <w14:schemeClr w14:val="tx1"/>
                  </w14:solidFill>
                </w14:textFill>
              </w:rPr>
              <w:t>等金属粉尘和CO、O</w:t>
            </w:r>
            <w:r>
              <w:rPr>
                <w:rFonts w:hint="eastAsia"/>
                <w:bCs/>
                <w:color w:val="000000" w:themeColor="text1"/>
                <w:sz w:val="24"/>
                <w:vertAlign w:val="subscript"/>
                <w14:textFill>
                  <w14:solidFill>
                    <w14:schemeClr w14:val="tx1"/>
                  </w14:solidFill>
                </w14:textFill>
              </w:rPr>
              <w:t>3</w:t>
            </w:r>
            <w:r>
              <w:rPr>
                <w:rFonts w:hint="eastAsia"/>
                <w:bCs/>
                <w:color w:val="000000" w:themeColor="text1"/>
                <w:sz w:val="24"/>
                <w14:textFill>
                  <w14:solidFill>
                    <w14:schemeClr w14:val="tx1"/>
                  </w14:solidFill>
                </w14:textFill>
              </w:rPr>
              <w:t>、NO</w:t>
            </w:r>
            <w:r>
              <w:rPr>
                <w:rFonts w:hint="eastAsia"/>
                <w:bCs/>
                <w:color w:val="000000" w:themeColor="text1"/>
                <w:sz w:val="24"/>
                <w:vertAlign w:val="subscript"/>
                <w14:textFill>
                  <w14:solidFill>
                    <w14:schemeClr w14:val="tx1"/>
                  </w14:solidFill>
                </w14:textFill>
              </w:rPr>
              <w:t>X</w:t>
            </w:r>
            <w:r>
              <w:rPr>
                <w:rFonts w:hint="eastAsia"/>
                <w:bCs/>
                <w:color w:val="000000" w:themeColor="text1"/>
                <w:sz w:val="24"/>
                <w14:textFill>
                  <w14:solidFill>
                    <w14:schemeClr w14:val="tx1"/>
                  </w14:solidFill>
                </w14:textFill>
              </w:rPr>
              <w:t>等气体，焊丝中锰含量为1.40~1.85%，本次评价取其中间值1.625%，则锰及其化合物的产生量为8.13×10</w:t>
            </w:r>
            <w:r>
              <w:rPr>
                <w:rFonts w:hint="eastAsia"/>
                <w:bCs/>
                <w:color w:val="000000" w:themeColor="text1"/>
                <w:sz w:val="24"/>
                <w:vertAlign w:val="superscript"/>
                <w14:textFill>
                  <w14:solidFill>
                    <w14:schemeClr w14:val="tx1"/>
                  </w14:solidFill>
                </w14:textFill>
              </w:rPr>
              <w:t>-6</w:t>
            </w:r>
            <w:r>
              <w:rPr>
                <w:rFonts w:hint="eastAsia"/>
                <w:bCs/>
                <w:color w:val="000000" w:themeColor="text1"/>
                <w:sz w:val="24"/>
                <w14:textFill>
                  <w14:solidFill>
                    <w14:schemeClr w14:val="tx1"/>
                  </w14:solidFill>
                </w14:textFill>
              </w:rPr>
              <w:t>t/a，产生速率分别为2.71×10</w:t>
            </w:r>
            <w:r>
              <w:rPr>
                <w:rFonts w:hint="eastAsia"/>
                <w:bCs/>
                <w:color w:val="000000" w:themeColor="text1"/>
                <w:sz w:val="24"/>
                <w:vertAlign w:val="superscript"/>
                <w14:textFill>
                  <w14:solidFill>
                    <w14:schemeClr w14:val="tx1"/>
                  </w14:solidFill>
                </w14:textFill>
              </w:rPr>
              <w:t>-5</w:t>
            </w:r>
            <w:r>
              <w:rPr>
                <w:rFonts w:hint="eastAsia"/>
                <w:bCs/>
                <w:color w:val="000000" w:themeColor="text1"/>
                <w:sz w:val="24"/>
                <w14:textFill>
                  <w14:solidFill>
                    <w14:schemeClr w14:val="tx1"/>
                  </w14:solidFill>
                </w14:textFill>
              </w:rPr>
              <w:t>kg/h。</w:t>
            </w:r>
          </w:p>
          <w:p w14:paraId="010D8933">
            <w:pPr>
              <w:pStyle w:val="160"/>
              <w:ind w:firstLine="482" w:firstLineChars="200"/>
              <w:rPr>
                <w:b/>
                <w:color w:val="000000" w:themeColor="text1"/>
                <w14:textFill>
                  <w14:solidFill>
                    <w14:schemeClr w14:val="tx1"/>
                  </w14:solidFill>
                </w14:textFill>
              </w:rPr>
            </w:pPr>
            <w:r>
              <w:rPr>
                <w:rStyle w:val="48"/>
                <w:rFonts w:hint="eastAsia"/>
                <w:b/>
                <w:bCs/>
                <w:color w:val="000000" w:themeColor="text1"/>
                <w:kern w:val="0"/>
                <w:sz w:val="24"/>
                <w14:textFill>
                  <w14:solidFill>
                    <w14:schemeClr w14:val="tx1"/>
                  </w14:solidFill>
                </w14:textFill>
              </w:rPr>
              <w:t>3）</w:t>
            </w:r>
            <w:r>
              <w:rPr>
                <w:rFonts w:hint="eastAsia"/>
                <w:b/>
                <w:bCs/>
                <w:color w:val="000000" w:themeColor="text1"/>
                <w14:textFill>
                  <w14:solidFill>
                    <w14:schemeClr w14:val="tx1"/>
                  </w14:solidFill>
                </w14:textFill>
              </w:rPr>
              <w:t>喷</w:t>
            </w:r>
            <w:r>
              <w:rPr>
                <w:rFonts w:hint="eastAsia"/>
                <w:b/>
                <w:color w:val="000000" w:themeColor="text1"/>
                <w14:textFill>
                  <w14:solidFill>
                    <w14:schemeClr w14:val="tx1"/>
                  </w14:solidFill>
                </w14:textFill>
              </w:rPr>
              <w:t>漆、晾干</w:t>
            </w:r>
            <w:r>
              <w:rPr>
                <w:b/>
                <w:color w:val="000000" w:themeColor="text1"/>
                <w14:textFill>
                  <w14:solidFill>
                    <w14:schemeClr w14:val="tx1"/>
                  </w14:solidFill>
                </w14:textFill>
              </w:rPr>
              <w:t>工序产生的漆雾、有机废气</w:t>
            </w:r>
          </w:p>
          <w:p w14:paraId="7F55101D">
            <w:pPr>
              <w:adjustRightInd w:val="0"/>
              <w:snapToGrid w:val="0"/>
              <w:spacing w:line="360" w:lineRule="auto"/>
              <w:ind w:left="480"/>
              <w:rPr>
                <w:b/>
                <w:color w:val="000000" w:themeColor="text1"/>
                <w:sz w:val="24"/>
                <w14:textFill>
                  <w14:solidFill>
                    <w14:schemeClr w14:val="tx1"/>
                  </w14:solidFill>
                </w14:textFill>
              </w:rPr>
            </w:pPr>
            <w:r>
              <w:rPr>
                <w:b/>
                <w:color w:val="000000" w:themeColor="text1"/>
                <w:sz w:val="24"/>
                <w14:textFill>
                  <w14:solidFill>
                    <w14:schemeClr w14:val="tx1"/>
                  </w14:solidFill>
                </w14:textFill>
              </w:rPr>
              <w:t>①漆雾（颗粒物）</w:t>
            </w:r>
          </w:p>
          <w:p w14:paraId="7D581747">
            <w:pPr>
              <w:adjustRightInd w:val="0"/>
              <w:snapToGrid w:val="0"/>
              <w:spacing w:line="360" w:lineRule="auto"/>
              <w:ind w:firstLine="48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本项目在喷</w:t>
            </w:r>
            <w:r>
              <w:rPr>
                <w:rFonts w:hint="eastAsia"/>
                <w:color w:val="000000" w:themeColor="text1"/>
                <w:sz w:val="24"/>
                <w14:textFill>
                  <w14:solidFill>
                    <w14:schemeClr w14:val="tx1"/>
                  </w14:solidFill>
                </w14:textFill>
              </w:rPr>
              <w:t>涂</w:t>
            </w:r>
            <w:r>
              <w:rPr>
                <w:color w:val="000000" w:themeColor="text1"/>
                <w:sz w:val="24"/>
                <w14:textFill>
                  <w14:solidFill>
                    <w14:schemeClr w14:val="tx1"/>
                  </w14:solidFill>
                </w14:textFill>
              </w:rPr>
              <w:t>工序中，涂料在高压作用下雾化成颗粒，均匀</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在工件表面。由于</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时，涂料未能</w:t>
            </w:r>
            <w:r>
              <w:rPr>
                <w:rFonts w:hint="eastAsia"/>
                <w:color w:val="000000" w:themeColor="text1"/>
                <w:sz w:val="24"/>
                <w14:textFill>
                  <w14:solidFill>
                    <w14:schemeClr w14:val="tx1"/>
                  </w14:solidFill>
                </w14:textFill>
              </w:rPr>
              <w:t>完全附着，部分未能附着到工件表面的涂料逸散到空气中，附着率参考《谈喷漆涂着效率》（Ⅰ）（王锡春，《现代涂料与涂装》2006.9.10.）低压空气喷漆涂着效率为50%-65%，本项目产品形状规则，喷漆附着率较高，因此漆料附着效率按60%计</w:t>
            </w:r>
            <w:r>
              <w:rPr>
                <w:color w:val="000000" w:themeColor="text1"/>
                <w:sz w:val="24"/>
                <w14:textFill>
                  <w14:solidFill>
                    <w14:schemeClr w14:val="tx1"/>
                  </w14:solidFill>
                </w14:textFill>
              </w:rPr>
              <w:t>；本项目的</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工序水性</w:t>
            </w:r>
            <w:r>
              <w:rPr>
                <w:rFonts w:hint="eastAsia"/>
                <w:color w:val="000000" w:themeColor="text1"/>
                <w:sz w:val="24"/>
                <w14:textFill>
                  <w14:solidFill>
                    <w14:schemeClr w14:val="tx1"/>
                  </w14:solidFill>
                </w14:textFill>
              </w:rPr>
              <w:t>油漆</w:t>
            </w:r>
            <w:r>
              <w:rPr>
                <w:color w:val="000000" w:themeColor="text1"/>
                <w:sz w:val="24"/>
                <w14:textFill>
                  <w14:solidFill>
                    <w14:schemeClr w14:val="tx1"/>
                  </w14:solidFill>
                </w14:textFill>
              </w:rPr>
              <w:t>用量约为</w:t>
            </w:r>
            <w:r>
              <w:rPr>
                <w:rFonts w:hint="eastAsia"/>
                <w:color w:val="000000" w:themeColor="text1"/>
                <w:sz w:val="24"/>
                <w14:textFill>
                  <w14:solidFill>
                    <w14:schemeClr w14:val="tx1"/>
                  </w14:solidFill>
                </w14:textFill>
              </w:rPr>
              <w:t>16.97</w:t>
            </w:r>
            <w:r>
              <w:rPr>
                <w:color w:val="000000" w:themeColor="text1"/>
                <w:sz w:val="24"/>
                <w14:textFill>
                  <w14:solidFill>
                    <w14:schemeClr w14:val="tx1"/>
                  </w14:solidFill>
                </w14:textFill>
              </w:rPr>
              <w:t>t/a，漆雾的产生情况详见表4-2。</w:t>
            </w:r>
          </w:p>
          <w:p w14:paraId="3781F601">
            <w:pPr>
              <w:adjustRightInd w:val="0"/>
              <w:snapToGrid w:val="0"/>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表4-2 本项目喷</w:t>
            </w:r>
            <w:r>
              <w:rPr>
                <w:rFonts w:hint="eastAsia"/>
                <w:b/>
                <w:color w:val="000000" w:themeColor="text1"/>
                <w:szCs w:val="21"/>
                <w14:textFill>
                  <w14:solidFill>
                    <w14:schemeClr w14:val="tx1"/>
                  </w14:solidFill>
                </w14:textFill>
              </w:rPr>
              <w:t>涂</w:t>
            </w:r>
            <w:r>
              <w:rPr>
                <w:b/>
                <w:color w:val="000000" w:themeColor="text1"/>
                <w:szCs w:val="21"/>
                <w14:textFill>
                  <w14:solidFill>
                    <w14:schemeClr w14:val="tx1"/>
                  </w14:solidFill>
                </w14:textFill>
              </w:rPr>
              <w:t>工序漆雾产生情况</w:t>
            </w: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445"/>
              <w:gridCol w:w="1513"/>
              <w:gridCol w:w="1847"/>
              <w:gridCol w:w="2025"/>
            </w:tblGrid>
            <w:tr w14:paraId="6A249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7" w:type="pct"/>
                  <w:vAlign w:val="center"/>
                </w:tcPr>
                <w:p w14:paraId="0FC75DE8">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工序</w:t>
                  </w:r>
                </w:p>
              </w:tc>
              <w:tc>
                <w:tcPr>
                  <w:tcW w:w="884" w:type="pct"/>
                  <w:vAlign w:val="center"/>
                </w:tcPr>
                <w:p w14:paraId="6E6A4314">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年用量t/a</w:t>
                  </w:r>
                </w:p>
              </w:tc>
              <w:tc>
                <w:tcPr>
                  <w:tcW w:w="926" w:type="pct"/>
                  <w:vAlign w:val="center"/>
                </w:tcPr>
                <w:p w14:paraId="7D9C4023">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固含量%</w:t>
                  </w:r>
                </w:p>
              </w:tc>
              <w:tc>
                <w:tcPr>
                  <w:tcW w:w="1131" w:type="pct"/>
                  <w:vAlign w:val="center"/>
                </w:tcPr>
                <w:p w14:paraId="6E5571E1">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附着率%</w:t>
                  </w:r>
                </w:p>
              </w:tc>
              <w:tc>
                <w:tcPr>
                  <w:tcW w:w="1240" w:type="pct"/>
                  <w:vAlign w:val="center"/>
                </w:tcPr>
                <w:p w14:paraId="5EFEA59E">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漆雾年产生量t/a</w:t>
                  </w:r>
                </w:p>
              </w:tc>
            </w:tr>
            <w:tr w14:paraId="40991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7" w:type="pct"/>
                  <w:vAlign w:val="center"/>
                </w:tcPr>
                <w:p w14:paraId="191C14AC">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水性油漆</w:t>
                  </w:r>
                </w:p>
              </w:tc>
              <w:tc>
                <w:tcPr>
                  <w:tcW w:w="884" w:type="pct"/>
                  <w:vAlign w:val="center"/>
                </w:tcPr>
                <w:p w14:paraId="6551D17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16.97</w:t>
                  </w:r>
                </w:p>
              </w:tc>
              <w:tc>
                <w:tcPr>
                  <w:tcW w:w="926" w:type="pct"/>
                  <w:vAlign w:val="center"/>
                </w:tcPr>
                <w:p w14:paraId="0EDCB66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60.78</w:t>
                  </w:r>
                </w:p>
              </w:tc>
              <w:tc>
                <w:tcPr>
                  <w:tcW w:w="1131" w:type="pct"/>
                  <w:vAlign w:val="center"/>
                </w:tcPr>
                <w:p w14:paraId="444EDC9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1240" w:type="pct"/>
                  <w:vAlign w:val="center"/>
                </w:tcPr>
                <w:p w14:paraId="20719620">
                  <w:pPr>
                    <w:adjustRightInd w:val="0"/>
                    <w:snapToGrid w:val="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4.126</w:t>
                  </w:r>
                </w:p>
              </w:tc>
            </w:tr>
          </w:tbl>
          <w:p w14:paraId="4C996D6C">
            <w:pPr>
              <w:pStyle w:val="160"/>
              <w:ind w:left="239" w:leftChars="114" w:firstLine="241" w:firstLineChars="100"/>
              <w:rPr>
                <w:color w:val="000000" w:themeColor="text1"/>
                <w14:textFill>
                  <w14:solidFill>
                    <w14:schemeClr w14:val="tx1"/>
                  </w14:solidFill>
                </w14:textFill>
              </w:rPr>
            </w:pPr>
            <w:r>
              <w:rPr>
                <w:b/>
                <w:bCs/>
                <w:color w:val="000000" w:themeColor="text1"/>
                <w14:textFill>
                  <w14:solidFill>
                    <w14:schemeClr w14:val="tx1"/>
                  </w14:solidFill>
                </w14:textFill>
              </w:rPr>
              <w:t>②</w:t>
            </w:r>
            <w:r>
              <w:rPr>
                <w:rFonts w:hint="eastAsia"/>
                <w:b/>
                <w:bCs/>
                <w:color w:val="000000" w:themeColor="text1"/>
                <w14:textFill>
                  <w14:solidFill>
                    <w14:schemeClr w14:val="tx1"/>
                  </w14:solidFill>
                </w14:textFill>
              </w:rPr>
              <w:t>有机废气</w:t>
            </w:r>
          </w:p>
          <w:p w14:paraId="35079D6E">
            <w:pPr>
              <w:pStyle w:val="160"/>
              <w:ind w:firstLine="480" w:firstLineChars="0"/>
              <w:rPr>
                <w:color w:val="000000" w:themeColor="text1"/>
                <w14:textFill>
                  <w14:solidFill>
                    <w14:schemeClr w14:val="tx1"/>
                  </w14:solidFill>
                </w14:textFill>
              </w:rPr>
            </w:pP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喷漆、晾干</w:t>
            </w:r>
            <w:r>
              <w:rPr>
                <w:color w:val="000000" w:themeColor="text1"/>
                <w14:textFill>
                  <w14:solidFill>
                    <w14:schemeClr w14:val="tx1"/>
                  </w14:solidFill>
                </w14:textFill>
              </w:rPr>
              <w:t>等过程均会挥发总VOCs。项目使用水性</w:t>
            </w:r>
            <w:r>
              <w:rPr>
                <w:rFonts w:hint="eastAsia"/>
                <w:color w:val="000000" w:themeColor="text1"/>
                <w14:textFill>
                  <w14:solidFill>
                    <w14:schemeClr w14:val="tx1"/>
                  </w14:solidFill>
                </w14:textFill>
              </w:rPr>
              <w:t>油漆</w:t>
            </w:r>
            <w:r>
              <w:rPr>
                <w:color w:val="000000" w:themeColor="text1"/>
                <w14:textFill>
                  <w14:solidFill>
                    <w14:schemeClr w14:val="tx1"/>
                  </w14:solidFill>
                </w14:textFill>
              </w:rPr>
              <w:t>，</w:t>
            </w:r>
            <w:r>
              <w:rPr>
                <w:color w:val="000000" w:themeColor="text1"/>
                <w:kern w:val="0"/>
                <w14:textFill>
                  <w14:solidFill>
                    <w14:schemeClr w14:val="tx1"/>
                  </w14:solidFill>
                </w14:textFill>
              </w:rPr>
              <w:t>根据业主提供水性</w:t>
            </w:r>
            <w:r>
              <w:rPr>
                <w:rFonts w:hint="eastAsia"/>
                <w:color w:val="000000" w:themeColor="text1"/>
                <w:kern w:val="0"/>
                <w14:textFill>
                  <w14:solidFill>
                    <w14:schemeClr w14:val="tx1"/>
                  </w14:solidFill>
                </w14:textFill>
              </w:rPr>
              <w:t>油漆</w:t>
            </w:r>
            <w:r>
              <w:rPr>
                <w:color w:val="000000" w:themeColor="text1"/>
                <w:kern w:val="0"/>
                <w14:textFill>
                  <w14:solidFill>
                    <w14:schemeClr w14:val="tx1"/>
                  </w14:solidFill>
                </w14:textFill>
              </w:rPr>
              <w:t>检测报告（见附件5</w:t>
            </w:r>
            <w:r>
              <w:rPr>
                <w:rFonts w:hint="eastAsia"/>
                <w:color w:val="000000" w:themeColor="text1"/>
                <w:kern w:val="0"/>
                <w14:textFill>
                  <w14:solidFill>
                    <w14:schemeClr w14:val="tx1"/>
                  </w14:solidFill>
                </w14:textFill>
              </w:rPr>
              <w:t>-2</w:t>
            </w:r>
            <w:r>
              <w:rPr>
                <w:color w:val="000000" w:themeColor="text1"/>
                <w:kern w:val="0"/>
                <w14:textFill>
                  <w14:solidFill>
                    <w14:schemeClr w14:val="tx1"/>
                  </w14:solidFill>
                </w14:textFill>
              </w:rPr>
              <w:t>）中</w:t>
            </w:r>
            <w:r>
              <w:rPr>
                <w:color w:val="000000" w:themeColor="text1"/>
                <w14:textFill>
                  <w14:solidFill>
                    <w14:schemeClr w14:val="tx1"/>
                  </w14:solidFill>
                </w14:textFill>
              </w:rPr>
              <w:t>水性油漆</w:t>
            </w:r>
            <w:r>
              <w:rPr>
                <w:color w:val="000000" w:themeColor="text1"/>
                <w:kern w:val="0"/>
                <w14:textFill>
                  <w14:solidFill>
                    <w14:schemeClr w14:val="tx1"/>
                  </w14:solidFill>
                </w14:textFill>
              </w:rPr>
              <w:t>的</w:t>
            </w:r>
            <w:r>
              <w:rPr>
                <w:color w:val="000000" w:themeColor="text1"/>
                <w:spacing w:val="-4"/>
                <w14:textFill>
                  <w14:solidFill>
                    <w14:schemeClr w14:val="tx1"/>
                  </w14:solidFill>
                </w14:textFill>
              </w:rPr>
              <w:t>VOC</w:t>
            </w:r>
            <w:r>
              <w:rPr>
                <w:color w:val="000000" w:themeColor="text1"/>
                <w:spacing w:val="-4"/>
                <w:vertAlign w:val="subscript"/>
                <w14:textFill>
                  <w14:solidFill>
                    <w14:schemeClr w14:val="tx1"/>
                  </w14:solidFill>
                </w14:textFill>
              </w:rPr>
              <w:t>S</w:t>
            </w:r>
            <w:r>
              <w:rPr>
                <w:color w:val="000000" w:themeColor="text1"/>
                <w:spacing w:val="-4"/>
                <w14:textFill>
                  <w14:solidFill>
                    <w14:schemeClr w14:val="tx1"/>
                  </w14:solidFill>
                </w14:textFill>
              </w:rPr>
              <w:t>含量为</w:t>
            </w:r>
            <w:r>
              <w:rPr>
                <w:color w:val="000000" w:themeColor="text1"/>
                <w:kern w:val="0"/>
                <w14:textFill>
                  <w14:solidFill>
                    <w14:schemeClr w14:val="tx1"/>
                  </w14:solidFill>
                </w14:textFill>
              </w:rPr>
              <w:t>129g/L，水性油漆密度约为1.05~1.2kg/m</w:t>
            </w:r>
            <w:r>
              <w:rPr>
                <w:color w:val="000000" w:themeColor="text1"/>
                <w:kern w:val="0"/>
                <w:vertAlign w:val="superscript"/>
                <w14:textFill>
                  <w14:solidFill>
                    <w14:schemeClr w14:val="tx1"/>
                  </w14:solidFill>
                </w14:textFill>
              </w:rPr>
              <w:t>3</w:t>
            </w:r>
            <w:r>
              <w:rPr>
                <w:color w:val="000000" w:themeColor="text1"/>
                <w:kern w:val="0"/>
                <w14:textFill>
                  <w14:solidFill>
                    <w14:schemeClr w14:val="tx1"/>
                  </w14:solidFill>
                </w14:textFill>
              </w:rPr>
              <w:t>，此处取1.1kg/m</w:t>
            </w:r>
            <w:r>
              <w:rPr>
                <w:color w:val="000000" w:themeColor="text1"/>
                <w:kern w:val="0"/>
                <w:vertAlign w:val="superscript"/>
                <w14:textFill>
                  <w14:solidFill>
                    <w14:schemeClr w14:val="tx1"/>
                  </w14:solidFill>
                </w14:textFill>
              </w:rPr>
              <w:t>3</w:t>
            </w:r>
            <w:r>
              <w:rPr>
                <w:color w:val="000000" w:themeColor="text1"/>
                <w:kern w:val="0"/>
                <w14:textFill>
                  <w14:solidFill>
                    <w14:schemeClr w14:val="tx1"/>
                  </w14:solidFill>
                </w14:textFill>
              </w:rPr>
              <w:t>，故</w:t>
            </w:r>
            <w:r>
              <w:rPr>
                <w:bCs/>
                <w:color w:val="000000" w:themeColor="text1"/>
                <w14:textFill>
                  <w14:solidFill>
                    <w14:schemeClr w14:val="tx1"/>
                  </w14:solidFill>
                </w14:textFill>
              </w:rPr>
              <w:t>水性油漆</w:t>
            </w:r>
            <w:r>
              <w:rPr>
                <w:color w:val="000000" w:themeColor="text1"/>
                <w:kern w:val="0"/>
                <w14:textFill>
                  <w14:solidFill>
                    <w14:schemeClr w14:val="tx1"/>
                  </w14:solidFill>
                </w14:textFill>
              </w:rPr>
              <w:t>的</w:t>
            </w:r>
            <w:r>
              <w:rPr>
                <w:color w:val="000000" w:themeColor="text1"/>
                <w:spacing w:val="-4"/>
                <w14:textFill>
                  <w14:solidFill>
                    <w14:schemeClr w14:val="tx1"/>
                  </w14:solidFill>
                </w14:textFill>
              </w:rPr>
              <w:t>VOC</w:t>
            </w:r>
            <w:r>
              <w:rPr>
                <w:color w:val="000000" w:themeColor="text1"/>
                <w:spacing w:val="-4"/>
                <w:vertAlign w:val="subscript"/>
                <w14:textFill>
                  <w14:solidFill>
                    <w14:schemeClr w14:val="tx1"/>
                  </w14:solidFill>
                </w14:textFill>
              </w:rPr>
              <w:t>S</w:t>
            </w:r>
            <w:r>
              <w:rPr>
                <w:color w:val="000000" w:themeColor="text1"/>
                <w:spacing w:val="-4"/>
                <w14:textFill>
                  <w14:solidFill>
                    <w14:schemeClr w14:val="tx1"/>
                  </w14:solidFill>
                </w14:textFill>
              </w:rPr>
              <w:t>含量约为</w:t>
            </w:r>
            <w:r>
              <w:rPr>
                <w:color w:val="000000" w:themeColor="text1"/>
                <w:kern w:val="0"/>
                <w14:textFill>
                  <w14:solidFill>
                    <w14:schemeClr w14:val="tx1"/>
                  </w14:solidFill>
                </w14:textFill>
              </w:rPr>
              <w:t>117.2g/kg，项目水性油漆的使用量为</w:t>
            </w:r>
            <w:r>
              <w:rPr>
                <w:rFonts w:hint="eastAsia"/>
                <w:color w:val="000000" w:themeColor="text1"/>
                <w:kern w:val="0"/>
                <w14:textFill>
                  <w14:solidFill>
                    <w14:schemeClr w14:val="tx1"/>
                  </w14:solidFill>
                </w14:textFill>
              </w:rPr>
              <w:t>16.97</w:t>
            </w:r>
            <w:r>
              <w:rPr>
                <w:color w:val="000000" w:themeColor="text1"/>
                <w14:textFill>
                  <w14:solidFill>
                    <w14:schemeClr w14:val="tx1"/>
                  </w14:solidFill>
                </w14:textFill>
              </w:rPr>
              <w:t>t/a，则</w:t>
            </w:r>
            <w:r>
              <w:rPr>
                <w:rFonts w:hint="eastAsia"/>
                <w:color w:val="000000" w:themeColor="text1"/>
                <w14:textFill>
                  <w14:solidFill>
                    <w14:schemeClr w14:val="tx1"/>
                  </w14:solidFill>
                </w14:textFill>
              </w:rPr>
              <w:t>喷涂、晾干</w:t>
            </w:r>
            <w:r>
              <w:rPr>
                <w:color w:val="000000" w:themeColor="text1"/>
                <w:spacing w:val="-4"/>
                <w14:textFill>
                  <w14:solidFill>
                    <w14:schemeClr w14:val="tx1"/>
                  </w14:solidFill>
                </w14:textFill>
              </w:rPr>
              <w:t>过程VOC</w:t>
            </w:r>
            <w:r>
              <w:rPr>
                <w:color w:val="000000" w:themeColor="text1"/>
                <w:spacing w:val="-4"/>
                <w:vertAlign w:val="subscript"/>
                <w14:textFill>
                  <w14:solidFill>
                    <w14:schemeClr w14:val="tx1"/>
                  </w14:solidFill>
                </w14:textFill>
              </w:rPr>
              <w:t>S</w:t>
            </w:r>
            <w:r>
              <w:rPr>
                <w:color w:val="000000" w:themeColor="text1"/>
                <w14:textFill>
                  <w14:solidFill>
                    <w14:schemeClr w14:val="tx1"/>
                  </w14:solidFill>
                </w14:textFill>
              </w:rPr>
              <w:t>产生量为</w:t>
            </w:r>
            <w:r>
              <w:rPr>
                <w:rFonts w:hint="eastAsia"/>
                <w:color w:val="000000" w:themeColor="text1"/>
                <w14:textFill>
                  <w14:solidFill>
                    <w14:schemeClr w14:val="tx1"/>
                  </w14:solidFill>
                </w14:textFill>
              </w:rPr>
              <w:t>1.990</w:t>
            </w:r>
            <w:r>
              <w:rPr>
                <w:color w:val="000000" w:themeColor="text1"/>
                <w14:textFill>
                  <w14:solidFill>
                    <w14:schemeClr w14:val="tx1"/>
                  </w14:solidFill>
                </w14:textFill>
              </w:rPr>
              <w:t>t/a。本项目</w:t>
            </w:r>
            <w:r>
              <w:rPr>
                <w:rFonts w:hint="eastAsia"/>
                <w:color w:val="000000" w:themeColor="text1"/>
                <w14:textFill>
                  <w14:solidFill>
                    <w14:schemeClr w14:val="tx1"/>
                  </w14:solidFill>
                </w14:textFill>
              </w:rPr>
              <w:t>喷漆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晾干</w:t>
            </w:r>
            <w:r>
              <w:rPr>
                <w:color w:val="000000" w:themeColor="text1"/>
                <w14:textFill>
                  <w14:solidFill>
                    <w14:schemeClr w14:val="tx1"/>
                  </w14:solidFill>
                </w14:textFill>
              </w:rPr>
              <w:t>废气经收集后经同一条排放口排放。</w:t>
            </w:r>
          </w:p>
          <w:p w14:paraId="031FD168">
            <w:pPr>
              <w:pStyle w:val="160"/>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油烟废气</w:t>
            </w:r>
          </w:p>
          <w:p w14:paraId="76B12AB7">
            <w:pPr>
              <w:pStyle w:val="22"/>
              <w:spacing w:line="360" w:lineRule="auto"/>
              <w:ind w:firstLine="48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本项目设置员工</w:t>
            </w:r>
            <w:r>
              <w:rPr>
                <w:rFonts w:hint="eastAsia" w:ascii="Times New Roman" w:hAnsi="Times New Roman"/>
                <w:color w:val="000000" w:themeColor="text1"/>
                <w:sz w:val="24"/>
                <w14:textFill>
                  <w14:solidFill>
                    <w14:schemeClr w14:val="tx1"/>
                  </w14:solidFill>
                </w14:textFill>
              </w:rPr>
              <w:t>16</w:t>
            </w:r>
            <w:r>
              <w:rPr>
                <w:rFonts w:ascii="Times New Roman" w:hAnsi="Times New Roman"/>
                <w:color w:val="000000" w:themeColor="text1"/>
                <w:sz w:val="24"/>
                <w14:textFill>
                  <w14:solidFill>
                    <w14:schemeClr w14:val="tx1"/>
                  </w14:solidFill>
                </w14:textFill>
              </w:rPr>
              <w:t>人，</w:t>
            </w:r>
            <w:r>
              <w:rPr>
                <w:rFonts w:hint="eastAsia" w:ascii="Times New Roman" w:hAnsi="Times New Roman"/>
                <w:color w:val="000000" w:themeColor="text1"/>
                <w:sz w:val="24"/>
                <w14:textFill>
                  <w14:solidFill>
                    <w14:schemeClr w14:val="tx1"/>
                  </w14:solidFill>
                </w14:textFill>
              </w:rPr>
              <w:t>厂内设置食堂</w:t>
            </w:r>
            <w:r>
              <w:rPr>
                <w:rFonts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厨房设置2个基准灶头，</w:t>
            </w:r>
            <w:r>
              <w:rPr>
                <w:rFonts w:ascii="Times New Roman" w:hAnsi="Times New Roman"/>
                <w:color w:val="000000" w:themeColor="text1"/>
                <w:sz w:val="24"/>
                <w14:textFill>
                  <w14:solidFill>
                    <w14:schemeClr w14:val="tx1"/>
                  </w14:solidFill>
                </w14:textFill>
              </w:rPr>
              <w:t>厨房采用液化石油气为燃料，液化石油气为清洁能源，污染物产生量很少。</w:t>
            </w:r>
            <w:r>
              <w:rPr>
                <w:rFonts w:hint="eastAsia" w:ascii="Times New Roman" w:hAnsi="Times New Roman"/>
                <w:color w:val="000000" w:themeColor="text1"/>
                <w:sz w:val="24"/>
                <w14:textFill>
                  <w14:solidFill>
                    <w14:schemeClr w14:val="tx1"/>
                  </w14:solidFill>
                </w14:textFill>
              </w:rPr>
              <w:t>根据对城市居民用油情况的类比调查，目前居民人均食用油日用量为</w:t>
            </w:r>
            <w:r>
              <w:rPr>
                <w:rFonts w:ascii="Times New Roman" w:hAnsi="Times New Roman"/>
                <w:color w:val="000000" w:themeColor="text1"/>
                <w:sz w:val="24"/>
                <w14:textFill>
                  <w14:solidFill>
                    <w14:schemeClr w14:val="tx1"/>
                  </w14:solidFill>
                </w14:textFill>
              </w:rPr>
              <w:t>3kg/100人·d，则本项目一天的食用油新增用量约为0.</w:t>
            </w:r>
            <w:r>
              <w:rPr>
                <w:rFonts w:hint="eastAsia" w:ascii="Times New Roman" w:hAnsi="Times New Roman"/>
                <w:color w:val="000000" w:themeColor="text1"/>
                <w:sz w:val="24"/>
                <w14:textFill>
                  <w14:solidFill>
                    <w14:schemeClr w14:val="tx1"/>
                  </w14:solidFill>
                </w14:textFill>
              </w:rPr>
              <w:t>48</w:t>
            </w:r>
            <w:r>
              <w:rPr>
                <w:rFonts w:ascii="Times New Roman" w:hAnsi="Times New Roman"/>
                <w:color w:val="000000" w:themeColor="text1"/>
                <w:sz w:val="24"/>
                <w14:textFill>
                  <w14:solidFill>
                    <w14:schemeClr w14:val="tx1"/>
                  </w14:solidFill>
                </w14:textFill>
              </w:rPr>
              <w:t>kg，油烟和油的挥发量占总耗油量的2％～4％之间，取其均值3％，则油烟的产生量约为0.00</w:t>
            </w:r>
            <w:r>
              <w:rPr>
                <w:rFonts w:hint="eastAsia" w:ascii="Times New Roman" w:hAnsi="Times New Roman"/>
                <w:color w:val="000000" w:themeColor="text1"/>
                <w:sz w:val="24"/>
                <w14:textFill>
                  <w14:solidFill>
                    <w14:schemeClr w14:val="tx1"/>
                  </w14:solidFill>
                </w14:textFill>
              </w:rPr>
              <w:t>4</w:t>
            </w:r>
            <w:r>
              <w:rPr>
                <w:rFonts w:ascii="Times New Roman" w:hAnsi="Times New Roman"/>
                <w:color w:val="000000" w:themeColor="text1"/>
                <w:sz w:val="24"/>
                <w14:textFill>
                  <w14:solidFill>
                    <w14:schemeClr w14:val="tx1"/>
                  </w14:solidFill>
                </w14:textFill>
              </w:rPr>
              <w:t>t/a（年工作日以300天计）。</w:t>
            </w:r>
            <w:r>
              <w:rPr>
                <w:rFonts w:hint="eastAsia" w:ascii="Times New Roman" w:hAnsi="Times New Roman"/>
                <w:color w:val="000000" w:themeColor="text1"/>
                <w:sz w:val="24"/>
                <w14:textFill>
                  <w14:solidFill>
                    <w14:schemeClr w14:val="tx1"/>
                  </w14:solidFill>
                </w14:textFill>
              </w:rPr>
              <w:t>食堂每天烹饪时间约为3h，每个基准灶头的排风量为2</w:t>
            </w:r>
            <w:r>
              <w:rPr>
                <w:rFonts w:ascii="Times New Roman" w:hAnsi="Times New Roman"/>
                <w:color w:val="000000" w:themeColor="text1"/>
                <w:sz w:val="24"/>
                <w14:textFill>
                  <w14:solidFill>
                    <w14:schemeClr w14:val="tx1"/>
                  </w14:solidFill>
                </w14:textFill>
              </w:rPr>
              <w:t>000</w:t>
            </w:r>
            <w:r>
              <w:rPr>
                <w:rFonts w:hint="eastAsia" w:ascii="Times New Roman" w:hAnsi="Times New Roman"/>
                <w:color w:val="000000" w:themeColor="text1"/>
                <w:sz w:val="24"/>
                <w14:textFill>
                  <w14:solidFill>
                    <w14:schemeClr w14:val="tx1"/>
                  </w14:solidFill>
                </w14:textFill>
              </w:rPr>
              <w:t>m</w:t>
            </w:r>
            <w:r>
              <w:rPr>
                <w:rFonts w:ascii="Times New Roman" w:hAnsi="Times New Roman"/>
                <w:color w:val="000000" w:themeColor="text1"/>
                <w:sz w:val="24"/>
                <w:vertAlign w:val="superscript"/>
                <w14:textFill>
                  <w14:solidFill>
                    <w14:schemeClr w14:val="tx1"/>
                  </w14:solidFill>
                </w14:textFill>
              </w:rPr>
              <w:t>3</w:t>
            </w:r>
            <w:r>
              <w:rPr>
                <w:rFonts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h，合计4</w:t>
            </w:r>
            <w:r>
              <w:rPr>
                <w:rFonts w:ascii="Times New Roman" w:hAnsi="Times New Roman"/>
                <w:color w:val="000000" w:themeColor="text1"/>
                <w:sz w:val="24"/>
                <w14:textFill>
                  <w14:solidFill>
                    <w14:schemeClr w14:val="tx1"/>
                  </w14:solidFill>
                </w14:textFill>
              </w:rPr>
              <w:t>000</w:t>
            </w:r>
            <w:r>
              <w:rPr>
                <w:rFonts w:hint="eastAsia" w:ascii="Times New Roman" w:hAnsi="Times New Roman"/>
                <w:color w:val="000000" w:themeColor="text1"/>
                <w:sz w:val="24"/>
                <w14:textFill>
                  <w14:solidFill>
                    <w14:schemeClr w14:val="tx1"/>
                  </w14:solidFill>
                </w14:textFill>
              </w:rPr>
              <w:t>m</w:t>
            </w:r>
            <w:r>
              <w:rPr>
                <w:rFonts w:ascii="Times New Roman" w:hAnsi="Times New Roman"/>
                <w:color w:val="000000" w:themeColor="text1"/>
                <w:sz w:val="24"/>
                <w:vertAlign w:val="superscript"/>
                <w14:textFill>
                  <w14:solidFill>
                    <w14:schemeClr w14:val="tx1"/>
                  </w14:solidFill>
                </w14:textFill>
              </w:rPr>
              <w:t>3</w:t>
            </w:r>
            <w:r>
              <w:rPr>
                <w:rFonts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h。</w:t>
            </w:r>
          </w:p>
          <w:p w14:paraId="05C0A792">
            <w:pPr>
              <w:pStyle w:val="22"/>
              <w:spacing w:line="360" w:lineRule="auto"/>
              <w:ind w:firstLine="480"/>
              <w:rPr>
                <w:color w:val="000000" w:themeColor="text1"/>
                <w14:textFill>
                  <w14:solidFill>
                    <w14:schemeClr w14:val="tx1"/>
                  </w14:solidFill>
                </w14:textFill>
              </w:rPr>
            </w:pPr>
            <w:r>
              <w:rPr>
                <w:rFonts w:ascii="Times New Roman" w:hAnsi="Times New Roman"/>
                <w:color w:val="000000" w:themeColor="text1"/>
                <w:sz w:val="24"/>
                <w14:textFill>
                  <w14:solidFill>
                    <w14:schemeClr w14:val="tx1"/>
                  </w14:solidFill>
                </w14:textFill>
              </w:rPr>
              <w:t>食堂油烟设置高效油烟净化器对其进行处理，高效油烟处理器对油烟的处理效率＞75%，则油烟处理效率取75%，</w:t>
            </w:r>
            <w:r>
              <w:rPr>
                <w:rFonts w:hint="eastAsia" w:ascii="Times New Roman" w:hAnsi="Times New Roman"/>
                <w:color w:val="000000" w:themeColor="text1"/>
                <w:sz w:val="24"/>
                <w14:textFill>
                  <w14:solidFill>
                    <w14:schemeClr w14:val="tx1"/>
                  </w14:solidFill>
                </w14:textFill>
              </w:rPr>
              <w:t>项目</w:t>
            </w:r>
            <w:r>
              <w:rPr>
                <w:rFonts w:ascii="Times New Roman" w:hAnsi="Times New Roman"/>
                <w:color w:val="000000" w:themeColor="text1"/>
                <w:sz w:val="24"/>
                <w14:textFill>
                  <w14:solidFill>
                    <w14:schemeClr w14:val="tx1"/>
                  </w14:solidFill>
                </w14:textFill>
              </w:rPr>
              <w:t>新增油烟排放量约为0.00</w:t>
            </w:r>
            <w:r>
              <w:rPr>
                <w:rFonts w:hint="eastAsia" w:ascii="Times New Roman" w:hAnsi="Times New Roman"/>
                <w:color w:val="000000" w:themeColor="text1"/>
                <w:sz w:val="24"/>
                <w14:textFill>
                  <w14:solidFill>
                    <w14:schemeClr w14:val="tx1"/>
                  </w14:solidFill>
                </w14:textFill>
              </w:rPr>
              <w:t>1</w:t>
            </w:r>
            <w:r>
              <w:rPr>
                <w:rFonts w:ascii="Times New Roman" w:hAnsi="Times New Roman"/>
                <w:color w:val="000000" w:themeColor="text1"/>
                <w:sz w:val="24"/>
                <w14:textFill>
                  <w14:solidFill>
                    <w14:schemeClr w14:val="tx1"/>
                  </w14:solidFill>
                </w14:textFill>
              </w:rPr>
              <w:t>t/a</w:t>
            </w:r>
            <w:r>
              <w:rPr>
                <w:rFonts w:hint="eastAsia" w:ascii="Times New Roman" w:hAnsi="Times New Roman"/>
                <w:color w:val="000000" w:themeColor="text1"/>
                <w:sz w:val="24"/>
                <w14:textFill>
                  <w14:solidFill>
                    <w14:schemeClr w14:val="tx1"/>
                  </w14:solidFill>
                </w14:textFill>
              </w:rPr>
              <w:t>，排放速率为0</w:t>
            </w:r>
            <w:r>
              <w:rPr>
                <w:rFonts w:ascii="Times New Roman" w:hAnsi="Times New Roman"/>
                <w:color w:val="000000" w:themeColor="text1"/>
                <w:sz w:val="24"/>
                <w14:textFill>
                  <w14:solidFill>
                    <w14:schemeClr w14:val="tx1"/>
                  </w14:solidFill>
                </w14:textFill>
              </w:rPr>
              <w:t>.00</w:t>
            </w:r>
            <w:r>
              <w:rPr>
                <w:rFonts w:hint="eastAsia" w:ascii="Times New Roman" w:hAnsi="Times New Roman"/>
                <w:color w:val="000000" w:themeColor="text1"/>
                <w:sz w:val="24"/>
                <w14:textFill>
                  <w14:solidFill>
                    <w14:schemeClr w14:val="tx1"/>
                  </w14:solidFill>
                </w14:textFill>
              </w:rPr>
              <w:t>1kg</w:t>
            </w:r>
            <w:r>
              <w:rPr>
                <w:rFonts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h，排放浓度为0</w:t>
            </w:r>
            <w:r>
              <w:rPr>
                <w:rFonts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30mg</w:t>
            </w:r>
            <w:r>
              <w:rPr>
                <w:rFonts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m</w:t>
            </w:r>
            <w:r>
              <w:rPr>
                <w:rFonts w:ascii="Times New Roman" w:hAnsi="Times New Roman"/>
                <w:color w:val="000000" w:themeColor="text1"/>
                <w:sz w:val="24"/>
                <w:vertAlign w:val="superscript"/>
                <w14:textFill>
                  <w14:solidFill>
                    <w14:schemeClr w14:val="tx1"/>
                  </w14:solidFill>
                </w14:textFill>
              </w:rPr>
              <w:t>3</w:t>
            </w:r>
            <w:r>
              <w:rPr>
                <w:rFonts w:ascii="Times New Roman" w:hAnsi="Times New Roman"/>
                <w:color w:val="000000" w:themeColor="text1"/>
                <w:sz w:val="24"/>
                <w14:textFill>
                  <w14:solidFill>
                    <w14:schemeClr w14:val="tx1"/>
                  </w14:solidFill>
                </w14:textFill>
              </w:rPr>
              <w:t>。</w:t>
            </w:r>
          </w:p>
          <w:p w14:paraId="4AE9449C">
            <w:pPr>
              <w:tabs>
                <w:tab w:val="left" w:pos="7437"/>
              </w:tabs>
              <w:spacing w:line="360" w:lineRule="auto"/>
              <w:ind w:firstLine="482" w:firstLineChars="200"/>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b/>
                <w:bCs/>
                <w:color w:val="000000" w:themeColor="text1"/>
                <w:sz w:val="24"/>
                <w14:textFill>
                  <w14:solidFill>
                    <w14:schemeClr w14:val="tx1"/>
                  </w14:solidFill>
                </w14:textFill>
              </w:rPr>
              <w:t>收集情况</w:t>
            </w:r>
          </w:p>
          <w:p w14:paraId="71F9F3D4">
            <w:pPr>
              <w:tabs>
                <w:tab w:val="left" w:pos="7437"/>
              </w:tabs>
              <w:spacing w:line="360" w:lineRule="auto"/>
              <w:ind w:firstLine="482" w:firstLineChars="200"/>
              <w:rPr>
                <w:b/>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①</w:t>
            </w:r>
            <w:r>
              <w:rPr>
                <w:rFonts w:hint="eastAsia"/>
                <w:b/>
                <w:color w:val="000000" w:themeColor="text1"/>
                <w:sz w:val="24"/>
                <w14:textFill>
                  <w14:solidFill>
                    <w14:schemeClr w14:val="tx1"/>
                  </w14:solidFill>
                </w14:textFill>
              </w:rPr>
              <w:t>开料、雕刻、打磨、切割、焊接工序废气收集装置</w:t>
            </w:r>
          </w:p>
          <w:p w14:paraId="1D0C0015">
            <w:pPr>
              <w:tabs>
                <w:tab w:val="left" w:pos="7437"/>
              </w:tabs>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w:t>
            </w:r>
            <w:r>
              <w:rPr>
                <w:bCs/>
                <w:color w:val="000000" w:themeColor="text1"/>
                <w:sz w:val="24"/>
                <w14:textFill>
                  <w14:solidFill>
                    <w14:schemeClr w14:val="tx1"/>
                  </w14:solidFill>
                </w14:textFill>
              </w:rPr>
              <w:t>设置</w:t>
            </w:r>
            <w:r>
              <w:rPr>
                <w:rFonts w:hint="eastAsia"/>
                <w:bCs/>
                <w:color w:val="000000" w:themeColor="text1"/>
                <w:sz w:val="24"/>
                <w14:textFill>
                  <w14:solidFill>
                    <w14:schemeClr w14:val="tx1"/>
                  </w14:solidFill>
                </w14:textFill>
              </w:rPr>
              <w:t>集气罩通过软质垂帘四周围挡（偶有部分敞开）对开料、雕刻、</w:t>
            </w:r>
            <w:r>
              <w:rPr>
                <w:bCs/>
                <w:color w:val="000000" w:themeColor="text1"/>
                <w:sz w:val="24"/>
                <w14:textFill>
                  <w14:solidFill>
                    <w14:schemeClr w14:val="tx1"/>
                  </w14:solidFill>
                </w14:textFill>
              </w:rPr>
              <w:t>打磨</w:t>
            </w:r>
            <w:r>
              <w:rPr>
                <w:rFonts w:hint="eastAsia"/>
                <w:bCs/>
                <w:color w:val="000000" w:themeColor="text1"/>
                <w:sz w:val="24"/>
                <w14:textFill>
                  <w14:solidFill>
                    <w14:schemeClr w14:val="tx1"/>
                  </w14:solidFill>
                </w14:textFill>
              </w:rPr>
              <w:t>、切割、焊接</w:t>
            </w:r>
            <w:r>
              <w:rPr>
                <w:bCs/>
                <w:color w:val="000000" w:themeColor="text1"/>
                <w:sz w:val="24"/>
                <w14:textFill>
                  <w14:solidFill>
                    <w14:schemeClr w14:val="tx1"/>
                  </w14:solidFill>
                </w14:textFill>
              </w:rPr>
              <w:t>工序产生的</w:t>
            </w:r>
            <w:r>
              <w:rPr>
                <w:rFonts w:hint="eastAsia"/>
                <w:bCs/>
                <w:color w:val="000000" w:themeColor="text1"/>
                <w:sz w:val="24"/>
                <w14:textFill>
                  <w14:solidFill>
                    <w14:schemeClr w14:val="tx1"/>
                  </w14:solidFill>
                </w14:textFill>
              </w:rPr>
              <w:t>颗粒物，焊接工序产生的锰及其化合物</w:t>
            </w:r>
            <w:r>
              <w:rPr>
                <w:bCs/>
                <w:color w:val="000000" w:themeColor="text1"/>
                <w:sz w:val="24"/>
                <w14:textFill>
                  <w14:solidFill>
                    <w14:schemeClr w14:val="tx1"/>
                  </w14:solidFill>
                </w14:textFill>
              </w:rPr>
              <w:t>进行收集</w:t>
            </w:r>
            <w:r>
              <w:rPr>
                <w:rFonts w:hint="eastAsia"/>
                <w:bCs/>
                <w:color w:val="000000" w:themeColor="text1"/>
                <w:sz w:val="24"/>
                <w14:textFill>
                  <w14:solidFill>
                    <w14:schemeClr w14:val="tx1"/>
                  </w14:solidFill>
                </w14:textFill>
              </w:rPr>
              <w:t>。开料、雕刻、打磨、切割、焊接工位距离集气口约0.</w:t>
            </w:r>
            <w:r>
              <w:rPr>
                <w:bCs/>
                <w:color w:val="000000" w:themeColor="text1"/>
                <w:sz w:val="24"/>
                <w14:textFill>
                  <w14:solidFill>
                    <w14:schemeClr w14:val="tx1"/>
                  </w14:solidFill>
                </w14:textFill>
              </w:rPr>
              <w:t>4</w:t>
            </w:r>
            <w:r>
              <w:rPr>
                <w:rFonts w:hint="eastAsia"/>
                <w:bCs/>
                <w:color w:val="000000" w:themeColor="text1"/>
                <w:sz w:val="24"/>
                <w14:textFill>
                  <w14:solidFill>
                    <w14:schemeClr w14:val="tx1"/>
                  </w14:solidFill>
                </w14:textFill>
              </w:rPr>
              <w:t>m，风速约0.5m/s，参考《广东省工业源挥发性有机物减排量核算方法（2023年修订版）》表3.3-2中的“包围型集气罩（敞开面控制风速不小于0.3m/s）”，废气收集效率取50%，则项目集气罩捕集效率取50%。</w:t>
            </w:r>
          </w:p>
          <w:p w14:paraId="706BE70A">
            <w:pPr>
              <w:tabs>
                <w:tab w:val="left" w:pos="7437"/>
              </w:tabs>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根据《废气处理工程技术手册》（王纯、张殿印主编）第十七章第二节相关内容，上部伞型集气罩三侧有围挡事的风量确定计算公式：</w:t>
            </w:r>
          </w:p>
          <w:p w14:paraId="768B5A6C">
            <w:pPr>
              <w:pStyle w:val="138"/>
              <w:shd w:val="clear" w:color="auto" w:fill="FFFFFF"/>
              <w:snapToGrid/>
              <w:ind w:firstLine="199" w:firstLineChars="83"/>
              <w:jc w:val="center"/>
              <w:rPr>
                <w:color w:val="000000" w:themeColor="text1"/>
                <w:szCs w:val="20"/>
                <w14:textFill>
                  <w14:solidFill>
                    <w14:schemeClr w14:val="tx1"/>
                  </w14:solidFill>
                </w14:textFill>
              </w:rPr>
            </w:pPr>
            <w:r>
              <w:rPr>
                <w:i/>
                <w:iCs/>
                <w:color w:val="000000" w:themeColor="text1"/>
                <w:szCs w:val="20"/>
                <w14:textFill>
                  <w14:solidFill>
                    <w14:schemeClr w14:val="tx1"/>
                  </w14:solidFill>
                </w14:textFill>
              </w:rPr>
              <w:t>Q</w:t>
            </w:r>
            <w:r>
              <w:rPr>
                <w:color w:val="000000" w:themeColor="text1"/>
                <w:szCs w:val="20"/>
                <w14:textFill>
                  <w14:solidFill>
                    <w14:schemeClr w14:val="tx1"/>
                  </w14:solidFill>
                </w14:textFill>
              </w:rPr>
              <w:t>=W</w:t>
            </w:r>
            <w:r>
              <w:rPr>
                <w:i/>
                <w:iCs/>
                <w:color w:val="000000" w:themeColor="text1"/>
                <w:szCs w:val="20"/>
                <w14:textFill>
                  <w14:solidFill>
                    <w14:schemeClr w14:val="tx1"/>
                  </w14:solidFill>
                </w14:textFill>
              </w:rPr>
              <w:t>H</w:t>
            </w:r>
            <w:r>
              <w:rPr>
                <w:rFonts w:hint="eastAsia"/>
                <w:i/>
                <w:iCs/>
                <w:color w:val="000000" w:themeColor="text1"/>
                <w:szCs w:val="20"/>
                <w14:textFill>
                  <w14:solidFill>
                    <w14:schemeClr w14:val="tx1"/>
                  </w14:solidFill>
                </w14:textFill>
              </w:rPr>
              <w:t>v</w:t>
            </w:r>
            <w:r>
              <w:rPr>
                <w:rFonts w:hint="eastAsia"/>
                <w:i/>
                <w:iCs/>
                <w:color w:val="000000" w:themeColor="text1"/>
                <w:szCs w:val="20"/>
                <w:vertAlign w:val="subscript"/>
                <w14:textFill>
                  <w14:solidFill>
                    <w14:schemeClr w14:val="tx1"/>
                  </w14:solidFill>
                </w14:textFill>
              </w:rPr>
              <w:t>x</w:t>
            </w:r>
            <w:r>
              <w:rPr>
                <w:rFonts w:hint="eastAsia"/>
                <w:i/>
                <w:iCs/>
                <w:color w:val="000000" w:themeColor="text1"/>
                <w:szCs w:val="20"/>
                <w14:textFill>
                  <w14:solidFill>
                    <w14:schemeClr w14:val="tx1"/>
                  </w14:solidFill>
                </w14:textFill>
              </w:rPr>
              <w:t>或</w:t>
            </w:r>
            <w:r>
              <w:rPr>
                <w:i/>
                <w:iCs/>
                <w:color w:val="000000" w:themeColor="text1"/>
                <w:szCs w:val="20"/>
                <w14:textFill>
                  <w14:solidFill>
                    <w14:schemeClr w14:val="tx1"/>
                  </w14:solidFill>
                </w14:textFill>
              </w:rPr>
              <w:t>Q</w:t>
            </w:r>
            <w:r>
              <w:rPr>
                <w:color w:val="000000" w:themeColor="text1"/>
                <w:szCs w:val="20"/>
                <w14:textFill>
                  <w14:solidFill>
                    <w14:schemeClr w14:val="tx1"/>
                  </w14:solidFill>
                </w14:textFill>
              </w:rPr>
              <w:t>=B</w:t>
            </w:r>
            <w:r>
              <w:rPr>
                <w:i/>
                <w:iCs/>
                <w:color w:val="000000" w:themeColor="text1"/>
                <w:szCs w:val="20"/>
                <w14:textFill>
                  <w14:solidFill>
                    <w14:schemeClr w14:val="tx1"/>
                  </w14:solidFill>
                </w14:textFill>
              </w:rPr>
              <w:t>H</w:t>
            </w:r>
            <w:r>
              <w:rPr>
                <w:rFonts w:hint="eastAsia"/>
                <w:i/>
                <w:iCs/>
                <w:color w:val="000000" w:themeColor="text1"/>
                <w:szCs w:val="20"/>
                <w14:textFill>
                  <w14:solidFill>
                    <w14:schemeClr w14:val="tx1"/>
                  </w14:solidFill>
                </w14:textFill>
              </w:rPr>
              <w:t>v</w:t>
            </w:r>
            <w:r>
              <w:rPr>
                <w:rFonts w:hint="eastAsia"/>
                <w:i/>
                <w:iCs/>
                <w:color w:val="000000" w:themeColor="text1"/>
                <w:szCs w:val="20"/>
                <w:vertAlign w:val="subscript"/>
                <w14:textFill>
                  <w14:solidFill>
                    <w14:schemeClr w14:val="tx1"/>
                  </w14:solidFill>
                </w14:textFill>
              </w:rPr>
              <w:t>x</w:t>
            </w:r>
          </w:p>
          <w:p w14:paraId="5B18E1BC">
            <w:pPr>
              <w:pStyle w:val="138"/>
              <w:shd w:val="clear" w:color="auto" w:fill="FFFFFF"/>
              <w:snapToGrid/>
              <w:ind w:firstLine="480"/>
              <w:rPr>
                <w:color w:val="000000" w:themeColor="text1"/>
                <w:szCs w:val="20"/>
                <w14:textFill>
                  <w14:solidFill>
                    <w14:schemeClr w14:val="tx1"/>
                  </w14:solidFill>
                </w14:textFill>
              </w:rPr>
            </w:pPr>
            <w:r>
              <w:rPr>
                <w:rFonts w:hint="eastAsia"/>
                <w:color w:val="000000" w:themeColor="text1"/>
                <w:szCs w:val="20"/>
                <w14:textFill>
                  <w14:solidFill>
                    <w14:schemeClr w14:val="tx1"/>
                  </w14:solidFill>
                </w14:textFill>
              </w:rPr>
              <w:t>式中：</w:t>
            </w:r>
          </w:p>
          <w:p w14:paraId="6498D6EA">
            <w:pPr>
              <w:pStyle w:val="138"/>
              <w:shd w:val="clear" w:color="auto" w:fill="FFFFFF"/>
              <w:snapToGrid/>
              <w:ind w:firstLine="480"/>
              <w:rPr>
                <w:color w:val="000000" w:themeColor="text1"/>
                <w:szCs w:val="20"/>
                <w14:textFill>
                  <w14:solidFill>
                    <w14:schemeClr w14:val="tx1"/>
                  </w14:solidFill>
                </w14:textFill>
              </w:rPr>
            </w:pPr>
            <w:r>
              <w:rPr>
                <w:i/>
                <w:iCs/>
                <w:color w:val="000000" w:themeColor="text1"/>
                <w:szCs w:val="20"/>
                <w14:textFill>
                  <w14:solidFill>
                    <w14:schemeClr w14:val="tx1"/>
                  </w14:solidFill>
                </w14:textFill>
              </w:rPr>
              <w:t>Q</w:t>
            </w:r>
            <w:r>
              <w:rPr>
                <w:color w:val="000000" w:themeColor="text1"/>
                <w:szCs w:val="20"/>
                <w14:textFill>
                  <w14:solidFill>
                    <w14:schemeClr w14:val="tx1"/>
                  </w14:solidFill>
                </w14:textFill>
              </w:rPr>
              <w:t>——</w:t>
            </w:r>
            <w:r>
              <w:rPr>
                <w:rFonts w:hint="eastAsia"/>
                <w:color w:val="000000" w:themeColor="text1"/>
                <w:szCs w:val="20"/>
                <w14:textFill>
                  <w14:solidFill>
                    <w14:schemeClr w14:val="tx1"/>
                  </w14:solidFill>
                </w14:textFill>
              </w:rPr>
              <w:t>集气罩排放量，</w:t>
            </w:r>
            <w:r>
              <w:rPr>
                <w:color w:val="000000" w:themeColor="text1"/>
                <w:szCs w:val="20"/>
                <w14:textFill>
                  <w14:solidFill>
                    <w14:schemeClr w14:val="tx1"/>
                  </w14:solidFill>
                </w14:textFill>
              </w:rPr>
              <w:t>m</w:t>
            </w:r>
            <w:r>
              <w:rPr>
                <w:color w:val="000000" w:themeColor="text1"/>
                <w:szCs w:val="20"/>
                <w:vertAlign w:val="superscript"/>
                <w14:textFill>
                  <w14:solidFill>
                    <w14:schemeClr w14:val="tx1"/>
                  </w14:solidFill>
                </w14:textFill>
              </w:rPr>
              <w:t>3</w:t>
            </w:r>
            <w:r>
              <w:rPr>
                <w:color w:val="000000" w:themeColor="text1"/>
                <w:szCs w:val="20"/>
                <w14:textFill>
                  <w14:solidFill>
                    <w14:schemeClr w14:val="tx1"/>
                  </w14:solidFill>
                </w14:textFill>
              </w:rPr>
              <w:t>/s</w:t>
            </w:r>
            <w:r>
              <w:rPr>
                <w:rFonts w:hint="eastAsia"/>
                <w:color w:val="000000" w:themeColor="text1"/>
                <w:szCs w:val="20"/>
                <w14:textFill>
                  <w14:solidFill>
                    <w14:schemeClr w14:val="tx1"/>
                  </w14:solidFill>
                </w14:textFill>
              </w:rPr>
              <w:t>；</w:t>
            </w:r>
            <w:r>
              <w:rPr>
                <w:i/>
                <w:iCs/>
                <w:color w:val="000000" w:themeColor="text1"/>
                <w:szCs w:val="20"/>
                <w14:textFill>
                  <w14:solidFill>
                    <w14:schemeClr w14:val="tx1"/>
                  </w14:solidFill>
                </w14:textFill>
              </w:rPr>
              <w:t>H</w:t>
            </w:r>
            <w:r>
              <w:rPr>
                <w:color w:val="000000" w:themeColor="text1"/>
                <w:szCs w:val="20"/>
                <w14:textFill>
                  <w14:solidFill>
                    <w14:schemeClr w14:val="tx1"/>
                  </w14:solidFill>
                </w14:textFill>
              </w:rPr>
              <w:t>——</w:t>
            </w:r>
            <w:r>
              <w:rPr>
                <w:rFonts w:hint="eastAsia"/>
                <w:color w:val="000000" w:themeColor="text1"/>
                <w:szCs w:val="20"/>
                <w14:textFill>
                  <w14:solidFill>
                    <w14:schemeClr w14:val="tx1"/>
                  </w14:solidFill>
                </w14:textFill>
              </w:rPr>
              <w:t>污染物至罩口的距离，</w:t>
            </w:r>
            <w:r>
              <w:rPr>
                <w:color w:val="000000" w:themeColor="text1"/>
                <w:szCs w:val="20"/>
                <w14:textFill>
                  <w14:solidFill>
                    <w14:schemeClr w14:val="tx1"/>
                  </w14:solidFill>
                </w14:textFill>
              </w:rPr>
              <w:t>m</w:t>
            </w:r>
            <w:r>
              <w:rPr>
                <w:rFonts w:hint="eastAsia"/>
                <w:color w:val="000000" w:themeColor="text1"/>
                <w:szCs w:val="20"/>
                <w14:textFill>
                  <w14:solidFill>
                    <w14:schemeClr w14:val="tx1"/>
                  </w14:solidFill>
                </w14:textFill>
              </w:rPr>
              <w:t>；</w:t>
            </w:r>
          </w:p>
          <w:p w14:paraId="5679C53E">
            <w:pPr>
              <w:pStyle w:val="138"/>
              <w:shd w:val="clear" w:color="auto" w:fill="FFFFFF"/>
              <w:snapToGrid/>
              <w:ind w:firstLine="480"/>
              <w:rPr>
                <w:color w:val="000000" w:themeColor="text1"/>
                <w:szCs w:val="20"/>
                <w14:textFill>
                  <w14:solidFill>
                    <w14:schemeClr w14:val="tx1"/>
                  </w14:solidFill>
                </w14:textFill>
              </w:rPr>
            </w:pPr>
            <w:r>
              <w:rPr>
                <w:color w:val="000000" w:themeColor="text1"/>
                <w:szCs w:val="20"/>
                <w14:textFill>
                  <w14:solidFill>
                    <w14:schemeClr w14:val="tx1"/>
                  </w14:solidFill>
                </w14:textFill>
              </w:rPr>
              <w:t>W——</w:t>
            </w:r>
            <w:r>
              <w:rPr>
                <w:rFonts w:hint="eastAsia"/>
                <w:color w:val="000000" w:themeColor="text1"/>
                <w:szCs w:val="20"/>
                <w14:textFill>
                  <w14:solidFill>
                    <w14:schemeClr w14:val="tx1"/>
                  </w14:solidFill>
                </w14:textFill>
              </w:rPr>
              <w:t>罩口长度，</w:t>
            </w:r>
            <w:r>
              <w:rPr>
                <w:color w:val="000000" w:themeColor="text1"/>
                <w:szCs w:val="20"/>
                <w14:textFill>
                  <w14:solidFill>
                    <w14:schemeClr w14:val="tx1"/>
                  </w14:solidFill>
                </w14:textFill>
              </w:rPr>
              <w:t>m</w:t>
            </w:r>
            <w:r>
              <w:rPr>
                <w:rFonts w:hint="eastAsia"/>
                <w:color w:val="000000" w:themeColor="text1"/>
                <w:szCs w:val="20"/>
                <w14:textFill>
                  <w14:solidFill>
                    <w14:schemeClr w14:val="tx1"/>
                  </w14:solidFill>
                </w14:textFill>
              </w:rPr>
              <w:t>；B</w:t>
            </w:r>
            <w:r>
              <w:rPr>
                <w:color w:val="000000" w:themeColor="text1"/>
                <w:szCs w:val="20"/>
                <w14:textFill>
                  <w14:solidFill>
                    <w14:schemeClr w14:val="tx1"/>
                  </w14:solidFill>
                </w14:textFill>
              </w:rPr>
              <w:t>——</w:t>
            </w:r>
            <w:r>
              <w:rPr>
                <w:rFonts w:hint="eastAsia"/>
                <w:color w:val="000000" w:themeColor="text1"/>
                <w:szCs w:val="20"/>
                <w14:textFill>
                  <w14:solidFill>
                    <w14:schemeClr w14:val="tx1"/>
                  </w14:solidFill>
                </w14:textFill>
              </w:rPr>
              <w:t>罩口宽度，</w:t>
            </w:r>
            <w:r>
              <w:rPr>
                <w:color w:val="000000" w:themeColor="text1"/>
                <w:szCs w:val="20"/>
                <w14:textFill>
                  <w14:solidFill>
                    <w14:schemeClr w14:val="tx1"/>
                  </w14:solidFill>
                </w14:textFill>
              </w:rPr>
              <w:t>m</w:t>
            </w:r>
            <w:r>
              <w:rPr>
                <w:rFonts w:hint="eastAsia"/>
                <w:color w:val="000000" w:themeColor="text1"/>
                <w:szCs w:val="20"/>
                <w14:textFill>
                  <w14:solidFill>
                    <w14:schemeClr w14:val="tx1"/>
                  </w14:solidFill>
                </w14:textFill>
              </w:rPr>
              <w:t>；</w:t>
            </w:r>
            <w:r>
              <w:rPr>
                <w:rFonts w:hint="eastAsia"/>
                <w:i/>
                <w:iCs/>
                <w:color w:val="000000" w:themeColor="text1"/>
                <w:szCs w:val="20"/>
                <w14:textFill>
                  <w14:solidFill>
                    <w14:schemeClr w14:val="tx1"/>
                  </w14:solidFill>
                </w14:textFill>
              </w:rPr>
              <w:t>v</w:t>
            </w:r>
            <w:r>
              <w:rPr>
                <w:i/>
                <w:iCs/>
                <w:color w:val="000000" w:themeColor="text1"/>
                <w:szCs w:val="20"/>
                <w:vertAlign w:val="subscript"/>
                <w14:textFill>
                  <w14:solidFill>
                    <w14:schemeClr w14:val="tx1"/>
                  </w14:solidFill>
                </w14:textFill>
              </w:rPr>
              <w:t>x</w:t>
            </w:r>
            <w:r>
              <w:rPr>
                <w:color w:val="000000" w:themeColor="text1"/>
                <w:szCs w:val="20"/>
                <w14:textFill>
                  <w14:solidFill>
                    <w14:schemeClr w14:val="tx1"/>
                  </w14:solidFill>
                </w14:textFill>
              </w:rPr>
              <w:t>——</w:t>
            </w:r>
            <w:r>
              <w:rPr>
                <w:rFonts w:hint="eastAsia"/>
                <w:color w:val="000000" w:themeColor="text1"/>
                <w:szCs w:val="20"/>
                <w14:textFill>
                  <w14:solidFill>
                    <w14:schemeClr w14:val="tx1"/>
                  </w14:solidFill>
                </w14:textFill>
              </w:rPr>
              <w:t>最小控制风速，</w:t>
            </w:r>
            <w:r>
              <w:rPr>
                <w:color w:val="000000" w:themeColor="text1"/>
                <w:szCs w:val="20"/>
                <w14:textFill>
                  <w14:solidFill>
                    <w14:schemeClr w14:val="tx1"/>
                  </w14:solidFill>
                </w14:textFill>
              </w:rPr>
              <w:t>m/s</w:t>
            </w:r>
            <w:r>
              <w:rPr>
                <w:rFonts w:hint="eastAsia"/>
                <w:color w:val="000000" w:themeColor="text1"/>
                <w:szCs w:val="20"/>
                <w14:textFill>
                  <w14:solidFill>
                    <w14:schemeClr w14:val="tx1"/>
                  </w14:solidFill>
                </w14:textFill>
              </w:rPr>
              <w:t>。</w:t>
            </w:r>
          </w:p>
          <w:p w14:paraId="1890CD7E">
            <w:pPr>
              <w:spacing w:line="360" w:lineRule="auto"/>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本建设项目设置</w:t>
            </w:r>
          </w:p>
          <w:p w14:paraId="062818D1">
            <w:pPr>
              <w:tabs>
                <w:tab w:val="left" w:pos="7437"/>
              </w:tabs>
              <w:spacing w:line="360" w:lineRule="auto"/>
              <w:ind w:firstLine="480" w:firstLineChars="200"/>
              <w:rPr>
                <w:color w:val="000000" w:themeColor="text1"/>
                <w14:textFill>
                  <w14:solidFill>
                    <w14:schemeClr w14:val="tx1"/>
                  </w14:solidFill>
                </w14:textFill>
              </w:rPr>
            </w:pPr>
            <w:r>
              <w:rPr>
                <w:rFonts w:hint="eastAsia"/>
                <w:color w:val="000000" w:themeColor="text1"/>
                <w:sz w:val="24"/>
                <w:szCs w:val="22"/>
                <w14:textFill>
                  <w14:solidFill>
                    <w14:schemeClr w14:val="tx1"/>
                  </w14:solidFill>
                </w14:textFill>
              </w:rPr>
              <w:t>开料机3台，雕刻机3台，打磨机10台，切割机2台，焊接机2台，并</w:t>
            </w:r>
            <w:r>
              <w:rPr>
                <w:color w:val="000000" w:themeColor="text1"/>
                <w:sz w:val="24"/>
                <w:szCs w:val="22"/>
                <w14:textFill>
                  <w14:solidFill>
                    <w14:schemeClr w14:val="tx1"/>
                  </w14:solidFill>
                </w14:textFill>
              </w:rPr>
              <w:t>将</w:t>
            </w:r>
            <w:r>
              <w:rPr>
                <w:rFonts w:hint="eastAsia"/>
                <w:color w:val="000000" w:themeColor="text1"/>
                <w:sz w:val="24"/>
                <w:szCs w:val="22"/>
                <w14:textFill>
                  <w14:solidFill>
                    <w14:schemeClr w14:val="tx1"/>
                  </w14:solidFill>
                </w14:textFill>
              </w:rPr>
              <w:t>生产设备集中设置在车间内</w:t>
            </w:r>
            <w:r>
              <w:rPr>
                <w:color w:val="000000" w:themeColor="text1"/>
                <w:sz w:val="24"/>
                <w:szCs w:val="22"/>
                <w14:textFill>
                  <w14:solidFill>
                    <w14:schemeClr w14:val="tx1"/>
                  </w14:solidFill>
                </w14:textFill>
              </w:rPr>
              <w:t>，</w:t>
            </w:r>
            <w:r>
              <w:rPr>
                <w:rFonts w:hint="eastAsia"/>
                <w:color w:val="000000" w:themeColor="text1"/>
                <w:sz w:val="24"/>
                <w:szCs w:val="22"/>
                <w14:textFill>
                  <w14:solidFill>
                    <w14:schemeClr w14:val="tx1"/>
                  </w14:solidFill>
                </w14:textFill>
              </w:rPr>
              <w:t>以上每台生产设备</w:t>
            </w:r>
            <w:r>
              <w:rPr>
                <w:color w:val="000000" w:themeColor="text1"/>
                <w:sz w:val="24"/>
                <w:szCs w:val="22"/>
                <w14:textFill>
                  <w14:solidFill>
                    <w14:schemeClr w14:val="tx1"/>
                  </w14:solidFill>
                </w14:textFill>
              </w:rPr>
              <w:t>上方</w:t>
            </w:r>
            <w:r>
              <w:rPr>
                <w:rFonts w:hint="eastAsia"/>
                <w:color w:val="000000" w:themeColor="text1"/>
                <w:sz w:val="24"/>
                <w:szCs w:val="22"/>
                <w14:textFill>
                  <w14:solidFill>
                    <w14:schemeClr w14:val="tx1"/>
                  </w14:solidFill>
                </w14:textFill>
              </w:rPr>
              <w:t>各</w:t>
            </w:r>
            <w:r>
              <w:rPr>
                <w:color w:val="000000" w:themeColor="text1"/>
                <w:sz w:val="24"/>
                <w:szCs w:val="22"/>
                <w14:textFill>
                  <w14:solidFill>
                    <w14:schemeClr w14:val="tx1"/>
                  </w14:solidFill>
                </w14:textFill>
              </w:rPr>
              <w:t>设置1个</w:t>
            </w:r>
            <w:r>
              <w:rPr>
                <w:rFonts w:hint="eastAsia"/>
                <w:color w:val="000000" w:themeColor="text1"/>
                <w:sz w:val="24"/>
                <w:szCs w:val="22"/>
                <w14:textFill>
                  <w14:solidFill>
                    <w14:schemeClr w14:val="tx1"/>
                  </w14:solidFill>
                </w14:textFill>
              </w:rPr>
              <w:t>矩形</w:t>
            </w:r>
            <w:r>
              <w:rPr>
                <w:color w:val="000000" w:themeColor="text1"/>
                <w:sz w:val="24"/>
                <w:szCs w:val="22"/>
                <w14:textFill>
                  <w14:solidFill>
                    <w14:schemeClr w14:val="tx1"/>
                  </w14:solidFill>
                </w14:textFill>
              </w:rPr>
              <w:t>集气罩口</w:t>
            </w:r>
            <w:r>
              <w:rPr>
                <w:rFonts w:hint="eastAsia"/>
                <w:color w:val="000000" w:themeColor="text1"/>
                <w:sz w:val="24"/>
                <w:szCs w:val="22"/>
                <w14:textFill>
                  <w14:solidFill>
                    <w14:schemeClr w14:val="tx1"/>
                  </w14:solidFill>
                </w14:textFill>
              </w:rPr>
              <w:t>，无设置围挡</w:t>
            </w:r>
            <w:r>
              <w:rPr>
                <w:color w:val="000000" w:themeColor="text1"/>
                <w:sz w:val="24"/>
                <w:szCs w:val="22"/>
                <w14:textFill>
                  <w14:solidFill>
                    <w14:schemeClr w14:val="tx1"/>
                  </w14:solidFill>
                </w14:textFill>
              </w:rPr>
              <w:t>，</w:t>
            </w:r>
            <w:r>
              <w:rPr>
                <w:rFonts w:hint="eastAsia"/>
                <w:color w:val="000000" w:themeColor="text1"/>
                <w:sz w:val="24"/>
                <w:szCs w:val="22"/>
                <w14:textFill>
                  <w14:solidFill>
                    <w14:schemeClr w14:val="tx1"/>
                  </w14:solidFill>
                </w14:textFill>
              </w:rPr>
              <w:t>口规格详见下表</w:t>
            </w:r>
            <w:r>
              <w:rPr>
                <w:color w:val="000000" w:themeColor="text1"/>
                <w:sz w:val="24"/>
                <w:szCs w:val="22"/>
                <w14:textFill>
                  <w14:solidFill>
                    <w14:schemeClr w14:val="tx1"/>
                  </w14:solidFill>
                </w14:textFill>
              </w:rPr>
              <w:t>，距离</w:t>
            </w:r>
            <w:r>
              <w:rPr>
                <w:rFonts w:hint="eastAsia"/>
                <w:color w:val="000000" w:themeColor="text1"/>
                <w:sz w:val="24"/>
                <w14:textFill>
                  <w14:solidFill>
                    <w14:schemeClr w14:val="tx1"/>
                  </w14:solidFill>
                </w14:textFill>
              </w:rPr>
              <w:t>产污点</w:t>
            </w:r>
            <w:r>
              <w:rPr>
                <w:color w:val="000000" w:themeColor="text1"/>
                <w:sz w:val="24"/>
                <w:szCs w:val="22"/>
                <w14:textFill>
                  <w14:solidFill>
                    <w14:schemeClr w14:val="tx1"/>
                  </w14:solidFill>
                </w14:textFill>
              </w:rPr>
              <w:t>0.4m</w:t>
            </w:r>
            <w:r>
              <w:rPr>
                <w:rFonts w:hint="eastAsia"/>
                <w:color w:val="000000" w:themeColor="text1"/>
                <w:sz w:val="24"/>
                <w:szCs w:val="22"/>
                <w14:textFill>
                  <w14:solidFill>
                    <w14:schemeClr w14:val="tx1"/>
                  </w14:solidFill>
                </w14:textFill>
              </w:rPr>
              <w:t>，控制风速取0</w:t>
            </w:r>
            <w:r>
              <w:rPr>
                <w:color w:val="000000" w:themeColor="text1"/>
                <w:sz w:val="24"/>
                <w:szCs w:val="22"/>
                <w14:textFill>
                  <w14:solidFill>
                    <w14:schemeClr w14:val="tx1"/>
                  </w14:solidFill>
                </w14:textFill>
              </w:rPr>
              <w:t>.5</w:t>
            </w:r>
            <w:r>
              <w:rPr>
                <w:rFonts w:hint="eastAsia"/>
                <w:color w:val="000000" w:themeColor="text1"/>
                <w:sz w:val="24"/>
                <w:szCs w:val="22"/>
                <w14:textFill>
                  <w14:solidFill>
                    <w14:schemeClr w14:val="tx1"/>
                  </w14:solidFill>
                </w14:textFill>
              </w:rPr>
              <w:t>m</w:t>
            </w:r>
            <w:r>
              <w:rPr>
                <w:color w:val="000000" w:themeColor="text1"/>
                <w:sz w:val="24"/>
                <w:szCs w:val="22"/>
                <w14:textFill>
                  <w14:solidFill>
                    <w14:schemeClr w14:val="tx1"/>
                  </w14:solidFill>
                </w14:textFill>
              </w:rPr>
              <w:t>/</w:t>
            </w:r>
            <w:r>
              <w:rPr>
                <w:rFonts w:hint="eastAsia"/>
                <w:color w:val="000000" w:themeColor="text1"/>
                <w:sz w:val="24"/>
                <w:szCs w:val="22"/>
                <w14:textFill>
                  <w14:solidFill>
                    <w14:schemeClr w14:val="tx1"/>
                  </w14:solidFill>
                </w14:textFill>
              </w:rPr>
              <w:t>s。</w:t>
            </w:r>
            <w:r>
              <w:rPr>
                <w:rFonts w:hint="eastAsia"/>
                <w:color w:val="000000" w:themeColor="text1"/>
                <w:sz w:val="24"/>
                <w14:textFill>
                  <w14:solidFill>
                    <w14:schemeClr w14:val="tx1"/>
                  </w14:solidFill>
                </w14:textFill>
              </w:rPr>
              <w:t>经计算</w:t>
            </w:r>
            <w:r>
              <w:rPr>
                <w:color w:val="000000" w:themeColor="text1"/>
                <w:sz w:val="24"/>
                <w14:textFill>
                  <w14:solidFill>
                    <w14:schemeClr w14:val="tx1"/>
                  </w14:solidFill>
                </w14:textFill>
              </w:rPr>
              <w:t>，集气罩</w:t>
            </w:r>
            <w:r>
              <w:rPr>
                <w:rFonts w:hint="eastAsia"/>
                <w:color w:val="000000" w:themeColor="text1"/>
                <w:sz w:val="24"/>
                <w14:textFill>
                  <w14:solidFill>
                    <w14:schemeClr w14:val="tx1"/>
                  </w14:solidFill>
                </w14:textFill>
              </w:rPr>
              <w:t>所需总</w:t>
            </w:r>
            <w:r>
              <w:rPr>
                <w:color w:val="000000" w:themeColor="text1"/>
                <w:sz w:val="24"/>
                <w14:textFill>
                  <w14:solidFill>
                    <w14:schemeClr w14:val="tx1"/>
                  </w14:solidFill>
                </w14:textFill>
              </w:rPr>
              <w:t>风量为</w:t>
            </w:r>
            <w:r>
              <w:rPr>
                <w:rFonts w:hint="eastAsia"/>
                <w:color w:val="000000" w:themeColor="text1"/>
                <w:sz w:val="24"/>
                <w14:textFill>
                  <w14:solidFill>
                    <w14:schemeClr w14:val="tx1"/>
                  </w14:solidFill>
                </w14:textFill>
              </w:rPr>
              <w:t>5184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r>
              <w:rPr>
                <w:rFonts w:hint="eastAsia"/>
                <w:color w:val="000000" w:themeColor="text1"/>
                <w:sz w:val="24"/>
                <w14:textFill>
                  <w14:solidFill>
                    <w14:schemeClr w14:val="tx1"/>
                  </w14:solidFill>
                </w14:textFill>
              </w:rPr>
              <w:t>，根据《吸附法工业有机废气治理工程技术规范（HJ 2026-2013）》设计风量宜按照最大废气排放量的120%，设计风量为6221</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r>
              <w:rPr>
                <w:rFonts w:hint="eastAsia"/>
                <w:color w:val="000000" w:themeColor="text1"/>
                <w:sz w:val="24"/>
                <w14:textFill>
                  <w14:solidFill>
                    <w14:schemeClr w14:val="tx1"/>
                  </w14:solidFill>
                </w14:textFill>
              </w:rPr>
              <w:t>，本次评价取整，设计</w:t>
            </w:r>
            <w:r>
              <w:rPr>
                <w:rFonts w:hint="eastAsia"/>
                <w:bCs/>
                <w:color w:val="000000" w:themeColor="text1"/>
                <w:sz w:val="24"/>
                <w14:textFill>
                  <w14:solidFill>
                    <w14:schemeClr w14:val="tx1"/>
                  </w14:solidFill>
                </w14:textFill>
              </w:rPr>
              <w:t>开料、雕刻、打磨、切割、焊接工序废气处理装置收集</w:t>
            </w:r>
            <w:r>
              <w:rPr>
                <w:rFonts w:hint="eastAsia"/>
                <w:color w:val="000000" w:themeColor="text1"/>
                <w:sz w:val="24"/>
                <w14:textFill>
                  <w14:solidFill>
                    <w14:schemeClr w14:val="tx1"/>
                  </w14:solidFill>
                </w14:textFill>
              </w:rPr>
              <w:t>风量取70</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h。废气</w:t>
            </w:r>
            <w:r>
              <w:rPr>
                <w:color w:val="000000" w:themeColor="text1"/>
                <w:sz w:val="24"/>
                <w14:textFill>
                  <w14:solidFill>
                    <w14:schemeClr w14:val="tx1"/>
                  </w14:solidFill>
                </w14:textFill>
              </w:rPr>
              <w:t>收集后引至一套</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布袋除尘</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1</w:t>
            </w:r>
            <w:r>
              <w:rPr>
                <w:bCs/>
                <w:color w:val="000000" w:themeColor="text1"/>
                <w:sz w:val="24"/>
                <w14:textFill>
                  <w14:solidFill>
                    <w14:schemeClr w14:val="tx1"/>
                  </w14:solidFill>
                </w14:textFill>
              </w:rPr>
              <w:t>排放。</w:t>
            </w:r>
          </w:p>
          <w:p w14:paraId="4B4CCCB0">
            <w:pPr>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表4</w:t>
            </w:r>
            <w:r>
              <w:rPr>
                <w:b/>
                <w:bCs/>
                <w:color w:val="000000" w:themeColor="text1"/>
                <w14:textFill>
                  <w14:solidFill>
                    <w14:schemeClr w14:val="tx1"/>
                  </w14:solidFill>
                </w14:textFill>
              </w:rPr>
              <w:t>-3</w:t>
            </w:r>
            <w:r>
              <w:rPr>
                <w:rFonts w:hint="eastAsia"/>
                <w:b/>
                <w:bCs/>
                <w:color w:val="000000" w:themeColor="text1"/>
                <w14:textFill>
                  <w14:solidFill>
                    <w14:schemeClr w14:val="tx1"/>
                  </w14:solidFill>
                </w14:textFill>
              </w:rPr>
              <w:t xml:space="preserve"> 项目集气罩口规格及集气风量计算表</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1286"/>
              <w:gridCol w:w="1309"/>
              <w:gridCol w:w="1309"/>
              <w:gridCol w:w="1746"/>
              <w:gridCol w:w="1532"/>
            </w:tblGrid>
            <w:tr w14:paraId="38AC4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04" w:type="pct"/>
                  <w:noWrap/>
                  <w:vAlign w:val="center"/>
                </w:tcPr>
                <w:p w14:paraId="5C554FB5">
                  <w:pPr>
                    <w:pStyle w:val="159"/>
                    <w:adjustRightInd w:val="0"/>
                    <w:snapToGrid w:val="0"/>
                    <w:ind w:firstLine="0" w:firstLineChars="0"/>
                    <w:jc w:val="center"/>
                    <w:rPr>
                      <w:rFonts w:ascii="Times New Roman" w:hAnsi="Times New Roman"/>
                      <w:b/>
                      <w:bCs/>
                      <w:color w:val="000000" w:themeColor="text1"/>
                      <w:szCs w:val="21"/>
                      <w14:textFill>
                        <w14:solidFill>
                          <w14:schemeClr w14:val="tx1"/>
                        </w14:solidFill>
                      </w14:textFill>
                    </w:rPr>
                  </w:pPr>
                  <w:r>
                    <w:rPr>
                      <w:rFonts w:hint="eastAsia" w:ascii="Times New Roman" w:hAnsi="Times New Roman"/>
                      <w:b/>
                      <w:bCs/>
                      <w:color w:val="000000" w:themeColor="text1"/>
                      <w:szCs w:val="21"/>
                      <w14:textFill>
                        <w14:solidFill>
                          <w14:schemeClr w14:val="tx1"/>
                        </w14:solidFill>
                      </w14:textFill>
                    </w:rPr>
                    <w:t>设备</w:t>
                  </w:r>
                </w:p>
              </w:tc>
              <w:tc>
                <w:tcPr>
                  <w:tcW w:w="787" w:type="pct"/>
                  <w:noWrap/>
                  <w:vAlign w:val="center"/>
                </w:tcPr>
                <w:p w14:paraId="4FDFAF71">
                  <w:pPr>
                    <w:pStyle w:val="159"/>
                    <w:adjustRightInd w:val="0"/>
                    <w:snapToGrid w:val="0"/>
                    <w:ind w:firstLine="0" w:firstLineChars="0"/>
                    <w:jc w:val="center"/>
                    <w:rPr>
                      <w:rFonts w:ascii="Times New Roman" w:hAnsi="Times New Roman"/>
                      <w:b/>
                      <w:bCs/>
                      <w:color w:val="000000" w:themeColor="text1"/>
                      <w:szCs w:val="21"/>
                      <w14:textFill>
                        <w14:solidFill>
                          <w14:schemeClr w14:val="tx1"/>
                        </w14:solidFill>
                      </w14:textFill>
                    </w:rPr>
                  </w:pPr>
                  <w:r>
                    <w:rPr>
                      <w:rFonts w:hint="eastAsia" w:ascii="Times New Roman" w:hAnsi="Times New Roman"/>
                      <w:b/>
                      <w:bCs/>
                      <w:color w:val="000000" w:themeColor="text1"/>
                      <w:szCs w:val="21"/>
                      <w14:textFill>
                        <w14:solidFill>
                          <w14:schemeClr w14:val="tx1"/>
                        </w14:solidFill>
                      </w14:textFill>
                    </w:rPr>
                    <w:t>数量/台</w:t>
                  </w:r>
                </w:p>
              </w:tc>
              <w:tc>
                <w:tcPr>
                  <w:tcW w:w="801" w:type="pct"/>
                  <w:noWrap/>
                  <w:vAlign w:val="center"/>
                </w:tcPr>
                <w:p w14:paraId="535A4FFA">
                  <w:pPr>
                    <w:pStyle w:val="159"/>
                    <w:adjustRightInd w:val="0"/>
                    <w:snapToGrid w:val="0"/>
                    <w:ind w:firstLine="0" w:firstLineChars="0"/>
                    <w:jc w:val="center"/>
                    <w:rPr>
                      <w:rFonts w:ascii="Times New Roman" w:hAnsi="Times New Roman"/>
                      <w:b/>
                      <w:bCs/>
                      <w:color w:val="000000" w:themeColor="text1"/>
                      <w:szCs w:val="21"/>
                      <w14:textFill>
                        <w14:solidFill>
                          <w14:schemeClr w14:val="tx1"/>
                        </w14:solidFill>
                      </w14:textFill>
                    </w:rPr>
                  </w:pPr>
                  <w:r>
                    <w:rPr>
                      <w:rFonts w:hint="eastAsia" w:ascii="Times New Roman" w:hAnsi="Times New Roman"/>
                      <w:b/>
                      <w:bCs/>
                      <w:color w:val="000000" w:themeColor="text1"/>
                      <w:szCs w:val="21"/>
                      <w14:textFill>
                        <w14:solidFill>
                          <w14:schemeClr w14:val="tx1"/>
                        </w14:solidFill>
                      </w14:textFill>
                    </w:rPr>
                    <w:t>长/m</w:t>
                  </w:r>
                </w:p>
              </w:tc>
              <w:tc>
                <w:tcPr>
                  <w:tcW w:w="801" w:type="pct"/>
                  <w:noWrap/>
                  <w:vAlign w:val="center"/>
                </w:tcPr>
                <w:p w14:paraId="4ABB0010">
                  <w:pPr>
                    <w:pStyle w:val="159"/>
                    <w:adjustRightInd w:val="0"/>
                    <w:snapToGrid w:val="0"/>
                    <w:ind w:firstLine="0" w:firstLineChars="0"/>
                    <w:jc w:val="center"/>
                    <w:rPr>
                      <w:rFonts w:ascii="Times New Roman" w:hAnsi="Times New Roman"/>
                      <w:b/>
                      <w:bCs/>
                      <w:color w:val="000000" w:themeColor="text1"/>
                      <w:szCs w:val="21"/>
                      <w14:textFill>
                        <w14:solidFill>
                          <w14:schemeClr w14:val="tx1"/>
                        </w14:solidFill>
                      </w14:textFill>
                    </w:rPr>
                  </w:pPr>
                  <w:r>
                    <w:rPr>
                      <w:rFonts w:hint="eastAsia" w:ascii="Times New Roman" w:hAnsi="Times New Roman"/>
                      <w:b/>
                      <w:bCs/>
                      <w:color w:val="000000" w:themeColor="text1"/>
                      <w:szCs w:val="21"/>
                      <w14:textFill>
                        <w14:solidFill>
                          <w14:schemeClr w14:val="tx1"/>
                        </w14:solidFill>
                      </w14:textFill>
                    </w:rPr>
                    <w:t>宽/m</w:t>
                  </w:r>
                </w:p>
              </w:tc>
              <w:tc>
                <w:tcPr>
                  <w:tcW w:w="1069" w:type="pct"/>
                  <w:noWrap/>
                  <w:vAlign w:val="center"/>
                </w:tcPr>
                <w:p w14:paraId="02FE4247">
                  <w:pPr>
                    <w:pStyle w:val="159"/>
                    <w:adjustRightInd w:val="0"/>
                    <w:snapToGrid w:val="0"/>
                    <w:ind w:firstLine="0" w:firstLineChars="0"/>
                    <w:jc w:val="center"/>
                    <w:rPr>
                      <w:rFonts w:ascii="Times New Roman" w:hAnsi="Times New Roman"/>
                      <w:b/>
                      <w:bCs/>
                      <w:color w:val="000000" w:themeColor="text1"/>
                      <w:szCs w:val="21"/>
                      <w14:textFill>
                        <w14:solidFill>
                          <w14:schemeClr w14:val="tx1"/>
                        </w14:solidFill>
                      </w14:textFill>
                    </w:rPr>
                  </w:pPr>
                  <w:r>
                    <w:rPr>
                      <w:rFonts w:hint="eastAsia" w:ascii="Times New Roman" w:hAnsi="Times New Roman"/>
                      <w:b/>
                      <w:bCs/>
                      <w:color w:val="000000" w:themeColor="text1"/>
                      <w:szCs w:val="21"/>
                      <w14:textFill>
                        <w14:solidFill>
                          <w14:schemeClr w14:val="tx1"/>
                        </w14:solidFill>
                      </w14:textFill>
                    </w:rPr>
                    <w:t>集气罩风量m</w:t>
                  </w:r>
                  <w:r>
                    <w:rPr>
                      <w:rFonts w:ascii="Times New Roman" w:hAnsi="Times New Roman"/>
                      <w:b/>
                      <w:bCs/>
                      <w:color w:val="000000" w:themeColor="text1"/>
                      <w:szCs w:val="21"/>
                      <w:vertAlign w:val="superscript"/>
                      <w14:textFill>
                        <w14:solidFill>
                          <w14:schemeClr w14:val="tx1"/>
                        </w14:solidFill>
                      </w14:textFill>
                    </w:rPr>
                    <w:t>3</w:t>
                  </w:r>
                  <w:r>
                    <w:rPr>
                      <w:rFonts w:ascii="Times New Roman" w:hAnsi="Times New Roman"/>
                      <w:b/>
                      <w:bCs/>
                      <w:color w:val="000000" w:themeColor="text1"/>
                      <w:szCs w:val="21"/>
                      <w14:textFill>
                        <w14:solidFill>
                          <w14:schemeClr w14:val="tx1"/>
                        </w14:solidFill>
                      </w14:textFill>
                    </w:rPr>
                    <w:t>/</w:t>
                  </w:r>
                  <w:r>
                    <w:rPr>
                      <w:rFonts w:hint="eastAsia" w:ascii="Times New Roman" w:hAnsi="Times New Roman"/>
                      <w:b/>
                      <w:bCs/>
                      <w:color w:val="000000" w:themeColor="text1"/>
                      <w:szCs w:val="21"/>
                      <w14:textFill>
                        <w14:solidFill>
                          <w14:schemeClr w14:val="tx1"/>
                        </w14:solidFill>
                      </w14:textFill>
                    </w:rPr>
                    <w:t>h</w:t>
                  </w:r>
                </w:p>
              </w:tc>
              <w:tc>
                <w:tcPr>
                  <w:tcW w:w="938" w:type="pct"/>
                  <w:noWrap/>
                  <w:vAlign w:val="center"/>
                </w:tcPr>
                <w:p w14:paraId="6F4156D0">
                  <w:pPr>
                    <w:pStyle w:val="159"/>
                    <w:adjustRightInd w:val="0"/>
                    <w:snapToGrid w:val="0"/>
                    <w:ind w:firstLine="0" w:firstLineChars="0"/>
                    <w:jc w:val="center"/>
                    <w:rPr>
                      <w:rFonts w:ascii="Times New Roman" w:hAnsi="Times New Roman"/>
                      <w:b/>
                      <w:bCs/>
                      <w:color w:val="000000" w:themeColor="text1"/>
                      <w:szCs w:val="21"/>
                      <w14:textFill>
                        <w14:solidFill>
                          <w14:schemeClr w14:val="tx1"/>
                        </w14:solidFill>
                      </w14:textFill>
                    </w:rPr>
                  </w:pPr>
                  <w:r>
                    <w:rPr>
                      <w:rFonts w:hint="eastAsia" w:ascii="Times New Roman" w:hAnsi="Times New Roman"/>
                      <w:b/>
                      <w:bCs/>
                      <w:color w:val="000000" w:themeColor="text1"/>
                      <w:szCs w:val="21"/>
                      <w14:textFill>
                        <w14:solidFill>
                          <w14:schemeClr w14:val="tx1"/>
                        </w14:solidFill>
                      </w14:textFill>
                    </w:rPr>
                    <w:t>合计风量m</w:t>
                  </w:r>
                  <w:r>
                    <w:rPr>
                      <w:rFonts w:ascii="Times New Roman" w:hAnsi="Times New Roman"/>
                      <w:b/>
                      <w:bCs/>
                      <w:color w:val="000000" w:themeColor="text1"/>
                      <w:szCs w:val="21"/>
                      <w:vertAlign w:val="superscript"/>
                      <w14:textFill>
                        <w14:solidFill>
                          <w14:schemeClr w14:val="tx1"/>
                        </w14:solidFill>
                      </w14:textFill>
                    </w:rPr>
                    <w:t>3</w:t>
                  </w:r>
                  <w:r>
                    <w:rPr>
                      <w:rFonts w:ascii="Times New Roman" w:hAnsi="Times New Roman"/>
                      <w:b/>
                      <w:bCs/>
                      <w:color w:val="000000" w:themeColor="text1"/>
                      <w:szCs w:val="21"/>
                      <w14:textFill>
                        <w14:solidFill>
                          <w14:schemeClr w14:val="tx1"/>
                        </w14:solidFill>
                      </w14:textFill>
                    </w:rPr>
                    <w:t>/</w:t>
                  </w:r>
                  <w:r>
                    <w:rPr>
                      <w:rFonts w:hint="eastAsia" w:ascii="Times New Roman" w:hAnsi="Times New Roman"/>
                      <w:b/>
                      <w:bCs/>
                      <w:color w:val="000000" w:themeColor="text1"/>
                      <w:szCs w:val="21"/>
                      <w14:textFill>
                        <w14:solidFill>
                          <w14:schemeClr w14:val="tx1"/>
                        </w14:solidFill>
                      </w14:textFill>
                    </w:rPr>
                    <w:t>h</w:t>
                  </w:r>
                </w:p>
              </w:tc>
            </w:tr>
            <w:tr w14:paraId="3E829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04" w:type="pct"/>
                  <w:noWrap/>
                  <w:vAlign w:val="center"/>
                </w:tcPr>
                <w:p w14:paraId="44F30009">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开料机</w:t>
                  </w:r>
                </w:p>
              </w:tc>
              <w:tc>
                <w:tcPr>
                  <w:tcW w:w="787" w:type="pct"/>
                  <w:noWrap/>
                  <w:vAlign w:val="center"/>
                </w:tcPr>
                <w:p w14:paraId="3955411F">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p>
              </w:tc>
              <w:tc>
                <w:tcPr>
                  <w:tcW w:w="801" w:type="pct"/>
                  <w:noWrap/>
                  <w:vAlign w:val="center"/>
                </w:tcPr>
                <w:p w14:paraId="16B012AA">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0.3</w:t>
                  </w:r>
                </w:p>
              </w:tc>
              <w:tc>
                <w:tcPr>
                  <w:tcW w:w="801" w:type="pct"/>
                  <w:noWrap/>
                  <w:vAlign w:val="center"/>
                </w:tcPr>
                <w:p w14:paraId="7BC8B369">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0.3</w:t>
                  </w:r>
                </w:p>
              </w:tc>
              <w:tc>
                <w:tcPr>
                  <w:tcW w:w="1069" w:type="pct"/>
                  <w:noWrap/>
                  <w:vAlign w:val="center"/>
                </w:tcPr>
                <w:p w14:paraId="5D97B110">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216</w:t>
                  </w:r>
                </w:p>
              </w:tc>
              <w:tc>
                <w:tcPr>
                  <w:tcW w:w="938" w:type="pct"/>
                  <w:noWrap/>
                  <w:vAlign w:val="center"/>
                </w:tcPr>
                <w:p w14:paraId="1F709EA3">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648</w:t>
                  </w:r>
                </w:p>
              </w:tc>
            </w:tr>
            <w:tr w14:paraId="20A69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04" w:type="pct"/>
                  <w:noWrap/>
                  <w:vAlign w:val="center"/>
                </w:tcPr>
                <w:p w14:paraId="32A68CC1">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雕刻机</w:t>
                  </w:r>
                </w:p>
              </w:tc>
              <w:tc>
                <w:tcPr>
                  <w:tcW w:w="787" w:type="pct"/>
                  <w:noWrap/>
                  <w:vAlign w:val="center"/>
                </w:tcPr>
                <w:p w14:paraId="3A72A387">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p>
              </w:tc>
              <w:tc>
                <w:tcPr>
                  <w:tcW w:w="801" w:type="pct"/>
                  <w:noWrap/>
                  <w:vAlign w:val="center"/>
                </w:tcPr>
                <w:p w14:paraId="5AF83C98">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0.3</w:t>
                  </w:r>
                </w:p>
              </w:tc>
              <w:tc>
                <w:tcPr>
                  <w:tcW w:w="801" w:type="pct"/>
                  <w:noWrap/>
                  <w:vAlign w:val="center"/>
                </w:tcPr>
                <w:p w14:paraId="00398929">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0.3</w:t>
                  </w:r>
                </w:p>
              </w:tc>
              <w:tc>
                <w:tcPr>
                  <w:tcW w:w="1069" w:type="pct"/>
                  <w:noWrap/>
                  <w:vAlign w:val="center"/>
                </w:tcPr>
                <w:p w14:paraId="3A4F99A0">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216</w:t>
                  </w:r>
                </w:p>
              </w:tc>
              <w:tc>
                <w:tcPr>
                  <w:tcW w:w="938" w:type="pct"/>
                  <w:noWrap/>
                  <w:vAlign w:val="center"/>
                </w:tcPr>
                <w:p w14:paraId="1AC55DA7">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648</w:t>
                  </w:r>
                </w:p>
              </w:tc>
            </w:tr>
            <w:tr w14:paraId="289D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04" w:type="pct"/>
                  <w:noWrap/>
                  <w:vAlign w:val="center"/>
                </w:tcPr>
                <w:p w14:paraId="333AC37D">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打磨机</w:t>
                  </w:r>
                </w:p>
              </w:tc>
              <w:tc>
                <w:tcPr>
                  <w:tcW w:w="787" w:type="pct"/>
                  <w:noWrap/>
                  <w:vAlign w:val="center"/>
                </w:tcPr>
                <w:p w14:paraId="706A5CD0">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10</w:t>
                  </w:r>
                </w:p>
              </w:tc>
              <w:tc>
                <w:tcPr>
                  <w:tcW w:w="801" w:type="pct"/>
                  <w:noWrap/>
                  <w:vAlign w:val="center"/>
                </w:tcPr>
                <w:p w14:paraId="3B777F90">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0.4</w:t>
                  </w:r>
                </w:p>
              </w:tc>
              <w:tc>
                <w:tcPr>
                  <w:tcW w:w="801" w:type="pct"/>
                  <w:noWrap/>
                  <w:vAlign w:val="center"/>
                </w:tcPr>
                <w:p w14:paraId="726595A5">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0.4</w:t>
                  </w:r>
                </w:p>
              </w:tc>
              <w:tc>
                <w:tcPr>
                  <w:tcW w:w="1069" w:type="pct"/>
                  <w:noWrap/>
                  <w:vAlign w:val="center"/>
                </w:tcPr>
                <w:p w14:paraId="3E2ACF15">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288</w:t>
                  </w:r>
                </w:p>
              </w:tc>
              <w:tc>
                <w:tcPr>
                  <w:tcW w:w="938" w:type="pct"/>
                  <w:noWrap/>
                  <w:vAlign w:val="center"/>
                </w:tcPr>
                <w:p w14:paraId="0B572117">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2880</w:t>
                  </w:r>
                </w:p>
              </w:tc>
            </w:tr>
            <w:tr w14:paraId="21FE8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04" w:type="pct"/>
                  <w:noWrap/>
                  <w:vAlign w:val="center"/>
                </w:tcPr>
                <w:p w14:paraId="2D45CE76">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切割机</w:t>
                  </w:r>
                </w:p>
              </w:tc>
              <w:tc>
                <w:tcPr>
                  <w:tcW w:w="787" w:type="pct"/>
                  <w:noWrap/>
                  <w:vAlign w:val="center"/>
                </w:tcPr>
                <w:p w14:paraId="6A0E48E6">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p>
              </w:tc>
              <w:tc>
                <w:tcPr>
                  <w:tcW w:w="801" w:type="pct"/>
                  <w:noWrap/>
                  <w:vAlign w:val="center"/>
                </w:tcPr>
                <w:p w14:paraId="410F9D0F">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0.3</w:t>
                  </w:r>
                </w:p>
              </w:tc>
              <w:tc>
                <w:tcPr>
                  <w:tcW w:w="801" w:type="pct"/>
                  <w:noWrap/>
                  <w:vAlign w:val="center"/>
                </w:tcPr>
                <w:p w14:paraId="0F092BCF">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0.3</w:t>
                  </w:r>
                </w:p>
              </w:tc>
              <w:tc>
                <w:tcPr>
                  <w:tcW w:w="1069" w:type="pct"/>
                  <w:noWrap/>
                  <w:vAlign w:val="center"/>
                </w:tcPr>
                <w:p w14:paraId="6DE25221">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216</w:t>
                  </w:r>
                </w:p>
              </w:tc>
              <w:tc>
                <w:tcPr>
                  <w:tcW w:w="938" w:type="pct"/>
                  <w:noWrap/>
                  <w:vAlign w:val="center"/>
                </w:tcPr>
                <w:p w14:paraId="1E75A318">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432</w:t>
                  </w:r>
                </w:p>
              </w:tc>
            </w:tr>
            <w:tr w14:paraId="6537A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04" w:type="pct"/>
                  <w:noWrap/>
                  <w:vAlign w:val="center"/>
                </w:tcPr>
                <w:p w14:paraId="695DD539">
                  <w:pPr>
                    <w:pStyle w:val="159"/>
                    <w:adjustRightInd w:val="0"/>
                    <w:snapToGrid w:val="0"/>
                    <w:ind w:firstLine="0" w:firstLineChars="0"/>
                    <w:jc w:val="center"/>
                    <w:rPr>
                      <w:rFonts w:ascii="Times New Roman" w:hAnsi="Times New Roman"/>
                      <w:color w:val="7030A0"/>
                      <w:szCs w:val="21"/>
                    </w:rPr>
                  </w:pPr>
                  <w:r>
                    <w:rPr>
                      <w:rFonts w:hint="eastAsia" w:ascii="Times New Roman" w:hAnsi="Times New Roman"/>
                      <w:color w:val="000000" w:themeColor="text1"/>
                      <w:szCs w:val="21"/>
                      <w14:textFill>
                        <w14:solidFill>
                          <w14:schemeClr w14:val="tx1"/>
                        </w14:solidFill>
                      </w14:textFill>
                    </w:rPr>
                    <w:t>焊接机</w:t>
                  </w:r>
                </w:p>
              </w:tc>
              <w:tc>
                <w:tcPr>
                  <w:tcW w:w="787" w:type="pct"/>
                  <w:noWrap/>
                  <w:vAlign w:val="center"/>
                </w:tcPr>
                <w:p w14:paraId="4FC9DCC6">
                  <w:pPr>
                    <w:pStyle w:val="159"/>
                    <w:adjustRightInd w:val="0"/>
                    <w:snapToGrid w:val="0"/>
                    <w:ind w:firstLine="0" w:firstLineChars="0"/>
                    <w:jc w:val="center"/>
                    <w:rPr>
                      <w:rFonts w:ascii="Times New Roman" w:hAnsi="Times New Roman"/>
                      <w:color w:val="7030A0"/>
                      <w:szCs w:val="21"/>
                    </w:rPr>
                  </w:pPr>
                  <w:r>
                    <w:rPr>
                      <w:rFonts w:hint="eastAsia" w:ascii="Times New Roman" w:hAnsi="Times New Roman"/>
                      <w:color w:val="000000" w:themeColor="text1"/>
                      <w:szCs w:val="21"/>
                      <w14:textFill>
                        <w14:solidFill>
                          <w14:schemeClr w14:val="tx1"/>
                        </w14:solidFill>
                      </w14:textFill>
                    </w:rPr>
                    <w:t>2</w:t>
                  </w:r>
                </w:p>
              </w:tc>
              <w:tc>
                <w:tcPr>
                  <w:tcW w:w="801" w:type="pct"/>
                  <w:noWrap/>
                  <w:vAlign w:val="center"/>
                </w:tcPr>
                <w:p w14:paraId="0E277572">
                  <w:pPr>
                    <w:pStyle w:val="159"/>
                    <w:adjustRightInd w:val="0"/>
                    <w:snapToGrid w:val="0"/>
                    <w:ind w:firstLine="0" w:firstLineChars="0"/>
                    <w:jc w:val="center"/>
                    <w:rPr>
                      <w:rFonts w:ascii="Times New Roman" w:hAnsi="Times New Roman"/>
                      <w:color w:val="7030A0"/>
                      <w:szCs w:val="21"/>
                    </w:rPr>
                  </w:pPr>
                  <w:r>
                    <w:rPr>
                      <w:rFonts w:hint="eastAsia" w:ascii="Times New Roman" w:hAnsi="Times New Roman"/>
                      <w:color w:val="000000" w:themeColor="text1"/>
                      <w:szCs w:val="21"/>
                      <w14:textFill>
                        <w14:solidFill>
                          <w14:schemeClr w14:val="tx1"/>
                        </w14:solidFill>
                      </w14:textFill>
                    </w:rPr>
                    <w:t>0.4</w:t>
                  </w:r>
                </w:p>
              </w:tc>
              <w:tc>
                <w:tcPr>
                  <w:tcW w:w="801" w:type="pct"/>
                  <w:noWrap/>
                  <w:vAlign w:val="center"/>
                </w:tcPr>
                <w:p w14:paraId="1AD13DE7">
                  <w:pPr>
                    <w:pStyle w:val="159"/>
                    <w:adjustRightInd w:val="0"/>
                    <w:snapToGrid w:val="0"/>
                    <w:ind w:firstLine="0" w:firstLineChars="0"/>
                    <w:jc w:val="center"/>
                    <w:rPr>
                      <w:rFonts w:ascii="Times New Roman" w:hAnsi="Times New Roman"/>
                      <w:color w:val="7030A0"/>
                      <w:szCs w:val="21"/>
                    </w:rPr>
                  </w:pPr>
                  <w:r>
                    <w:rPr>
                      <w:rFonts w:hint="eastAsia" w:ascii="Times New Roman" w:hAnsi="Times New Roman"/>
                      <w:color w:val="000000" w:themeColor="text1"/>
                      <w:szCs w:val="21"/>
                      <w14:textFill>
                        <w14:solidFill>
                          <w14:schemeClr w14:val="tx1"/>
                        </w14:solidFill>
                      </w14:textFill>
                    </w:rPr>
                    <w:t>0.4</w:t>
                  </w:r>
                </w:p>
              </w:tc>
              <w:tc>
                <w:tcPr>
                  <w:tcW w:w="1069" w:type="pct"/>
                  <w:noWrap/>
                  <w:vAlign w:val="center"/>
                </w:tcPr>
                <w:p w14:paraId="68409631">
                  <w:pPr>
                    <w:pStyle w:val="159"/>
                    <w:adjustRightInd w:val="0"/>
                    <w:snapToGrid w:val="0"/>
                    <w:ind w:firstLine="0" w:firstLineChars="0"/>
                    <w:jc w:val="center"/>
                    <w:rPr>
                      <w:rFonts w:ascii="Times New Roman" w:hAnsi="Times New Roman"/>
                      <w:color w:val="7030A0"/>
                      <w:szCs w:val="21"/>
                    </w:rPr>
                  </w:pPr>
                  <w:r>
                    <w:rPr>
                      <w:rFonts w:hint="eastAsia" w:ascii="Times New Roman" w:hAnsi="Times New Roman"/>
                      <w:color w:val="000000" w:themeColor="text1"/>
                      <w:szCs w:val="21"/>
                      <w14:textFill>
                        <w14:solidFill>
                          <w14:schemeClr w14:val="tx1"/>
                        </w14:solidFill>
                      </w14:textFill>
                    </w:rPr>
                    <w:t>288</w:t>
                  </w:r>
                </w:p>
              </w:tc>
              <w:tc>
                <w:tcPr>
                  <w:tcW w:w="938" w:type="pct"/>
                  <w:noWrap/>
                  <w:vAlign w:val="center"/>
                </w:tcPr>
                <w:p w14:paraId="10CEB663">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576</w:t>
                  </w:r>
                </w:p>
              </w:tc>
            </w:tr>
            <w:tr w14:paraId="6750D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062" w:type="pct"/>
                  <w:gridSpan w:val="5"/>
                  <w:noWrap/>
                  <w:vAlign w:val="center"/>
                </w:tcPr>
                <w:p w14:paraId="3B9FEAFA">
                  <w:pPr>
                    <w:pStyle w:val="159"/>
                    <w:adjustRightInd w:val="0"/>
                    <w:snapToGrid w:val="0"/>
                    <w:ind w:firstLine="0" w:firstLineChars="0"/>
                    <w:jc w:val="center"/>
                    <w:rPr>
                      <w:rFonts w:ascii="Times New Roman" w:hAnsi="Times New Roman"/>
                      <w:color w:val="7030A0"/>
                      <w:szCs w:val="21"/>
                    </w:rPr>
                  </w:pPr>
                  <w:r>
                    <w:rPr>
                      <w:rFonts w:hint="eastAsia" w:ascii="Times New Roman" w:hAnsi="Times New Roman"/>
                      <w:color w:val="000000" w:themeColor="text1"/>
                      <w:szCs w:val="21"/>
                      <w14:textFill>
                        <w14:solidFill>
                          <w14:schemeClr w14:val="tx1"/>
                        </w14:solidFill>
                      </w14:textFill>
                    </w:rPr>
                    <w:t>合计</w:t>
                  </w:r>
                </w:p>
              </w:tc>
              <w:tc>
                <w:tcPr>
                  <w:tcW w:w="938" w:type="pct"/>
                  <w:noWrap/>
                  <w:vAlign w:val="center"/>
                </w:tcPr>
                <w:p w14:paraId="01063CA2">
                  <w:pPr>
                    <w:pStyle w:val="159"/>
                    <w:adjustRightInd w:val="0"/>
                    <w:snapToGrid w:val="0"/>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5184</w:t>
                  </w:r>
                </w:p>
              </w:tc>
            </w:tr>
            <w:tr w14:paraId="0F87D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000" w:type="pct"/>
                  <w:gridSpan w:val="6"/>
                  <w:noWrap/>
                  <w:vAlign w:val="center"/>
                </w:tcPr>
                <w:p w14:paraId="230B9CB7">
                  <w:pPr>
                    <w:pStyle w:val="159"/>
                    <w:adjustRightInd w:val="0"/>
                    <w:snapToGrid w:val="0"/>
                    <w:ind w:firstLine="0" w:firstLineChars="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注：生产设备距离集气口约0.4m，控制风速约0.5m/s</w:t>
                  </w:r>
                </w:p>
              </w:tc>
            </w:tr>
          </w:tbl>
          <w:p w14:paraId="4F6D0A3D">
            <w:pPr>
              <w:tabs>
                <w:tab w:val="left" w:pos="7437"/>
              </w:tabs>
              <w:spacing w:before="156" w:beforeLines="50"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②喷漆、晾干</w:t>
            </w:r>
            <w:r>
              <w:rPr>
                <w:b/>
                <w:bCs/>
                <w:color w:val="000000" w:themeColor="text1"/>
                <w:sz w:val="24"/>
                <w14:textFill>
                  <w14:solidFill>
                    <w14:schemeClr w14:val="tx1"/>
                  </w14:solidFill>
                </w14:textFill>
              </w:rPr>
              <w:t>工序</w:t>
            </w:r>
            <w:r>
              <w:rPr>
                <w:rFonts w:hint="eastAsia"/>
                <w:b/>
                <w:bCs/>
                <w:color w:val="000000" w:themeColor="text1"/>
                <w:sz w:val="24"/>
                <w14:textFill>
                  <w14:solidFill>
                    <w14:schemeClr w14:val="tx1"/>
                  </w14:solidFill>
                </w14:textFill>
              </w:rPr>
              <w:t>废气收集装置</w:t>
            </w:r>
          </w:p>
          <w:p w14:paraId="252EAC5D">
            <w:pPr>
              <w:tabs>
                <w:tab w:val="left" w:pos="7437"/>
              </w:tabs>
              <w:spacing w:line="360" w:lineRule="auto"/>
              <w:ind w:firstLine="480" w:firstLineChars="200"/>
              <w:rPr>
                <w:bCs/>
                <w:color w:val="000000" w:themeColor="text1"/>
                <w:sz w:val="24"/>
                <w14:textFill>
                  <w14:solidFill>
                    <w14:schemeClr w14:val="tx1"/>
                  </w14:solidFill>
                </w14:textFill>
              </w:rPr>
            </w:pPr>
            <w:r>
              <w:rPr>
                <w:color w:val="000000" w:themeColor="text1"/>
                <w:sz w:val="24"/>
                <w14:textFill>
                  <w14:solidFill>
                    <w14:schemeClr w14:val="tx1"/>
                  </w14:solidFill>
                </w14:textFill>
              </w:rPr>
              <w:t>有机废气主要为气态的挥发性有机物，</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工序在</w:t>
            </w:r>
            <w:r>
              <w:rPr>
                <w:rFonts w:hint="eastAsia"/>
                <w:color w:val="000000" w:themeColor="text1"/>
                <w:sz w:val="24"/>
                <w14:textFill>
                  <w14:solidFill>
                    <w14:schemeClr w14:val="tx1"/>
                  </w14:solidFill>
                </w14:textFill>
              </w:rPr>
              <w:t>喷涂喷柜</w:t>
            </w:r>
            <w:r>
              <w:rPr>
                <w:color w:val="000000" w:themeColor="text1"/>
                <w:sz w:val="24"/>
                <w14:textFill>
                  <w14:solidFill>
                    <w14:schemeClr w14:val="tx1"/>
                  </w14:solidFill>
                </w14:textFill>
              </w:rPr>
              <w:t>上完成，</w:t>
            </w:r>
            <w:r>
              <w:rPr>
                <w:rFonts w:hint="eastAsia"/>
                <w:color w:val="000000" w:themeColor="text1"/>
                <w:sz w:val="24"/>
                <w14:textFill>
                  <w14:solidFill>
                    <w14:schemeClr w14:val="tx1"/>
                  </w14:solidFill>
                </w14:textFill>
              </w:rPr>
              <w:t>晾干工序在晾干房内完成。项目设置密闭负压车间，</w:t>
            </w:r>
            <w:r>
              <w:rPr>
                <w:bCs/>
                <w:color w:val="000000" w:themeColor="text1"/>
                <w:sz w:val="24"/>
                <w14:textFill>
                  <w14:solidFill>
                    <w14:schemeClr w14:val="tx1"/>
                  </w14:solidFill>
                </w14:textFill>
              </w:rPr>
              <w:t>为保证废气的捕集效率，建设单位拟采取的措施包括：</w:t>
            </w:r>
            <w:r>
              <w:rPr>
                <w:rFonts w:ascii="Cambria Math" w:hAnsi="Cambria Math" w:cs="Cambria Math"/>
                <w:bCs/>
                <w:color w:val="000000" w:themeColor="text1"/>
                <w:sz w:val="24"/>
                <w14:textFill>
                  <w14:solidFill>
                    <w14:schemeClr w14:val="tx1"/>
                  </w14:solidFill>
                </w14:textFill>
              </w:rPr>
              <w:t>①</w:t>
            </w:r>
            <w:r>
              <w:rPr>
                <w:color w:val="000000" w:themeColor="text1"/>
                <w:sz w:val="24"/>
                <w14:textFill>
                  <w14:solidFill>
                    <w14:schemeClr w14:val="tx1"/>
                  </w14:solidFill>
                </w14:textFill>
              </w:rPr>
              <w:t>采用全密封设备/空间——单层密闭负压（总VOCs产生源设置在密闭车间、密闭设备、密闭管道内，所有开口处，包括人员或物料进出口处呈负压）</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参</w:t>
            </w:r>
            <w:r>
              <w:rPr>
                <w:rFonts w:hint="eastAsia"/>
                <w:color w:val="000000" w:themeColor="text1"/>
                <w:sz w:val="24"/>
                <w14:textFill>
                  <w14:solidFill>
                    <w14:schemeClr w14:val="tx1"/>
                  </w14:solidFill>
                </w14:textFill>
              </w:rPr>
              <w:t>考《</w:t>
            </w:r>
            <w:r>
              <w:rPr>
                <w:color w:val="000000" w:themeColor="text1"/>
                <w:sz w:val="24"/>
                <w14:textFill>
                  <w14:solidFill>
                    <w14:schemeClr w14:val="tx1"/>
                  </w14:solidFill>
                </w14:textFill>
              </w:rPr>
              <w:t>广东省工业源挥发性有机物减排量核算方法（试行）》（粤环办[2021]92号）废气收集集气效率参考值</w:t>
            </w:r>
            <w:r>
              <w:rPr>
                <w:rFonts w:hint="eastAsia"/>
                <w:color w:val="000000" w:themeColor="text1"/>
                <w:sz w:val="24"/>
                <w14:textFill>
                  <w14:solidFill>
                    <w14:schemeClr w14:val="tx1"/>
                  </w14:solidFill>
                </w14:textFill>
              </w:rPr>
              <w:t>，集气效率参考值为95%，故本评价保守取90%计算</w:t>
            </w:r>
            <w:r>
              <w:rPr>
                <w:bCs/>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②</w:t>
            </w:r>
            <w:r>
              <w:rPr>
                <w:rFonts w:hint="eastAsia"/>
                <w:color w:val="000000" w:themeColor="text1"/>
                <w:sz w:val="24"/>
                <w14:textFill>
                  <w14:solidFill>
                    <w14:schemeClr w14:val="tx1"/>
                  </w14:solidFill>
                </w14:textFill>
              </w:rPr>
              <w:t>负压</w:t>
            </w:r>
            <w:r>
              <w:rPr>
                <w:color w:val="000000" w:themeColor="text1"/>
                <w:sz w:val="24"/>
                <w14:textFill>
                  <w14:solidFill>
                    <w14:schemeClr w14:val="tx1"/>
                  </w14:solidFill>
                </w14:textFill>
              </w:rPr>
              <w:t>收集后引至一套</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水喷淋+过滤除雾器+二级活性炭吸附</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w:t>
            </w:r>
            <w:r>
              <w:rPr>
                <w:bCs/>
                <w:color w:val="000000" w:themeColor="text1"/>
                <w:sz w:val="24"/>
                <w14:textFill>
                  <w14:solidFill>
                    <w14:schemeClr w14:val="tx1"/>
                  </w14:solidFill>
                </w14:textFill>
              </w:rPr>
              <w:t>排放。</w:t>
            </w:r>
          </w:p>
          <w:p w14:paraId="0A973C56">
            <w:pPr>
              <w:tabs>
                <w:tab w:val="left" w:pos="7437"/>
              </w:tabs>
              <w:spacing w:line="360" w:lineRule="auto"/>
              <w:ind w:firstLine="480" w:firstLineChars="200"/>
              <w:rPr>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项目喷漆、晾干废气风量计算：项目</w:t>
            </w:r>
            <w:r>
              <w:rPr>
                <w:rFonts w:hint="eastAsia"/>
                <w:color w:val="000000" w:themeColor="text1"/>
                <w:sz w:val="24"/>
                <w14:textFill>
                  <w14:solidFill>
                    <w14:schemeClr w14:val="tx1"/>
                  </w14:solidFill>
                </w14:textFill>
              </w:rPr>
              <w:t>三个喷漆房区域为210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、晾干房210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共420m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。各区域高度为4</w:t>
            </w:r>
            <w:r>
              <w:rPr>
                <w:color w:val="000000" w:themeColor="text1"/>
                <w:sz w:val="24"/>
                <w14:textFill>
                  <w14:solidFill>
                    <w14:schemeClr w14:val="tx1"/>
                  </w14:solidFill>
                </w14:textFill>
              </w:rPr>
              <w:t>m</w:t>
            </w:r>
            <w:r>
              <w:rPr>
                <w:rFonts w:hint="eastAsia"/>
                <w:color w:val="000000" w:themeColor="text1"/>
                <w:sz w:val="24"/>
                <w14:textFill>
                  <w14:solidFill>
                    <w14:schemeClr w14:val="tx1"/>
                  </w14:solidFill>
                </w14:textFill>
              </w:rPr>
              <w:t>；均在密闭条件下进行生产，车间废气呈负压收集。根据《废气处理工程技术手册》，排气量计算公式如下:</w:t>
            </w:r>
          </w:p>
          <w:p w14:paraId="66F26CD5">
            <w:pPr>
              <w:tabs>
                <w:tab w:val="left" w:pos="7437"/>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O=V</w:t>
            </w:r>
            <w:r>
              <w:rPr>
                <w:rFonts w:hint="eastAsia"/>
                <w:color w:val="000000" w:themeColor="text1"/>
                <w:sz w:val="24"/>
                <w14:textFill>
                  <w14:solidFill>
                    <w14:schemeClr w14:val="tx1"/>
                  </w14:solidFill>
                </w14:textFill>
              </w:rPr>
              <w:t>o×</w:t>
            </w:r>
            <w:r>
              <w:rPr>
                <w:color w:val="000000" w:themeColor="text1"/>
                <w:sz w:val="24"/>
                <w14:textFill>
                  <w14:solidFill>
                    <w14:schemeClr w14:val="tx1"/>
                  </w14:solidFill>
                </w14:textFill>
              </w:rPr>
              <w:t>X n</w:t>
            </w:r>
          </w:p>
          <w:p w14:paraId="7D460D0E">
            <w:pPr>
              <w:tabs>
                <w:tab w:val="left" w:pos="7437"/>
              </w:tabs>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其中: Vo：罩内容积，m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p>
          <w:p w14:paraId="23C081BC">
            <w:pPr>
              <w:tabs>
                <w:tab w:val="left" w:pos="7437"/>
              </w:tabs>
              <w:spacing w:line="360" w:lineRule="auto"/>
              <w:ind w:firstLine="1200" w:firstLineChars="500"/>
              <w:rPr>
                <w:color w:val="000000" w:themeColor="text1"/>
                <w:sz w:val="24"/>
                <w14:textFill>
                  <w14:solidFill>
                    <w14:schemeClr w14:val="tx1"/>
                  </w14:solidFill>
                </w14:textFill>
              </w:rPr>
            </w:pPr>
            <w:r>
              <w:rPr>
                <w:color w:val="000000" w:themeColor="text1"/>
                <w:sz w:val="24"/>
                <w14:textFill>
                  <w14:solidFill>
                    <w14:schemeClr w14:val="tx1"/>
                  </w14:solidFill>
                </w14:textFill>
              </w:rPr>
              <w:t>N</w:t>
            </w:r>
            <w:r>
              <w:rPr>
                <w:rFonts w:hint="eastAsia"/>
                <w:color w:val="000000" w:themeColor="text1"/>
                <w:sz w:val="24"/>
                <w14:textFill>
                  <w14:solidFill>
                    <w14:schemeClr w14:val="tx1"/>
                  </w14:solidFill>
                </w14:textFill>
              </w:rPr>
              <w:t>：换气次数，参照《废气处理工程技术手册》中“第十七章 表 17-1每小时各种场所换气次数”中涂装室换气次数为20次/h，故本项目换气次数取20次。项目喷涂、晾干区域所需风量420×4×</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/h=33600m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/h，配备35</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00m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 的风机。废气</w:t>
            </w:r>
            <w:r>
              <w:rPr>
                <w:color w:val="000000" w:themeColor="text1"/>
                <w:sz w:val="24"/>
                <w14:textFill>
                  <w14:solidFill>
                    <w14:schemeClr w14:val="tx1"/>
                  </w14:solidFill>
                </w14:textFill>
              </w:rPr>
              <w:t>收集后引至一套</w:t>
            </w:r>
            <w:r>
              <w:rPr>
                <w:rFonts w:hint="eastAsia"/>
                <w:color w:val="000000" w:themeColor="text1"/>
                <w:sz w:val="24"/>
                <w14:textFill>
                  <w14:solidFill>
                    <w14:schemeClr w14:val="tx1"/>
                  </w14:solidFill>
                </w14:textFill>
              </w:rPr>
              <w:t>“水喷淋+过滤除雾器+二级活性炭吸附”</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DA001</w:t>
            </w:r>
            <w:r>
              <w:rPr>
                <w:bCs/>
                <w:color w:val="000000" w:themeColor="text1"/>
                <w:sz w:val="24"/>
                <w14:textFill>
                  <w14:solidFill>
                    <w14:schemeClr w14:val="tx1"/>
                  </w14:solidFill>
                </w14:textFill>
              </w:rPr>
              <w:t>排放。</w:t>
            </w:r>
          </w:p>
          <w:p w14:paraId="2B3DC1DF">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处理排放情况</w:t>
            </w:r>
          </w:p>
          <w:p w14:paraId="7B4340CE">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szCs w:val="32"/>
                <w14:textFill>
                  <w14:solidFill>
                    <w14:schemeClr w14:val="tx1"/>
                  </w14:solidFill>
                </w14:textFill>
              </w:rPr>
              <w:t>①开料、雕刻、</w:t>
            </w:r>
            <w:r>
              <w:rPr>
                <w:rFonts w:hint="eastAsia"/>
                <w:b/>
                <w:bCs/>
                <w:color w:val="000000" w:themeColor="text1"/>
                <w:sz w:val="24"/>
                <w14:textFill>
                  <w14:solidFill>
                    <w14:schemeClr w14:val="tx1"/>
                  </w14:solidFill>
                </w14:textFill>
              </w:rPr>
              <w:t>打磨、切割、焊接</w:t>
            </w:r>
            <w:r>
              <w:rPr>
                <w:b/>
                <w:bCs/>
                <w:color w:val="000000" w:themeColor="text1"/>
                <w:sz w:val="24"/>
                <w14:textFill>
                  <w14:solidFill>
                    <w14:schemeClr w14:val="tx1"/>
                  </w14:solidFill>
                </w14:textFill>
              </w:rPr>
              <w:t>工序产生的</w:t>
            </w:r>
            <w:r>
              <w:rPr>
                <w:rFonts w:hint="eastAsia"/>
                <w:b/>
                <w:bCs/>
                <w:color w:val="000000" w:themeColor="text1"/>
                <w:sz w:val="24"/>
                <w14:textFill>
                  <w14:solidFill>
                    <w14:schemeClr w14:val="tx1"/>
                  </w14:solidFill>
                </w14:textFill>
              </w:rPr>
              <w:t>颗粒物，焊接工序产生的锰及其化合物的处理</w:t>
            </w:r>
          </w:p>
          <w:p w14:paraId="5E1A12E6">
            <w:pPr>
              <w:spacing w:line="360" w:lineRule="auto"/>
              <w:ind w:firstLine="480" w:firstLineChars="200"/>
              <w:rPr>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项目车间内</w:t>
            </w:r>
            <w:r>
              <w:rPr>
                <w:bCs/>
                <w:color w:val="000000" w:themeColor="text1"/>
                <w:sz w:val="24"/>
                <w14:textFill>
                  <w14:solidFill>
                    <w14:schemeClr w14:val="tx1"/>
                  </w14:solidFill>
                </w14:textFill>
              </w:rPr>
              <w:t>设置</w:t>
            </w:r>
            <w:r>
              <w:rPr>
                <w:rFonts w:hint="eastAsia"/>
                <w:bCs/>
                <w:color w:val="000000" w:themeColor="text1"/>
                <w:sz w:val="24"/>
                <w14:textFill>
                  <w14:solidFill>
                    <w14:schemeClr w14:val="tx1"/>
                  </w14:solidFill>
                </w14:textFill>
              </w:rPr>
              <w:t>集气罩对开料、雕刻、</w:t>
            </w:r>
            <w:r>
              <w:rPr>
                <w:bCs/>
                <w:color w:val="000000" w:themeColor="text1"/>
                <w:sz w:val="24"/>
                <w14:textFill>
                  <w14:solidFill>
                    <w14:schemeClr w14:val="tx1"/>
                  </w14:solidFill>
                </w14:textFill>
              </w:rPr>
              <w:t>打磨</w:t>
            </w:r>
            <w:r>
              <w:rPr>
                <w:rFonts w:hint="eastAsia"/>
                <w:bCs/>
                <w:color w:val="000000" w:themeColor="text1"/>
                <w:sz w:val="24"/>
                <w14:textFill>
                  <w14:solidFill>
                    <w14:schemeClr w14:val="tx1"/>
                  </w14:solidFill>
                </w14:textFill>
              </w:rPr>
              <w:t>、切割、焊接</w:t>
            </w:r>
            <w:r>
              <w:rPr>
                <w:bCs/>
                <w:color w:val="000000" w:themeColor="text1"/>
                <w:sz w:val="24"/>
                <w14:textFill>
                  <w14:solidFill>
                    <w14:schemeClr w14:val="tx1"/>
                  </w14:solidFill>
                </w14:textFill>
              </w:rPr>
              <w:t>工序产生的</w:t>
            </w:r>
            <w:r>
              <w:rPr>
                <w:rFonts w:hint="eastAsia"/>
                <w:bCs/>
                <w:color w:val="000000" w:themeColor="text1"/>
                <w:sz w:val="24"/>
                <w14:textFill>
                  <w14:solidFill>
                    <w14:schemeClr w14:val="tx1"/>
                  </w14:solidFill>
                </w14:textFill>
              </w:rPr>
              <w:t>颗粒物，焊接工序产生的锰及其化合物</w:t>
            </w:r>
            <w:r>
              <w:rPr>
                <w:bCs/>
                <w:color w:val="000000" w:themeColor="text1"/>
                <w:sz w:val="24"/>
                <w14:textFill>
                  <w14:solidFill>
                    <w14:schemeClr w14:val="tx1"/>
                  </w14:solidFill>
                </w14:textFill>
              </w:rPr>
              <w:t>进行收集，</w:t>
            </w:r>
            <w:r>
              <w:rPr>
                <w:color w:val="000000" w:themeColor="text1"/>
                <w:sz w:val="24"/>
                <w14:textFill>
                  <w14:solidFill>
                    <w14:schemeClr w14:val="tx1"/>
                  </w14:solidFill>
                </w14:textFill>
              </w:rPr>
              <w:t>引至一套</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布袋除尘</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1</w:t>
            </w:r>
            <w:r>
              <w:rPr>
                <w:bCs/>
                <w:color w:val="000000" w:themeColor="text1"/>
                <w:sz w:val="24"/>
                <w14:textFill>
                  <w14:solidFill>
                    <w14:schemeClr w14:val="tx1"/>
                  </w14:solidFill>
                </w14:textFill>
              </w:rPr>
              <w:t>排放。</w:t>
            </w:r>
            <w:r>
              <w:rPr>
                <w:color w:val="000000" w:themeColor="text1"/>
                <w:sz w:val="24"/>
                <w14:textFill>
                  <w14:solidFill>
                    <w14:schemeClr w14:val="tx1"/>
                  </w14:solidFill>
                </w14:textFill>
              </w:rPr>
              <w:t>根据</w:t>
            </w:r>
            <w:r>
              <w:rPr>
                <w:rFonts w:hint="eastAsia"/>
                <w:color w:val="000000" w:themeColor="text1"/>
                <w:sz w:val="24"/>
                <w14:textFill>
                  <w14:solidFill>
                    <w14:schemeClr w14:val="tx1"/>
                  </w14:solidFill>
                </w14:textFill>
              </w:rPr>
              <w:t>《排放源统计调查产排污核算方法和系数手册》中《203木质制品制行业系数手册》中“203木质制品制造行业系数表”袋式</w:t>
            </w:r>
            <w:r>
              <w:rPr>
                <w:color w:val="000000" w:themeColor="text1"/>
                <w:sz w:val="24"/>
                <w14:textFill>
                  <w14:solidFill>
                    <w14:schemeClr w14:val="tx1"/>
                  </w14:solidFill>
                </w14:textFill>
              </w:rPr>
              <w:t>除尘器的除尘效率</w:t>
            </w:r>
            <w:r>
              <w:rPr>
                <w:rFonts w:hint="eastAsia"/>
                <w:color w:val="000000" w:themeColor="text1"/>
                <w:sz w:val="24"/>
                <w14:textFill>
                  <w14:solidFill>
                    <w14:schemeClr w14:val="tx1"/>
                  </w14:solidFill>
                </w14:textFill>
              </w:rPr>
              <w:t>为</w:t>
            </w:r>
            <w:r>
              <w:rPr>
                <w:color w:val="000000" w:themeColor="text1"/>
                <w:sz w:val="24"/>
                <w14:textFill>
                  <w14:solidFill>
                    <w14:schemeClr w14:val="tx1"/>
                  </w14:solidFill>
                </w14:textFill>
              </w:rPr>
              <w:t>90%，</w:t>
            </w:r>
            <w:r>
              <w:rPr>
                <w:rFonts w:hint="eastAsia"/>
                <w:color w:val="000000" w:themeColor="text1"/>
                <w:sz w:val="24"/>
                <w14:textFill>
                  <w14:solidFill>
                    <w14:schemeClr w14:val="tx1"/>
                  </w14:solidFill>
                </w14:textFill>
              </w:rPr>
              <w:t>项目布袋除尘器对颗粒物的去除效率取</w:t>
            </w:r>
            <w:r>
              <w:rPr>
                <w:color w:val="000000" w:themeColor="text1"/>
                <w:sz w:val="24"/>
                <w14:textFill>
                  <w14:solidFill>
                    <w14:schemeClr w14:val="tx1"/>
                  </w14:solidFill>
                </w14:textFill>
              </w:rPr>
              <w:t>90</w:t>
            </w:r>
            <w:r>
              <w:rPr>
                <w:rFonts w:hint="eastAsia"/>
                <w:color w:val="000000" w:themeColor="text1"/>
                <w:sz w:val="24"/>
                <w14:textFill>
                  <w14:solidFill>
                    <w14:schemeClr w14:val="tx1"/>
                  </w14:solidFill>
                </w14:textFill>
              </w:rPr>
              <w:t>%。金属粉尘和木屑粉尘颗粒较大且较重，集气罩未能收集到的金属粉尘和木屑的粉尘将在车间沉降，参考《未纳入排污许可管理行业适用的排污系数、物料衡算方法（试行）》（原环境保护部公告 2017年第81号）中“47 锯材加工业”的系数，车间不装除尘设备的情况下，重力沉降法的效率约为85%。因此经过处理后颗粒物有组织排放量为0.227t/a，排放速率为</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095kg/h，排放浓度为13.51mg/m³；无组织排放量为0.341t/a，排放速率为</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142kg/h，锰及其化合物有组织排放量为</w:t>
            </w:r>
            <w:r>
              <w:rPr>
                <w:rFonts w:hint="eastAsia"/>
                <w:bCs/>
                <w:color w:val="000000" w:themeColor="text1"/>
                <w:sz w:val="24"/>
                <w14:textFill>
                  <w14:solidFill>
                    <w14:schemeClr w14:val="tx1"/>
                  </w14:solidFill>
                </w14:textFill>
              </w:rPr>
              <w:t>4.06×10</w:t>
            </w:r>
            <w:r>
              <w:rPr>
                <w:rFonts w:hint="eastAsia"/>
                <w:bCs/>
                <w:color w:val="000000" w:themeColor="text1"/>
                <w:sz w:val="24"/>
                <w:vertAlign w:val="superscript"/>
                <w14:textFill>
                  <w14:solidFill>
                    <w14:schemeClr w14:val="tx1"/>
                  </w14:solidFill>
                </w14:textFill>
              </w:rPr>
              <w:t>-7</w:t>
            </w:r>
            <w:r>
              <w:rPr>
                <w:rFonts w:hint="eastAsia"/>
                <w:color w:val="000000" w:themeColor="text1"/>
                <w:sz w:val="24"/>
                <w14:textFill>
                  <w14:solidFill>
                    <w14:schemeClr w14:val="tx1"/>
                  </w14:solidFill>
                </w14:textFill>
              </w:rPr>
              <w:t>t/a，排放速率为</w:t>
            </w:r>
            <w:r>
              <w:rPr>
                <w:rFonts w:hint="eastAsia"/>
                <w:bCs/>
                <w:color w:val="000000" w:themeColor="text1"/>
                <w:sz w:val="24"/>
                <w14:textFill>
                  <w14:solidFill>
                    <w14:schemeClr w14:val="tx1"/>
                  </w14:solidFill>
                </w14:textFill>
              </w:rPr>
              <w:t>1.35×10</w:t>
            </w:r>
            <w:r>
              <w:rPr>
                <w:rFonts w:hint="eastAsia"/>
                <w:bCs/>
                <w:color w:val="000000" w:themeColor="text1"/>
                <w:sz w:val="24"/>
                <w:vertAlign w:val="superscript"/>
                <w14:textFill>
                  <w14:solidFill>
                    <w14:schemeClr w14:val="tx1"/>
                  </w14:solidFill>
                </w14:textFill>
              </w:rPr>
              <w:t>-6</w:t>
            </w:r>
            <w:r>
              <w:rPr>
                <w:rFonts w:hint="eastAsia"/>
                <w:color w:val="000000" w:themeColor="text1"/>
                <w:sz w:val="24"/>
                <w14:textFill>
                  <w14:solidFill>
                    <w14:schemeClr w14:val="tx1"/>
                  </w14:solidFill>
                </w14:textFill>
              </w:rPr>
              <w:t>kg/h，排放浓度为</w:t>
            </w:r>
            <w:r>
              <w:rPr>
                <w:rFonts w:hint="eastAsia"/>
                <w:bCs/>
                <w:color w:val="000000" w:themeColor="text1"/>
                <w:sz w:val="24"/>
                <w14:textFill>
                  <w14:solidFill>
                    <w14:schemeClr w14:val="tx1"/>
                  </w14:solidFill>
                </w14:textFill>
              </w:rPr>
              <w:t>1.93×10</w:t>
            </w:r>
            <w:r>
              <w:rPr>
                <w:rFonts w:hint="eastAsia"/>
                <w:bCs/>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mg/m³；无组织排放量为</w:t>
            </w:r>
            <w:r>
              <w:rPr>
                <w:rFonts w:hint="eastAsia"/>
                <w:bCs/>
                <w:color w:val="000000" w:themeColor="text1"/>
                <w:sz w:val="24"/>
                <w14:textFill>
                  <w14:solidFill>
                    <w14:schemeClr w14:val="tx1"/>
                  </w14:solidFill>
                </w14:textFill>
              </w:rPr>
              <w:t>4.06×10</w:t>
            </w:r>
            <w:r>
              <w:rPr>
                <w:rFonts w:hint="eastAsia"/>
                <w:bCs/>
                <w:color w:val="000000" w:themeColor="text1"/>
                <w:sz w:val="24"/>
                <w:vertAlign w:val="superscript"/>
                <w14:textFill>
                  <w14:solidFill>
                    <w14:schemeClr w14:val="tx1"/>
                  </w14:solidFill>
                </w14:textFill>
              </w:rPr>
              <w:t>-6</w:t>
            </w:r>
            <w:r>
              <w:rPr>
                <w:rFonts w:hint="eastAsia"/>
                <w:color w:val="000000" w:themeColor="text1"/>
                <w:sz w:val="24"/>
                <w14:textFill>
                  <w14:solidFill>
                    <w14:schemeClr w14:val="tx1"/>
                  </w14:solidFill>
                </w14:textFill>
              </w:rPr>
              <w:t>t/a，排放速率为</w:t>
            </w:r>
            <w:r>
              <w:rPr>
                <w:rFonts w:hint="eastAsia"/>
                <w:bCs/>
                <w:color w:val="000000" w:themeColor="text1"/>
                <w:sz w:val="24"/>
                <w14:textFill>
                  <w14:solidFill>
                    <w14:schemeClr w14:val="tx1"/>
                  </w14:solidFill>
                </w14:textFill>
              </w:rPr>
              <w:t>1.35×10</w:t>
            </w:r>
            <w:r>
              <w:rPr>
                <w:rFonts w:hint="eastAsia"/>
                <w:bCs/>
                <w:color w:val="000000" w:themeColor="text1"/>
                <w:sz w:val="24"/>
                <w:vertAlign w:val="superscript"/>
                <w14:textFill>
                  <w14:solidFill>
                    <w14:schemeClr w14:val="tx1"/>
                  </w14:solidFill>
                </w14:textFill>
              </w:rPr>
              <w:t>-5</w:t>
            </w:r>
            <w:r>
              <w:rPr>
                <w:rFonts w:hint="eastAsia"/>
                <w:color w:val="000000" w:themeColor="text1"/>
                <w:sz w:val="24"/>
                <w14:textFill>
                  <w14:solidFill>
                    <w14:schemeClr w14:val="tx1"/>
                  </w14:solidFill>
                </w14:textFill>
              </w:rPr>
              <w:t>kg/h。</w:t>
            </w:r>
          </w:p>
          <w:p w14:paraId="2953E955">
            <w:pPr>
              <w:pStyle w:val="49"/>
              <w:spacing w:line="360" w:lineRule="auto"/>
              <w:ind w:firstLine="482" w:firstLineChars="200"/>
              <w:rPr>
                <w:rFonts w:ascii="Times New Roman"/>
                <w:b/>
                <w:bCs/>
                <w:color w:val="000000" w:themeColor="text1"/>
                <w14:textFill>
                  <w14:solidFill>
                    <w14:schemeClr w14:val="tx1"/>
                  </w14:solidFill>
                </w14:textFill>
              </w:rPr>
            </w:pPr>
            <w:r>
              <w:rPr>
                <w:rFonts w:hint="eastAsia" w:ascii="Times New Roman"/>
                <w:b/>
                <w:bCs/>
                <w:color w:val="000000" w:themeColor="text1"/>
                <w14:textFill>
                  <w14:solidFill>
                    <w14:schemeClr w14:val="tx1"/>
                  </w14:solidFill>
                </w14:textFill>
              </w:rPr>
              <w:t>②喷漆、晾干工序产生的漆雾、有机废气的处理</w:t>
            </w:r>
          </w:p>
          <w:p w14:paraId="132B2B50">
            <w:pPr>
              <w:pStyle w:val="49"/>
              <w:spacing w:line="360" w:lineRule="auto"/>
              <w:ind w:firstLine="480" w:firstLineChars="20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喷淋塔主要处理</w:t>
            </w:r>
            <w:r>
              <w:rPr>
                <w:rFonts w:hint="eastAsia" w:ascii="Times New Roman"/>
                <w:color w:val="000000" w:themeColor="text1"/>
                <w14:textFill>
                  <w14:solidFill>
                    <w14:schemeClr w14:val="tx1"/>
                  </w14:solidFill>
                </w14:textFill>
              </w:rPr>
              <w:t>喷涂</w:t>
            </w:r>
            <w:r>
              <w:rPr>
                <w:rFonts w:ascii="Times New Roman"/>
                <w:color w:val="000000" w:themeColor="text1"/>
                <w14:textFill>
                  <w14:solidFill>
                    <w14:schemeClr w14:val="tx1"/>
                  </w14:solidFill>
                </w14:textFill>
              </w:rPr>
              <w:t>产生的漆雾，根据《三废处理工程技术手册》（化工出版社）湿式除尘器的除尘效率一般在70%~99%，本</w:t>
            </w:r>
            <w:r>
              <w:rPr>
                <w:rFonts w:hint="eastAsia" w:ascii="Times New Roman"/>
                <w:color w:val="000000" w:themeColor="text1"/>
                <w14:textFill>
                  <w14:solidFill>
                    <w14:schemeClr w14:val="tx1"/>
                  </w14:solidFill>
                </w14:textFill>
              </w:rPr>
              <w:t>次</w:t>
            </w:r>
            <w:r>
              <w:rPr>
                <w:rFonts w:ascii="Times New Roman"/>
                <w:color w:val="000000" w:themeColor="text1"/>
                <w14:textFill>
                  <w14:solidFill>
                    <w14:schemeClr w14:val="tx1"/>
                  </w14:solidFill>
                </w14:textFill>
              </w:rPr>
              <w:t>环评喷淋塔的处理效率按</w:t>
            </w:r>
            <w:r>
              <w:rPr>
                <w:rFonts w:hint="eastAsia" w:ascii="Times New Roman"/>
                <w:color w:val="000000" w:themeColor="text1"/>
                <w14:textFill>
                  <w14:solidFill>
                    <w14:schemeClr w14:val="tx1"/>
                  </w14:solidFill>
                </w14:textFill>
              </w:rPr>
              <w:t>80</w:t>
            </w:r>
            <w:r>
              <w:rPr>
                <w:rFonts w:ascii="Times New Roman"/>
                <w:color w:val="000000" w:themeColor="text1"/>
                <w14:textFill>
                  <w14:solidFill>
                    <w14:schemeClr w14:val="tx1"/>
                  </w14:solidFill>
                </w14:textFill>
              </w:rPr>
              <w:t>%计算。</w:t>
            </w:r>
            <w:r>
              <w:rPr>
                <w:rFonts w:hint="eastAsia" w:ascii="Times New Roman"/>
                <w:color w:val="000000" w:themeColor="text1"/>
                <w14:textFill>
                  <w14:solidFill>
                    <w14:schemeClr w14:val="tx1"/>
                  </w14:solidFill>
                </w14:textFill>
              </w:rPr>
              <w:t>根据《广东省印刷、制鞋、家具、表面涂装（汽车制造）行业挥发性有机物总量减排核算 细则》中表1-1 常见治理设施治理效率可知，吸附法对有机废气的处理效率约为45～80%，本项目取</w:t>
            </w:r>
            <w:r>
              <w:rPr>
                <w:rFonts w:ascii="Times New Roman"/>
                <w:color w:val="000000" w:themeColor="text1"/>
                <w14:textFill>
                  <w14:solidFill>
                    <w14:schemeClr w14:val="tx1"/>
                  </w14:solidFill>
                </w14:textFill>
              </w:rPr>
              <w:t>50</w:t>
            </w:r>
            <w:r>
              <w:rPr>
                <w:rFonts w:hint="eastAsia" w:ascii="Times New Roman"/>
                <w:color w:val="000000" w:themeColor="text1"/>
                <w14:textFill>
                  <w14:solidFill>
                    <w14:schemeClr w14:val="tx1"/>
                  </w14:solidFill>
                </w14:textFill>
              </w:rPr>
              <w:t>%，“二级活性炭”吸附法对有机废气的处理效率约为</w:t>
            </w:r>
            <w:r>
              <w:rPr>
                <w:rFonts w:ascii="Times New Roman"/>
                <w:color w:val="000000" w:themeColor="text1"/>
                <w14:textFill>
                  <w14:solidFill>
                    <w14:schemeClr w14:val="tx1"/>
                  </w14:solidFill>
                </w14:textFill>
              </w:rPr>
              <w:t>75</w:t>
            </w:r>
            <w:r>
              <w:rPr>
                <w:rFonts w:hint="eastAsia" w:ascii="Times New Roman"/>
                <w:color w:val="000000" w:themeColor="text1"/>
                <w14:textFill>
                  <w14:solidFill>
                    <w14:schemeClr w14:val="tx1"/>
                  </w14:solidFill>
                </w14:textFill>
              </w:rPr>
              <w:t>%；故项目“水喷淋+过滤除雾器+二级活性炭吸附”有机废气处理效率取</w:t>
            </w:r>
            <w:r>
              <w:rPr>
                <w:rFonts w:ascii="Times New Roman"/>
                <w:color w:val="000000" w:themeColor="text1"/>
                <w14:textFill>
                  <w14:solidFill>
                    <w14:schemeClr w14:val="tx1"/>
                  </w14:solidFill>
                </w14:textFill>
              </w:rPr>
              <w:t>75</w:t>
            </w:r>
            <w:r>
              <w:rPr>
                <w:rFonts w:hint="eastAsia" w:ascii="Times New Roman"/>
                <w:color w:val="000000" w:themeColor="text1"/>
                <w14:textFill>
                  <w14:solidFill>
                    <w14:schemeClr w14:val="tx1"/>
                  </w14:solidFill>
                </w14:textFill>
              </w:rPr>
              <w:t>%。废气</w:t>
            </w:r>
            <w:r>
              <w:rPr>
                <w:rFonts w:ascii="Times New Roman"/>
                <w:color w:val="000000" w:themeColor="text1"/>
                <w14:textFill>
                  <w14:solidFill>
                    <w14:schemeClr w14:val="tx1"/>
                  </w14:solidFill>
                </w14:textFill>
              </w:rPr>
              <w:t>先经过喷淋塔处理后，引至一套“水喷淋+</w:t>
            </w:r>
            <w:r>
              <w:rPr>
                <w:rFonts w:hint="eastAsia" w:ascii="Times New Roman"/>
                <w:color w:val="000000" w:themeColor="text1"/>
                <w14:textFill>
                  <w14:solidFill>
                    <w14:schemeClr w14:val="tx1"/>
                  </w14:solidFill>
                </w14:textFill>
              </w:rPr>
              <w:t>过滤除雾器+二级</w:t>
            </w:r>
            <w:r>
              <w:rPr>
                <w:rFonts w:ascii="Times New Roman"/>
                <w:color w:val="000000" w:themeColor="text1"/>
                <w14:textFill>
                  <w14:solidFill>
                    <w14:schemeClr w14:val="tx1"/>
                  </w14:solidFill>
                </w14:textFill>
              </w:rPr>
              <w:t>活性炭吸附”装置进行处理达标后，经15米高的排气筒</w:t>
            </w:r>
            <w:r>
              <w:rPr>
                <w:rFonts w:hint="eastAsia" w:ascii="Times New Roman"/>
                <w:color w:val="000000" w:themeColor="text1"/>
                <w14:textFill>
                  <w14:solidFill>
                    <w14:schemeClr w14:val="tx1"/>
                  </w14:solidFill>
                </w14:textFill>
              </w:rPr>
              <w:t>DA00</w:t>
            </w:r>
            <w:r>
              <w:rPr>
                <w:rFonts w:ascii="Times New Roman"/>
                <w:color w:val="000000" w:themeColor="text1"/>
                <w14:textFill>
                  <w14:solidFill>
                    <w14:schemeClr w14:val="tx1"/>
                  </w14:solidFill>
                </w14:textFill>
              </w:rPr>
              <w:t>2排放，排放风量为</w:t>
            </w:r>
            <w:r>
              <w:rPr>
                <w:rFonts w:hint="eastAsia" w:ascii="Times New Roman"/>
                <w:color w:val="000000" w:themeColor="text1"/>
                <w14:textFill>
                  <w14:solidFill>
                    <w14:schemeClr w14:val="tx1"/>
                  </w14:solidFill>
                </w14:textFill>
              </w:rPr>
              <w:t>35000</w:t>
            </w:r>
            <w:r>
              <w:rPr>
                <w:rFonts w:ascii="Times New Roman"/>
                <w:color w:val="000000" w:themeColor="text1"/>
                <w14:textFill>
                  <w14:solidFill>
                    <w14:schemeClr w14:val="tx1"/>
                  </w14:solidFill>
                </w14:textFill>
              </w:rPr>
              <w:t>m</w:t>
            </w:r>
            <w:r>
              <w:rPr>
                <w:rFonts w:ascii="Times New Roman"/>
                <w:color w:val="000000" w:themeColor="text1"/>
                <w:vertAlign w:val="superscript"/>
                <w14:textFill>
                  <w14:solidFill>
                    <w14:schemeClr w14:val="tx1"/>
                  </w14:solidFill>
                </w14:textFill>
              </w:rPr>
              <w:t>3</w:t>
            </w:r>
            <w:r>
              <w:rPr>
                <w:rFonts w:ascii="Times New Roman"/>
                <w:color w:val="000000" w:themeColor="text1"/>
                <w14:textFill>
                  <w14:solidFill>
                    <w14:schemeClr w14:val="tx1"/>
                  </w14:solidFill>
                </w14:textFill>
              </w:rPr>
              <w:t>/h；</w:t>
            </w:r>
          </w:p>
          <w:p w14:paraId="7A294FD6">
            <w:pPr>
              <w:spacing w:line="360" w:lineRule="auto"/>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废气</w:t>
            </w:r>
            <w:r>
              <w:rPr>
                <w:color w:val="000000" w:themeColor="text1"/>
                <w:sz w:val="24"/>
                <w14:textFill>
                  <w14:solidFill>
                    <w14:schemeClr w14:val="tx1"/>
                  </w14:solidFill>
                </w14:textFill>
              </w:rPr>
              <w:t>收集后进入</w:t>
            </w:r>
            <w:r>
              <w:rPr>
                <w:rFonts w:hint="eastAsia"/>
                <w:color w:val="000000" w:themeColor="text1"/>
                <w:sz w:val="24"/>
                <w14:textFill>
                  <w14:solidFill>
                    <w14:schemeClr w14:val="tx1"/>
                  </w14:solidFill>
                </w14:textFill>
              </w:rPr>
              <w:t>“水喷淋+过滤除雾器+二级活性炭”吸附法</w:t>
            </w:r>
            <w:r>
              <w:rPr>
                <w:color w:val="000000" w:themeColor="text1"/>
                <w:sz w:val="24"/>
                <w14:textFill>
                  <w14:solidFill>
                    <w14:schemeClr w14:val="tx1"/>
                  </w14:solidFill>
                </w14:textFill>
              </w:rPr>
              <w:t>装置处理后由15m排气筒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2排放，</w:t>
            </w:r>
            <w:r>
              <w:rPr>
                <w:rFonts w:hint="eastAsia"/>
                <w:color w:val="000000" w:themeColor="text1"/>
                <w:sz w:val="24"/>
                <w14:textFill>
                  <w14:solidFill>
                    <w14:schemeClr w14:val="tx1"/>
                  </w14:solidFill>
                </w14:textFill>
              </w:rPr>
              <w:t>废气</w:t>
            </w:r>
            <w:r>
              <w:rPr>
                <w:bCs/>
                <w:color w:val="000000" w:themeColor="text1"/>
                <w:sz w:val="24"/>
                <w14:textFill>
                  <w14:solidFill>
                    <w14:schemeClr w14:val="tx1"/>
                  </w14:solidFill>
                </w14:textFill>
              </w:rPr>
              <w:t>有组织</w:t>
            </w:r>
            <w:r>
              <w:rPr>
                <w:rFonts w:hint="eastAsia"/>
                <w:bCs/>
                <w:color w:val="000000" w:themeColor="text1"/>
                <w:sz w:val="24"/>
                <w14:textFill>
                  <w14:solidFill>
                    <w14:schemeClr w14:val="tx1"/>
                  </w14:solidFill>
                </w14:textFill>
              </w:rPr>
              <w:t>总VOC</w:t>
            </w:r>
            <w:r>
              <w:rPr>
                <w:bCs/>
                <w:color w:val="000000" w:themeColor="text1"/>
                <w:sz w:val="24"/>
                <w14:textFill>
                  <w14:solidFill>
                    <w14:schemeClr w14:val="tx1"/>
                  </w14:solidFill>
                </w14:textFill>
              </w:rPr>
              <w:t>s</w:t>
            </w:r>
            <w:r>
              <w:rPr>
                <w:rFonts w:hint="eastAsia"/>
                <w:color w:val="000000" w:themeColor="text1"/>
                <w:sz w:val="24"/>
                <w14:textFill>
                  <w14:solidFill>
                    <w14:schemeClr w14:val="tx1"/>
                  </w14:solidFill>
                </w14:textFill>
              </w:rPr>
              <w:t>排放量为0.448t/a，排放速率为0.187kg/h，排放浓度为5.33mg/m³；无组织总VOCs排放量为0.199t/a，排放速率为0.083kg/h。漆雾有组织排放量为0.743t/a，排放速率为</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309kg/h，排放浓度为8.84mg/m³；无组织排放量为0.413t/a，排放速率为0.172kg/h。</w:t>
            </w:r>
          </w:p>
          <w:bookmarkEnd w:id="7"/>
          <w:p w14:paraId="131499DA">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（4）</w:t>
            </w:r>
            <w:r>
              <w:rPr>
                <w:b/>
                <w:bCs/>
                <w:color w:val="000000" w:themeColor="text1"/>
                <w:kern w:val="0"/>
                <w:sz w:val="24"/>
                <w14:textFill>
                  <w14:solidFill>
                    <w14:schemeClr w14:val="tx1"/>
                  </w14:solidFill>
                </w14:textFill>
              </w:rPr>
              <w:t>非正常工况防范措施</w:t>
            </w:r>
          </w:p>
          <w:p w14:paraId="185EF5A0">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非正常排放是指生产过程中设备检修、工艺设备运转异常等非正常工况下的污染物排放，以及污染物排放控制措施达不到应有效率等情况下的排放。项目废气非正常工况排放主要为废气治理效率为10%的状态进行估算，但废气收集系统可以正常运行，废气通过排气简排放等情况，废气处理设施出现故障不能正常运行时，应立即停产进行维修，避免对周围环境造成污染。废气非正常工况源强情况见下表。</w:t>
            </w:r>
          </w:p>
          <w:p w14:paraId="0E01B2CD">
            <w:pPr>
              <w:pStyle w:val="35"/>
              <w:adjustRightInd w:val="0"/>
              <w:snapToGrid w:val="0"/>
              <w:spacing w:before="0" w:beforeAutospacing="0" w:after="0" w:afterAutospacing="0" w:line="36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表4</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4  非正常排放情况一览表</w:t>
            </w: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
              <w:gridCol w:w="875"/>
              <w:gridCol w:w="921"/>
              <w:gridCol w:w="981"/>
              <w:gridCol w:w="1215"/>
              <w:gridCol w:w="1104"/>
              <w:gridCol w:w="732"/>
              <w:gridCol w:w="813"/>
              <w:gridCol w:w="1094"/>
            </w:tblGrid>
            <w:tr w14:paraId="4EE2D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vAlign w:val="center"/>
                </w:tcPr>
                <w:p w14:paraId="7235145F">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536" w:type="pct"/>
                  <w:vAlign w:val="center"/>
                </w:tcPr>
                <w:p w14:paraId="795B7FA9">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564" w:type="pct"/>
                  <w:vAlign w:val="center"/>
                </w:tcPr>
                <w:p w14:paraId="463D800A">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原因</w:t>
                  </w:r>
                </w:p>
              </w:tc>
              <w:tc>
                <w:tcPr>
                  <w:tcW w:w="601" w:type="pct"/>
                  <w:vAlign w:val="center"/>
                </w:tcPr>
                <w:p w14:paraId="4065CD09">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744" w:type="pct"/>
                  <w:vAlign w:val="center"/>
                </w:tcPr>
                <w:p w14:paraId="1C779E19">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排放浓度/（mg/m³）</w:t>
                  </w:r>
                </w:p>
              </w:tc>
              <w:tc>
                <w:tcPr>
                  <w:tcW w:w="676" w:type="pct"/>
                  <w:vAlign w:val="center"/>
                </w:tcPr>
                <w:p w14:paraId="33F8F807">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排放速率/（kg/h）</w:t>
                  </w:r>
                </w:p>
              </w:tc>
              <w:tc>
                <w:tcPr>
                  <w:tcW w:w="448" w:type="pct"/>
                  <w:vAlign w:val="center"/>
                </w:tcPr>
                <w:p w14:paraId="7150014D">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持续时间/h</w:t>
                  </w:r>
                </w:p>
              </w:tc>
              <w:tc>
                <w:tcPr>
                  <w:tcW w:w="498" w:type="pct"/>
                  <w:vAlign w:val="center"/>
                </w:tcPr>
                <w:p w14:paraId="254EE23B">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频次/（次/a）</w:t>
                  </w:r>
                </w:p>
              </w:tc>
              <w:tc>
                <w:tcPr>
                  <w:tcW w:w="670" w:type="pct"/>
                  <w:vAlign w:val="center"/>
                </w:tcPr>
                <w:p w14:paraId="5E49C3A1">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措施</w:t>
                  </w:r>
                </w:p>
              </w:tc>
            </w:tr>
            <w:tr w14:paraId="39A20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vMerge w:val="restart"/>
                  <w:vAlign w:val="center"/>
                </w:tcPr>
                <w:p w14:paraId="7003A3F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536" w:type="pct"/>
                  <w:vMerge w:val="restart"/>
                  <w:vAlign w:val="center"/>
                </w:tcPr>
                <w:p w14:paraId="56B6EF4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DA001</w:t>
                  </w:r>
                  <w:r>
                    <w:rPr>
                      <w:color w:val="000000" w:themeColor="text1"/>
                      <w:szCs w:val="21"/>
                      <w14:textFill>
                        <w14:solidFill>
                          <w14:schemeClr w14:val="tx1"/>
                        </w14:solidFill>
                      </w14:textFill>
                    </w:rPr>
                    <w:t>排放口</w:t>
                  </w:r>
                </w:p>
              </w:tc>
              <w:tc>
                <w:tcPr>
                  <w:tcW w:w="564" w:type="pct"/>
                  <w:vMerge w:val="restart"/>
                  <w:vAlign w:val="center"/>
                </w:tcPr>
                <w:p w14:paraId="43069D5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废气治理设施故障，导致废气直接排放</w:t>
                  </w:r>
                </w:p>
              </w:tc>
              <w:tc>
                <w:tcPr>
                  <w:tcW w:w="601" w:type="pct"/>
                  <w:vAlign w:val="center"/>
                </w:tcPr>
                <w:p w14:paraId="0BD7061D">
                  <w:pPr>
                    <w:ind w:left="-105" w:leftChars="-50" w:right="-105" w:rightChars="-50"/>
                    <w:jc w:val="center"/>
                    <w:rPr>
                      <w:color w:val="7030A0"/>
                      <w:szCs w:val="21"/>
                    </w:rPr>
                  </w:pPr>
                  <w:r>
                    <w:rPr>
                      <w:rFonts w:hint="eastAsia"/>
                      <w:color w:val="000000" w:themeColor="text1"/>
                      <w:szCs w:val="21"/>
                      <w14:textFill>
                        <w14:solidFill>
                          <w14:schemeClr w14:val="tx1"/>
                        </w14:solidFill>
                      </w14:textFill>
                    </w:rPr>
                    <w:t>颗粒物</w:t>
                  </w:r>
                </w:p>
              </w:tc>
              <w:tc>
                <w:tcPr>
                  <w:tcW w:w="744" w:type="pct"/>
                  <w:vAlign w:val="center"/>
                </w:tcPr>
                <w:p w14:paraId="53122E79">
                  <w:pPr>
                    <w:ind w:left="-105" w:leftChars="-50" w:right="-105" w:rightChars="-50"/>
                    <w:jc w:val="center"/>
                    <w:rPr>
                      <w:color w:val="7030A0"/>
                      <w:szCs w:val="21"/>
                    </w:rPr>
                  </w:pPr>
                  <w:r>
                    <w:rPr>
                      <w:rFonts w:hint="eastAsia"/>
                      <w:color w:val="000000" w:themeColor="text1"/>
                      <w14:textFill>
                        <w14:solidFill>
                          <w14:schemeClr w14:val="tx1"/>
                        </w14:solidFill>
                      </w14:textFill>
                    </w:rPr>
                    <w:t>121.58</w:t>
                  </w:r>
                </w:p>
              </w:tc>
              <w:tc>
                <w:tcPr>
                  <w:tcW w:w="676" w:type="pct"/>
                  <w:vAlign w:val="center"/>
                </w:tcPr>
                <w:p w14:paraId="7B8DAAA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0.851</w:t>
                  </w:r>
                </w:p>
              </w:tc>
              <w:tc>
                <w:tcPr>
                  <w:tcW w:w="448" w:type="pct"/>
                  <w:vAlign w:val="center"/>
                </w:tcPr>
                <w:p w14:paraId="04D99D1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98" w:type="pct"/>
                  <w:vAlign w:val="center"/>
                </w:tcPr>
                <w:p w14:paraId="2B6B768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670" w:type="pct"/>
                  <w:vMerge w:val="restart"/>
                  <w:vAlign w:val="center"/>
                </w:tcPr>
                <w:p w14:paraId="54AE313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故障时停止生产，故障排除后恢复生产；平时应加强对设备维护保养</w:t>
                  </w:r>
                </w:p>
              </w:tc>
            </w:tr>
            <w:tr w14:paraId="00ED8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vMerge w:val="continue"/>
                  <w:vAlign w:val="center"/>
                </w:tcPr>
                <w:p w14:paraId="6B3A2B11">
                  <w:pPr>
                    <w:ind w:left="-105" w:leftChars="-50" w:right="-105" w:rightChars="-50"/>
                    <w:jc w:val="center"/>
                    <w:rPr>
                      <w:color w:val="000000" w:themeColor="text1"/>
                      <w:szCs w:val="21"/>
                      <w14:textFill>
                        <w14:solidFill>
                          <w14:schemeClr w14:val="tx1"/>
                        </w14:solidFill>
                      </w14:textFill>
                    </w:rPr>
                  </w:pPr>
                </w:p>
              </w:tc>
              <w:tc>
                <w:tcPr>
                  <w:tcW w:w="536" w:type="pct"/>
                  <w:vMerge w:val="continue"/>
                  <w:vAlign w:val="center"/>
                </w:tcPr>
                <w:p w14:paraId="319316C6">
                  <w:pPr>
                    <w:ind w:left="-105" w:leftChars="-50" w:right="-105" w:rightChars="-50"/>
                    <w:jc w:val="center"/>
                    <w:rPr>
                      <w:color w:val="000000" w:themeColor="text1"/>
                      <w:szCs w:val="21"/>
                      <w14:textFill>
                        <w14:solidFill>
                          <w14:schemeClr w14:val="tx1"/>
                        </w14:solidFill>
                      </w14:textFill>
                    </w:rPr>
                  </w:pPr>
                </w:p>
              </w:tc>
              <w:tc>
                <w:tcPr>
                  <w:tcW w:w="564" w:type="pct"/>
                  <w:vMerge w:val="continue"/>
                  <w:vAlign w:val="center"/>
                </w:tcPr>
                <w:p w14:paraId="72DD7D79">
                  <w:pPr>
                    <w:ind w:left="-105" w:leftChars="-50" w:right="-105" w:rightChars="-50"/>
                    <w:jc w:val="center"/>
                    <w:rPr>
                      <w:color w:val="000000" w:themeColor="text1"/>
                      <w:szCs w:val="21"/>
                      <w14:textFill>
                        <w14:solidFill>
                          <w14:schemeClr w14:val="tx1"/>
                        </w14:solidFill>
                      </w14:textFill>
                    </w:rPr>
                  </w:pPr>
                </w:p>
              </w:tc>
              <w:tc>
                <w:tcPr>
                  <w:tcW w:w="601" w:type="pct"/>
                  <w:vAlign w:val="center"/>
                </w:tcPr>
                <w:p w14:paraId="3623791A">
                  <w:pPr>
                    <w:ind w:left="-105" w:leftChars="-50" w:right="-105" w:rightChars="-50"/>
                    <w:jc w:val="center"/>
                    <w:rPr>
                      <w:color w:val="0070C0"/>
                      <w:szCs w:val="21"/>
                    </w:rPr>
                  </w:pPr>
                  <w:r>
                    <w:rPr>
                      <w:rFonts w:hint="eastAsia"/>
                      <w:color w:val="000000" w:themeColor="text1"/>
                      <w:szCs w:val="21"/>
                      <w14:textFill>
                        <w14:solidFill>
                          <w14:schemeClr w14:val="tx1"/>
                        </w14:solidFill>
                      </w14:textFill>
                    </w:rPr>
                    <w:t>锰及其化合物</w:t>
                  </w:r>
                </w:p>
              </w:tc>
              <w:tc>
                <w:tcPr>
                  <w:tcW w:w="744" w:type="pct"/>
                  <w:vAlign w:val="center"/>
                </w:tcPr>
                <w:p w14:paraId="09E9B4E3">
                  <w:pPr>
                    <w:ind w:left="-105" w:leftChars="-50" w:right="-105" w:rightChars="-50"/>
                    <w:jc w:val="center"/>
                    <w:rPr>
                      <w:color w:val="0070C0"/>
                      <w:szCs w:val="21"/>
                    </w:rPr>
                  </w:pPr>
                  <w:r>
                    <w:rPr>
                      <w:rFonts w:hint="eastAsia"/>
                      <w:bCs/>
                      <w:color w:val="000000" w:themeColor="text1"/>
                      <w:szCs w:val="21"/>
                      <w14:textFill>
                        <w14:solidFill>
                          <w14:schemeClr w14:val="tx1"/>
                        </w14:solidFill>
                      </w14:textFill>
                    </w:rPr>
                    <w:t>1.74×10</w:t>
                  </w:r>
                  <w:r>
                    <w:rPr>
                      <w:rFonts w:hint="eastAsia"/>
                      <w:bCs/>
                      <w:color w:val="000000" w:themeColor="text1"/>
                      <w:szCs w:val="21"/>
                      <w:vertAlign w:val="superscript"/>
                      <w14:textFill>
                        <w14:solidFill>
                          <w14:schemeClr w14:val="tx1"/>
                        </w14:solidFill>
                      </w14:textFill>
                    </w:rPr>
                    <w:t>-3</w:t>
                  </w:r>
                </w:p>
              </w:tc>
              <w:tc>
                <w:tcPr>
                  <w:tcW w:w="676" w:type="pct"/>
                  <w:vAlign w:val="center"/>
                </w:tcPr>
                <w:p w14:paraId="65CD2528">
                  <w:pPr>
                    <w:ind w:left="-105" w:leftChars="-50" w:right="-105" w:rightChars="-50"/>
                    <w:jc w:val="center"/>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1.22×10</w:t>
                  </w:r>
                  <w:r>
                    <w:rPr>
                      <w:rFonts w:hint="eastAsia"/>
                      <w:bCs/>
                      <w:color w:val="000000" w:themeColor="text1"/>
                      <w:szCs w:val="21"/>
                      <w:vertAlign w:val="superscript"/>
                      <w14:textFill>
                        <w14:solidFill>
                          <w14:schemeClr w14:val="tx1"/>
                        </w14:solidFill>
                      </w14:textFill>
                    </w:rPr>
                    <w:t>-5</w:t>
                  </w:r>
                </w:p>
              </w:tc>
              <w:tc>
                <w:tcPr>
                  <w:tcW w:w="448" w:type="pct"/>
                  <w:vAlign w:val="center"/>
                </w:tcPr>
                <w:p w14:paraId="0A174E5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498" w:type="pct"/>
                  <w:vAlign w:val="center"/>
                </w:tcPr>
                <w:p w14:paraId="3B244AA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670" w:type="pct"/>
                  <w:vMerge w:val="continue"/>
                  <w:vAlign w:val="center"/>
                </w:tcPr>
                <w:p w14:paraId="7A50983F">
                  <w:pPr>
                    <w:ind w:left="-105" w:leftChars="-50" w:right="-105" w:rightChars="-50"/>
                    <w:jc w:val="center"/>
                    <w:rPr>
                      <w:color w:val="000000" w:themeColor="text1"/>
                      <w:szCs w:val="21"/>
                      <w14:textFill>
                        <w14:solidFill>
                          <w14:schemeClr w14:val="tx1"/>
                        </w14:solidFill>
                      </w14:textFill>
                    </w:rPr>
                  </w:pPr>
                </w:p>
              </w:tc>
            </w:tr>
            <w:tr w14:paraId="59FD0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vMerge w:val="restart"/>
                  <w:vAlign w:val="center"/>
                </w:tcPr>
                <w:p w14:paraId="181CDAF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536" w:type="pct"/>
                  <w:vMerge w:val="restart"/>
                  <w:vAlign w:val="center"/>
                </w:tcPr>
                <w:p w14:paraId="2608ADDD">
                  <w:pPr>
                    <w:ind w:left="-105" w:leftChars="-50" w:right="-105" w:rightChars="-50"/>
                    <w:jc w:val="center"/>
                    <w:rPr>
                      <w:color w:val="7030A0"/>
                      <w:szCs w:val="21"/>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A002排放口</w:t>
                  </w:r>
                </w:p>
              </w:tc>
              <w:tc>
                <w:tcPr>
                  <w:tcW w:w="564" w:type="pct"/>
                  <w:vMerge w:val="continue"/>
                  <w:vAlign w:val="center"/>
                </w:tcPr>
                <w:p w14:paraId="3602CE5A">
                  <w:pPr>
                    <w:ind w:left="-105" w:leftChars="-50" w:right="-105" w:rightChars="-50"/>
                    <w:jc w:val="center"/>
                    <w:rPr>
                      <w:color w:val="000000" w:themeColor="text1"/>
                      <w:szCs w:val="21"/>
                      <w14:textFill>
                        <w14:solidFill>
                          <w14:schemeClr w14:val="tx1"/>
                        </w14:solidFill>
                      </w14:textFill>
                    </w:rPr>
                  </w:pPr>
                </w:p>
              </w:tc>
              <w:tc>
                <w:tcPr>
                  <w:tcW w:w="601" w:type="pct"/>
                  <w:vAlign w:val="center"/>
                </w:tcPr>
                <w:p w14:paraId="24B32F1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r>
                    <w:rPr>
                      <w:rFonts w:hint="eastAsia"/>
                      <w:color w:val="000000" w:themeColor="text1"/>
                      <w:szCs w:val="21"/>
                      <w14:textFill>
                        <w14:solidFill>
                          <w14:schemeClr w14:val="tx1"/>
                        </w14:solidFill>
                      </w14:textFill>
                    </w:rPr>
                    <w:t>VOC</w:t>
                  </w:r>
                </w:p>
              </w:tc>
              <w:tc>
                <w:tcPr>
                  <w:tcW w:w="744" w:type="pct"/>
                  <w:vAlign w:val="center"/>
                </w:tcPr>
                <w:p w14:paraId="0922110C">
                  <w:pPr>
                    <w:ind w:left="-105" w:leftChars="-50" w:right="-105" w:rightChars="-50"/>
                    <w:jc w:val="center"/>
                    <w:rPr>
                      <w:color w:val="0070C0"/>
                    </w:rPr>
                  </w:pPr>
                  <w:r>
                    <w:rPr>
                      <w:rFonts w:hint="eastAsia"/>
                      <w:color w:val="000000" w:themeColor="text1"/>
                      <w:szCs w:val="21"/>
                      <w14:textFill>
                        <w14:solidFill>
                          <w14:schemeClr w14:val="tx1"/>
                        </w14:solidFill>
                      </w14:textFill>
                    </w:rPr>
                    <w:t>19.19</w:t>
                  </w:r>
                </w:p>
              </w:tc>
              <w:tc>
                <w:tcPr>
                  <w:tcW w:w="676" w:type="pct"/>
                  <w:vAlign w:val="center"/>
                </w:tcPr>
                <w:p w14:paraId="7AF4B9B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0.672</w:t>
                  </w:r>
                </w:p>
              </w:tc>
              <w:tc>
                <w:tcPr>
                  <w:tcW w:w="448" w:type="pct"/>
                  <w:vMerge w:val="restart"/>
                  <w:vAlign w:val="center"/>
                </w:tcPr>
                <w:p w14:paraId="1985C92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98" w:type="pct"/>
                  <w:vMerge w:val="restart"/>
                  <w:vAlign w:val="center"/>
                </w:tcPr>
                <w:p w14:paraId="3C83643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670" w:type="pct"/>
                  <w:vMerge w:val="continue"/>
                  <w:vAlign w:val="center"/>
                </w:tcPr>
                <w:p w14:paraId="17A96E66">
                  <w:pPr>
                    <w:ind w:left="-105" w:leftChars="-50" w:right="-105" w:rightChars="-50"/>
                    <w:jc w:val="center"/>
                    <w:rPr>
                      <w:color w:val="000000" w:themeColor="text1"/>
                      <w:szCs w:val="21"/>
                      <w14:textFill>
                        <w14:solidFill>
                          <w14:schemeClr w14:val="tx1"/>
                        </w14:solidFill>
                      </w14:textFill>
                    </w:rPr>
                  </w:pPr>
                </w:p>
              </w:tc>
            </w:tr>
            <w:tr w14:paraId="66EFD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vMerge w:val="continue"/>
                  <w:vAlign w:val="center"/>
                </w:tcPr>
                <w:p w14:paraId="5B8EB36F">
                  <w:pPr>
                    <w:ind w:left="-105" w:leftChars="-50" w:right="-105" w:rightChars="-50"/>
                    <w:jc w:val="center"/>
                    <w:rPr>
                      <w:color w:val="7030A0"/>
                      <w:szCs w:val="21"/>
                    </w:rPr>
                  </w:pPr>
                </w:p>
              </w:tc>
              <w:tc>
                <w:tcPr>
                  <w:tcW w:w="536" w:type="pct"/>
                  <w:vMerge w:val="continue"/>
                  <w:vAlign w:val="center"/>
                </w:tcPr>
                <w:p w14:paraId="0C869274">
                  <w:pPr>
                    <w:ind w:left="-105" w:leftChars="-50" w:right="-105" w:rightChars="-50"/>
                    <w:jc w:val="center"/>
                    <w:rPr>
                      <w:color w:val="7030A0"/>
                      <w:szCs w:val="21"/>
                    </w:rPr>
                  </w:pPr>
                </w:p>
              </w:tc>
              <w:tc>
                <w:tcPr>
                  <w:tcW w:w="564" w:type="pct"/>
                  <w:vMerge w:val="continue"/>
                  <w:vAlign w:val="center"/>
                </w:tcPr>
                <w:p w14:paraId="21AD198D">
                  <w:pPr>
                    <w:ind w:left="-105" w:leftChars="-50" w:right="-105" w:rightChars="-50"/>
                    <w:jc w:val="center"/>
                    <w:rPr>
                      <w:color w:val="000000" w:themeColor="text1"/>
                      <w:szCs w:val="21"/>
                      <w14:textFill>
                        <w14:solidFill>
                          <w14:schemeClr w14:val="tx1"/>
                        </w14:solidFill>
                      </w14:textFill>
                    </w:rPr>
                  </w:pPr>
                </w:p>
              </w:tc>
              <w:tc>
                <w:tcPr>
                  <w:tcW w:w="601" w:type="pct"/>
                  <w:vAlign w:val="center"/>
                </w:tcPr>
                <w:p w14:paraId="08B9EC8D">
                  <w:pPr>
                    <w:ind w:left="-105" w:leftChars="-50" w:right="-105" w:rightChars="-5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漆雾（颗粒物）</w:t>
                  </w:r>
                </w:p>
              </w:tc>
              <w:tc>
                <w:tcPr>
                  <w:tcW w:w="744" w:type="pct"/>
                  <w:vAlign w:val="center"/>
                </w:tcPr>
                <w:p w14:paraId="5FB484C8">
                  <w:pPr>
                    <w:ind w:left="-105" w:leftChars="-50" w:right="-105" w:rightChars="-50"/>
                    <w:jc w:val="center"/>
                    <w:rPr>
                      <w:color w:val="0070C0"/>
                    </w:rPr>
                  </w:pPr>
                  <w:r>
                    <w:rPr>
                      <w:rFonts w:hint="eastAsia"/>
                      <w:color w:val="000000" w:themeColor="text1"/>
                      <w14:textFill>
                        <w14:solidFill>
                          <w14:schemeClr w14:val="tx1"/>
                        </w14:solidFill>
                      </w14:textFill>
                    </w:rPr>
                    <w:t>39.78</w:t>
                  </w:r>
                </w:p>
              </w:tc>
              <w:tc>
                <w:tcPr>
                  <w:tcW w:w="676" w:type="pct"/>
                  <w:vAlign w:val="center"/>
                </w:tcPr>
                <w:p w14:paraId="2B56E94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1.392</w:t>
                  </w:r>
                </w:p>
              </w:tc>
              <w:tc>
                <w:tcPr>
                  <w:tcW w:w="448" w:type="pct"/>
                  <w:vMerge w:val="continue"/>
                  <w:vAlign w:val="center"/>
                </w:tcPr>
                <w:p w14:paraId="403F8BCD">
                  <w:pPr>
                    <w:ind w:left="-105" w:leftChars="-50" w:right="-105" w:rightChars="-50"/>
                    <w:jc w:val="center"/>
                    <w:rPr>
                      <w:color w:val="7030A0"/>
                      <w:szCs w:val="21"/>
                    </w:rPr>
                  </w:pPr>
                </w:p>
              </w:tc>
              <w:tc>
                <w:tcPr>
                  <w:tcW w:w="498" w:type="pct"/>
                  <w:vMerge w:val="continue"/>
                  <w:vAlign w:val="center"/>
                </w:tcPr>
                <w:p w14:paraId="60E316DB">
                  <w:pPr>
                    <w:ind w:left="-105" w:leftChars="-50" w:right="-105" w:rightChars="-50"/>
                    <w:jc w:val="center"/>
                    <w:rPr>
                      <w:color w:val="000000" w:themeColor="text1"/>
                      <w:szCs w:val="21"/>
                      <w14:textFill>
                        <w14:solidFill>
                          <w14:schemeClr w14:val="tx1"/>
                        </w14:solidFill>
                      </w14:textFill>
                    </w:rPr>
                  </w:pPr>
                </w:p>
              </w:tc>
              <w:tc>
                <w:tcPr>
                  <w:tcW w:w="670" w:type="pct"/>
                  <w:vMerge w:val="continue"/>
                  <w:vAlign w:val="center"/>
                </w:tcPr>
                <w:p w14:paraId="02F0B22B">
                  <w:pPr>
                    <w:ind w:left="-105" w:leftChars="-50" w:right="-105" w:rightChars="-50"/>
                    <w:jc w:val="center"/>
                    <w:rPr>
                      <w:color w:val="000000" w:themeColor="text1"/>
                      <w:szCs w:val="21"/>
                      <w14:textFill>
                        <w14:solidFill>
                          <w14:schemeClr w14:val="tx1"/>
                        </w14:solidFill>
                      </w14:textFill>
                    </w:rPr>
                  </w:pPr>
                </w:p>
              </w:tc>
            </w:tr>
          </w:tbl>
          <w:p w14:paraId="1922412C">
            <w:pPr>
              <w:spacing w:before="156" w:beforeLines="50"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2、污染治理技术可行性分析</w:t>
            </w:r>
          </w:p>
          <w:p w14:paraId="522AF95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项目产品为会展展示搭建木制品，产品性质与生产工序与家具制造业接近，因此参考《排污许可证申请与核发技术规范 家具制造业》（HJ1027-2019）对项目污染治理技术可行性进行分析。</w:t>
            </w:r>
          </w:p>
          <w:p w14:paraId="55AB8B7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参考《排污许可证申请与核发技术规范 家具制造业》（HJ</w:t>
            </w:r>
            <w:r>
              <w:rPr>
                <w:color w:val="000000" w:themeColor="text1"/>
                <w:sz w:val="24"/>
                <w14:textFill>
                  <w14:solidFill>
                    <w14:schemeClr w14:val="tx1"/>
                  </w14:solidFill>
                </w14:textFill>
              </w:rPr>
              <w:t>1027</w:t>
            </w:r>
            <w:r>
              <w:rPr>
                <w:rFonts w:hint="eastAsia"/>
                <w:color w:val="000000" w:themeColor="text1"/>
                <w:sz w:val="24"/>
                <w14:textFill>
                  <w14:solidFill>
                    <w14:schemeClr w14:val="tx1"/>
                  </w14:solidFill>
                </w14:textFill>
              </w:rPr>
              <w:t>-201</w:t>
            </w: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表6，基材加工车间废气（木工车间、金属家具冲压焊接车间），打磨废气采用“袋式除尘”为可行性技术。因此项目车间内设置集气罩对开料、雕刻、打磨、切割、焊接工序产生的颗粒物，焊接工序产生的锰及其化合物进行收集，引至一套“布袋除尘”装置进行处理，处理达标后经15m高排气筒DA001排放，是可行的。</w:t>
            </w:r>
          </w:p>
          <w:p w14:paraId="311140EC">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参考</w:t>
            </w:r>
            <w:r>
              <w:fldChar w:fldCharType="begin"/>
            </w:r>
            <w:r>
              <w:instrText xml:space="preserve"> HYPERLINK "http://www.mee.gov.cn/ywgz/fgbz/bz/bzwb/pwxk/201709/t20170918_421803.shtml" </w:instrText>
            </w:r>
            <w:r>
              <w:fldChar w:fldCharType="separate"/>
            </w:r>
            <w:r>
              <w:rPr>
                <w:color w:val="000000" w:themeColor="text1"/>
                <w:sz w:val="24"/>
                <w14:textFill>
                  <w14:solidFill>
                    <w14:schemeClr w14:val="tx1"/>
                  </w14:solidFill>
                </w14:textFill>
              </w:rPr>
              <w:t>《排污许可证申请与核发技术规范</w:t>
            </w:r>
            <w:r>
              <w:rPr>
                <w:rFonts w:hint="eastAsia"/>
                <w:color w:val="000000" w:themeColor="text1"/>
                <w:sz w:val="24"/>
                <w14:textFill>
                  <w14:solidFill>
                    <w14:schemeClr w14:val="tx1"/>
                  </w14:solidFill>
                </w14:textFill>
              </w:rPr>
              <w:t xml:space="preserve"> 家具制造业》（HJ</w:t>
            </w:r>
            <w:r>
              <w:rPr>
                <w:color w:val="000000" w:themeColor="text1"/>
                <w:sz w:val="24"/>
                <w14:textFill>
                  <w14:solidFill>
                    <w14:schemeClr w14:val="tx1"/>
                  </w14:solidFill>
                </w14:textFill>
              </w:rPr>
              <w:t>1027</w:t>
            </w:r>
            <w:r>
              <w:rPr>
                <w:rFonts w:hint="eastAsia"/>
                <w:color w:val="000000" w:themeColor="text1"/>
                <w:sz w:val="24"/>
                <w14:textFill>
                  <w14:solidFill>
                    <w14:schemeClr w14:val="tx1"/>
                  </w14:solidFill>
                </w14:textFill>
              </w:rPr>
              <w:t>-201</w:t>
            </w: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）表6</w:t>
            </w:r>
            <w:r>
              <w:rPr>
                <w:rFonts w:hint="eastAsia"/>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涂装废气产生的颗粒物采用“水帘过滤”、“干式过滤棉/过滤”的处理措施为可行性技术。参考《排污许可证申请与核发技术规范 橡胶和塑料制品工业》（HJ</w:t>
            </w:r>
            <w:r>
              <w:rPr>
                <w:color w:val="000000" w:themeColor="text1"/>
                <w:sz w:val="24"/>
                <w14:textFill>
                  <w14:solidFill>
                    <w14:schemeClr w14:val="tx1"/>
                  </w14:solidFill>
                </w14:textFill>
              </w:rPr>
              <w:t>1122</w:t>
            </w:r>
            <w:r>
              <w:rPr>
                <w:rFonts w:hint="eastAsia"/>
                <w:color w:val="000000" w:themeColor="text1"/>
                <w:sz w:val="24"/>
                <w14:textFill>
                  <w14:solidFill>
                    <w14:schemeClr w14:val="tx1"/>
                  </w14:solidFill>
                </w14:textFill>
              </w:rPr>
              <w:t>-20</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）表A</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，喷涂工序废气采用“吸附法”的处理措施为可行性技术。因此项目喷漆、晾干工序产生的漆雾、有机废气</w:t>
            </w:r>
            <w:r>
              <w:rPr>
                <w:color w:val="000000" w:themeColor="text1"/>
                <w:sz w:val="24"/>
                <w14:textFill>
                  <w14:solidFill>
                    <w14:schemeClr w14:val="tx1"/>
                  </w14:solidFill>
                </w14:textFill>
              </w:rPr>
              <w:t>收集后进入</w:t>
            </w:r>
            <w:r>
              <w:rPr>
                <w:rFonts w:hint="eastAsia"/>
                <w:color w:val="000000" w:themeColor="text1"/>
                <w:sz w:val="24"/>
                <w14:textFill>
                  <w14:solidFill>
                    <w14:schemeClr w14:val="tx1"/>
                  </w14:solidFill>
                </w14:textFill>
              </w:rPr>
              <w:t>“水喷淋+过滤除雾器+二级活性炭”吸附法</w:t>
            </w:r>
            <w:r>
              <w:rPr>
                <w:color w:val="000000" w:themeColor="text1"/>
                <w:sz w:val="24"/>
                <w14:textFill>
                  <w14:solidFill>
                    <w14:schemeClr w14:val="tx1"/>
                  </w14:solidFill>
                </w14:textFill>
              </w:rPr>
              <w:t>装置处理后由15m排气筒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2排放</w:t>
            </w:r>
            <w:r>
              <w:rPr>
                <w:rFonts w:hint="eastAsia"/>
                <w:color w:val="000000" w:themeColor="text1"/>
                <w:sz w:val="24"/>
                <w14:textFill>
                  <w14:solidFill>
                    <w14:schemeClr w14:val="tx1"/>
                  </w14:solidFill>
                </w14:textFill>
              </w:rPr>
              <w:t>，是可行的。</w:t>
            </w:r>
          </w:p>
          <w:p w14:paraId="7DF47386">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3、达标排放情况</w:t>
            </w:r>
          </w:p>
          <w:p w14:paraId="2600DB0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开料、雕刻、打磨、切割、焊接工序产生的颗粒物，焊接工序产生的锰及其化合物经集气罩收集，引至一套“布袋除尘”装置进行处理，处理达标后经15m高排气筒DA001排放，颗粒物、锰及其化合物有组织排放达到广东省《大气污染物排放限值》（DB44/27-2001）第二时段二级标准的要求。项目喷漆、晾干工序产生的漆雾、有机废气收集后进入“水喷淋+过滤除雾器+二级活性炭”吸附法装置处理后由15m排气筒DA002排放，有机废气有组织排放浓度达到广东省《固定污染源挥发性有机物综合排放标准》（DB44/2367-2022）表1挥发性有机物排放限值的要求，颗粒物有组织排放达到广东省《大气污染物排放限值》（DB44/27-2001）第二时段二级标准的要求；项目厂界总V</w:t>
            </w:r>
            <w:r>
              <w:rPr>
                <w:color w:val="000000" w:themeColor="text1"/>
                <w:sz w:val="24"/>
                <w14:textFill>
                  <w14:solidFill>
                    <w14:schemeClr w14:val="tx1"/>
                  </w14:solidFill>
                </w14:textFill>
              </w:rPr>
              <w:t>OC</w:t>
            </w:r>
            <w:r>
              <w:rPr>
                <w:rFonts w:hint="eastAsia"/>
                <w:color w:val="000000" w:themeColor="text1"/>
                <w:sz w:val="24"/>
                <w14:textFill>
                  <w14:solidFill>
                    <w14:schemeClr w14:val="tx1"/>
                  </w14:solidFill>
                </w14:textFill>
              </w:rPr>
              <w:t>s无组织排放达到广东省《家具制造行业挥发性有机化合物排放标准》（DB44/814-2010）无组织排放监控点浓度限值标准的要求，颗粒物无组织排放达到广东省《大气污染物排放限值》（DB44/27-2001）第二时段无组织排放监控点浓度限值标准，</w:t>
            </w:r>
            <w:r>
              <w:rPr>
                <w:color w:val="000000" w:themeColor="text1"/>
                <w:sz w:val="24"/>
                <w14:textFill>
                  <w14:solidFill>
                    <w14:schemeClr w14:val="tx1"/>
                  </w14:solidFill>
                </w14:textFill>
              </w:rPr>
              <w:t>厂区内</w:t>
            </w:r>
            <w:r>
              <w:rPr>
                <w:rFonts w:hint="eastAsia"/>
                <w:color w:val="000000" w:themeColor="text1"/>
                <w:sz w:val="24"/>
                <w14:textFill>
                  <w14:solidFill>
                    <w14:schemeClr w14:val="tx1"/>
                  </w14:solidFill>
                </w14:textFill>
              </w:rPr>
              <w:t>非甲烷总烃</w:t>
            </w:r>
            <w:r>
              <w:rPr>
                <w:color w:val="000000" w:themeColor="text1"/>
                <w:sz w:val="24"/>
                <w14:textFill>
                  <w14:solidFill>
                    <w14:schemeClr w14:val="tx1"/>
                  </w14:solidFill>
                </w14:textFill>
              </w:rPr>
              <w:t>无组织排放符合</w:t>
            </w:r>
            <w:r>
              <w:rPr>
                <w:rFonts w:hint="eastAsia"/>
                <w:color w:val="000000" w:themeColor="text1"/>
                <w:sz w:val="24"/>
                <w14:textFill>
                  <w14:solidFill>
                    <w14:schemeClr w14:val="tx1"/>
                  </w14:solidFill>
                </w14:textFill>
              </w:rPr>
              <w:t>《固定污染源挥发性有机物综合排放标准》（DB44/2367-2022）中表3厂区内无组织排放限值的要求。项目油烟废气经高效油烟净化器处理后达到《饮食业油烟排放标准（试行）》（GB18483-2001）小型标准的要求后排放。综上所述，项目</w:t>
            </w:r>
            <w:r>
              <w:rPr>
                <w:color w:val="000000" w:themeColor="text1"/>
                <w:sz w:val="24"/>
                <w14:textFill>
                  <w14:solidFill>
                    <w14:schemeClr w14:val="tx1"/>
                  </w14:solidFill>
                </w14:textFill>
              </w:rPr>
              <w:t>对周围的环境影响</w:t>
            </w:r>
            <w:r>
              <w:rPr>
                <w:rFonts w:hint="eastAsia"/>
                <w:color w:val="000000" w:themeColor="text1"/>
                <w:sz w:val="24"/>
                <w14:textFill>
                  <w14:solidFill>
                    <w14:schemeClr w14:val="tx1"/>
                  </w14:solidFill>
                </w14:textFill>
              </w:rPr>
              <w:t>较小。</w:t>
            </w:r>
          </w:p>
          <w:p w14:paraId="09E0A033">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废气排放口情况基本情况</w:t>
            </w:r>
          </w:p>
          <w:p w14:paraId="096E7E87">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表4-5  废气排放口基本情况一览表</w:t>
            </w:r>
          </w:p>
          <w:tbl>
            <w:tblPr>
              <w:tblStyle w:val="40"/>
              <w:tblW w:w="4985" w:type="pct"/>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134"/>
              <w:gridCol w:w="1274"/>
              <w:gridCol w:w="1135"/>
              <w:gridCol w:w="708"/>
              <w:gridCol w:w="707"/>
              <w:gridCol w:w="710"/>
              <w:gridCol w:w="889"/>
              <w:gridCol w:w="857"/>
            </w:tblGrid>
            <w:tr w14:paraId="62DC1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pct"/>
                  <w:vMerge w:val="restart"/>
                  <w:vAlign w:val="center"/>
                </w:tcPr>
                <w:p w14:paraId="6EF8A4C8">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排放口编号</w:t>
                  </w:r>
                </w:p>
              </w:tc>
              <w:tc>
                <w:tcPr>
                  <w:tcW w:w="696" w:type="pct"/>
                  <w:vMerge w:val="restart"/>
                  <w:vAlign w:val="center"/>
                </w:tcPr>
                <w:p w14:paraId="53D67F25">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废气排放口名称</w:t>
                  </w:r>
                </w:p>
              </w:tc>
              <w:tc>
                <w:tcPr>
                  <w:tcW w:w="1479" w:type="pct"/>
                  <w:gridSpan w:val="2"/>
                  <w:vAlign w:val="center"/>
                </w:tcPr>
                <w:p w14:paraId="66D89D42">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地理坐标</w:t>
                  </w:r>
                </w:p>
              </w:tc>
              <w:tc>
                <w:tcPr>
                  <w:tcW w:w="435" w:type="pct"/>
                  <w:vMerge w:val="restart"/>
                  <w:vAlign w:val="center"/>
                </w:tcPr>
                <w:p w14:paraId="1F15DF9F">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排气温度℃</w:t>
                  </w:r>
                </w:p>
              </w:tc>
              <w:tc>
                <w:tcPr>
                  <w:tcW w:w="1416" w:type="pct"/>
                  <w:gridSpan w:val="3"/>
                  <w:vAlign w:val="center"/>
                </w:tcPr>
                <w:p w14:paraId="253086CB">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排放口基本情况</w:t>
                  </w:r>
                </w:p>
              </w:tc>
              <w:tc>
                <w:tcPr>
                  <w:tcW w:w="526" w:type="pct"/>
                  <w:vMerge w:val="restart"/>
                  <w:vAlign w:val="center"/>
                </w:tcPr>
                <w:p w14:paraId="51AFDDC8">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类型</w:t>
                  </w:r>
                </w:p>
              </w:tc>
            </w:tr>
            <w:tr w14:paraId="7F894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pct"/>
                  <w:vMerge w:val="continue"/>
                  <w:vAlign w:val="center"/>
                </w:tcPr>
                <w:p w14:paraId="30B02D77">
                  <w:pPr>
                    <w:pStyle w:val="145"/>
                    <w:adjustRightInd w:val="0"/>
                    <w:snapToGrid w:val="0"/>
                    <w:spacing w:line="240" w:lineRule="auto"/>
                    <w:ind w:left="-105" w:leftChars="-50" w:right="-105" w:rightChars="-50"/>
                    <w:jc w:val="center"/>
                    <w:rPr>
                      <w:rFonts w:ascii="Times New Roman" w:hAnsi="Times New Roman"/>
                      <w:color w:val="7030A0"/>
                      <w:sz w:val="21"/>
                      <w:szCs w:val="21"/>
                    </w:rPr>
                  </w:pPr>
                </w:p>
              </w:tc>
              <w:tc>
                <w:tcPr>
                  <w:tcW w:w="696" w:type="pct"/>
                  <w:vMerge w:val="continue"/>
                  <w:vAlign w:val="center"/>
                </w:tcPr>
                <w:p w14:paraId="71CD0286">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782" w:type="pct"/>
                  <w:vAlign w:val="center"/>
                </w:tcPr>
                <w:p w14:paraId="60E6B5C8">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经度</w:t>
                  </w:r>
                  <w:r>
                    <w:rPr>
                      <w:rFonts w:hint="eastAsia" w:ascii="Times New Roman" w:hAnsi="Times New Roman"/>
                      <w:b/>
                      <w:bCs/>
                      <w:color w:val="000000" w:themeColor="text1"/>
                      <w:sz w:val="21"/>
                      <w:szCs w:val="21"/>
                      <w14:textFill>
                        <w14:solidFill>
                          <w14:schemeClr w14:val="tx1"/>
                        </w14:solidFill>
                      </w14:textFill>
                    </w:rPr>
                    <w:t>E</w:t>
                  </w:r>
                </w:p>
              </w:tc>
              <w:tc>
                <w:tcPr>
                  <w:tcW w:w="697" w:type="pct"/>
                  <w:vAlign w:val="center"/>
                </w:tcPr>
                <w:p w14:paraId="0DD8911A">
                  <w:pPr>
                    <w:pStyle w:val="145"/>
                    <w:adjustRightInd w:val="0"/>
                    <w:snapToGrid w:val="0"/>
                    <w:spacing w:line="240" w:lineRule="auto"/>
                    <w:ind w:left="-105" w:leftChars="-50" w:right="-105" w:rightChars="-50"/>
                    <w:jc w:val="center"/>
                    <w:rPr>
                      <w:rFonts w:ascii="Times New Roman" w:hAnsi="Times New Roman"/>
                      <w:b/>
                      <w:bCs/>
                      <w:color w:val="7030A0"/>
                      <w:sz w:val="21"/>
                      <w:szCs w:val="21"/>
                    </w:rPr>
                  </w:pPr>
                  <w:r>
                    <w:rPr>
                      <w:rFonts w:ascii="Times New Roman" w:hAnsi="Times New Roman"/>
                      <w:b/>
                      <w:bCs/>
                      <w:color w:val="000000" w:themeColor="text1"/>
                      <w:sz w:val="21"/>
                      <w:szCs w:val="21"/>
                      <w14:textFill>
                        <w14:solidFill>
                          <w14:schemeClr w14:val="tx1"/>
                        </w14:solidFill>
                      </w14:textFill>
                    </w:rPr>
                    <w:t>纬度</w:t>
                  </w:r>
                  <w:r>
                    <w:rPr>
                      <w:rFonts w:hint="eastAsia" w:ascii="Times New Roman" w:hAnsi="Times New Roman"/>
                      <w:b/>
                      <w:bCs/>
                      <w:color w:val="000000" w:themeColor="text1"/>
                      <w:sz w:val="21"/>
                      <w:szCs w:val="21"/>
                      <w14:textFill>
                        <w14:solidFill>
                          <w14:schemeClr w14:val="tx1"/>
                        </w14:solidFill>
                      </w14:textFill>
                    </w:rPr>
                    <w:t>N</w:t>
                  </w:r>
                </w:p>
              </w:tc>
              <w:tc>
                <w:tcPr>
                  <w:tcW w:w="435" w:type="pct"/>
                  <w:vMerge w:val="continue"/>
                  <w:vAlign w:val="center"/>
                </w:tcPr>
                <w:p w14:paraId="484344F2">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434" w:type="pct"/>
                  <w:vAlign w:val="center"/>
                </w:tcPr>
                <w:p w14:paraId="57B8E216">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高度</w:t>
                  </w:r>
                </w:p>
                <w:p w14:paraId="6AC64E97">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m</w:t>
                  </w:r>
                </w:p>
              </w:tc>
              <w:tc>
                <w:tcPr>
                  <w:tcW w:w="436" w:type="pct"/>
                  <w:vAlign w:val="center"/>
                </w:tcPr>
                <w:p w14:paraId="54C1E693">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内径</w:t>
                  </w:r>
                </w:p>
                <w:p w14:paraId="2DB768A6">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m</w:t>
                  </w:r>
                </w:p>
              </w:tc>
              <w:tc>
                <w:tcPr>
                  <w:tcW w:w="546" w:type="pct"/>
                  <w:vAlign w:val="center"/>
                </w:tcPr>
                <w:p w14:paraId="70367A93">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烟气流速m/s</w:t>
                  </w:r>
                </w:p>
              </w:tc>
              <w:tc>
                <w:tcPr>
                  <w:tcW w:w="526" w:type="pct"/>
                  <w:vMerge w:val="continue"/>
                  <w:vAlign w:val="center"/>
                </w:tcPr>
                <w:p w14:paraId="7509442C">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r>
            <w:tr w14:paraId="330E6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pct"/>
                  <w:vAlign w:val="center"/>
                </w:tcPr>
                <w:p w14:paraId="5050E9CA">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hint="eastAsia" w:ascii="Times New Roman" w:hAnsi="Times New Roman"/>
                      <w:color w:val="000000" w:themeColor="text1"/>
                      <w:sz w:val="21"/>
                      <w:szCs w:val="21"/>
                      <w14:textFill>
                        <w14:solidFill>
                          <w14:schemeClr w14:val="tx1"/>
                        </w14:solidFill>
                      </w14:textFill>
                    </w:rPr>
                    <w:t>DA001</w:t>
                  </w:r>
                </w:p>
              </w:tc>
              <w:tc>
                <w:tcPr>
                  <w:tcW w:w="696" w:type="pct"/>
                  <w:vAlign w:val="center"/>
                </w:tcPr>
                <w:p w14:paraId="4B25C379">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开料、雕刻、打磨、切割、焊接废气排放口</w:t>
                  </w:r>
                </w:p>
              </w:tc>
              <w:tc>
                <w:tcPr>
                  <w:tcW w:w="782" w:type="pct"/>
                  <w:vAlign w:val="center"/>
                </w:tcPr>
                <w:p w14:paraId="02C8D1AD">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113.9785</w:t>
                  </w:r>
                  <w:r>
                    <w:rPr>
                      <w:rFonts w:hint="eastAsia"/>
                      <w:color w:val="000000" w:themeColor="text1"/>
                      <w:szCs w:val="21"/>
                      <w14:textFill>
                        <w14:solidFill>
                          <w14:schemeClr w14:val="tx1"/>
                        </w14:solidFill>
                      </w14:textFill>
                    </w:rPr>
                    <w:t>20</w:t>
                  </w:r>
                  <w:r>
                    <w:rPr>
                      <w:color w:val="000000" w:themeColor="text1"/>
                      <w:szCs w:val="21"/>
                      <w14:textFill>
                        <w14:solidFill>
                          <w14:schemeClr w14:val="tx1"/>
                        </w14:solidFill>
                      </w14:textFill>
                    </w:rPr>
                    <w:t>°</w:t>
                  </w:r>
                </w:p>
              </w:tc>
              <w:tc>
                <w:tcPr>
                  <w:tcW w:w="697" w:type="pct"/>
                  <w:vAlign w:val="center"/>
                </w:tcPr>
                <w:p w14:paraId="6D208FB8">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23.200701°</w:t>
                  </w:r>
                </w:p>
              </w:tc>
              <w:tc>
                <w:tcPr>
                  <w:tcW w:w="435" w:type="pct"/>
                  <w:vAlign w:val="center"/>
                </w:tcPr>
                <w:p w14:paraId="153676B1">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25</w:t>
                  </w:r>
                </w:p>
              </w:tc>
              <w:tc>
                <w:tcPr>
                  <w:tcW w:w="434" w:type="pct"/>
                  <w:vAlign w:val="center"/>
                </w:tcPr>
                <w:p w14:paraId="65741D9E">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436" w:type="pct"/>
                  <w:vAlign w:val="center"/>
                </w:tcPr>
                <w:p w14:paraId="32A134E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0.4</w:t>
                  </w:r>
                </w:p>
              </w:tc>
              <w:tc>
                <w:tcPr>
                  <w:tcW w:w="546" w:type="pct"/>
                  <w:vAlign w:val="center"/>
                </w:tcPr>
                <w:p w14:paraId="6D766697">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13.27</w:t>
                  </w:r>
                </w:p>
              </w:tc>
              <w:tc>
                <w:tcPr>
                  <w:tcW w:w="526" w:type="pct"/>
                  <w:vAlign w:val="center"/>
                </w:tcPr>
                <w:p w14:paraId="724A9A4D">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r w14:paraId="0D458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pct"/>
                  <w:vAlign w:val="center"/>
                </w:tcPr>
                <w:p w14:paraId="4ABC3EC1">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w:t>
                  </w:r>
                  <w:r>
                    <w:rPr>
                      <w:rFonts w:ascii="Times New Roman" w:hAnsi="Times New Roman"/>
                      <w:color w:val="000000" w:themeColor="text1"/>
                      <w:sz w:val="21"/>
                      <w:szCs w:val="21"/>
                      <w14:textFill>
                        <w14:solidFill>
                          <w14:schemeClr w14:val="tx1"/>
                        </w14:solidFill>
                      </w14:textFill>
                    </w:rPr>
                    <w:t>A002</w:t>
                  </w:r>
                </w:p>
              </w:tc>
              <w:tc>
                <w:tcPr>
                  <w:tcW w:w="696" w:type="pct"/>
                  <w:vAlign w:val="center"/>
                </w:tcPr>
                <w:p w14:paraId="32C04A61">
                  <w:pPr>
                    <w:pStyle w:val="145"/>
                    <w:adjustRightInd w:val="0"/>
                    <w:snapToGrid w:val="0"/>
                    <w:spacing w:line="240" w:lineRule="auto"/>
                    <w:ind w:left="-105" w:leftChars="-50" w:right="-105"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喷漆、晾干</w:t>
                  </w:r>
                  <w:r>
                    <w:rPr>
                      <w:rFonts w:ascii="Times New Roman" w:hAnsi="Times New Roman"/>
                      <w:color w:val="000000" w:themeColor="text1"/>
                      <w:sz w:val="21"/>
                      <w:szCs w:val="21"/>
                      <w14:textFill>
                        <w14:solidFill>
                          <w14:schemeClr w14:val="tx1"/>
                        </w14:solidFill>
                      </w14:textFill>
                    </w:rPr>
                    <w:t>废气排放口</w:t>
                  </w:r>
                </w:p>
              </w:tc>
              <w:tc>
                <w:tcPr>
                  <w:tcW w:w="782" w:type="pct"/>
                  <w:vAlign w:val="center"/>
                </w:tcPr>
                <w:p w14:paraId="15F24408">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113.978525°</w:t>
                  </w:r>
                </w:p>
              </w:tc>
              <w:tc>
                <w:tcPr>
                  <w:tcW w:w="697" w:type="pct"/>
                  <w:vAlign w:val="center"/>
                </w:tcPr>
                <w:p w14:paraId="0A28A3C0">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23.200649°</w:t>
                  </w:r>
                </w:p>
              </w:tc>
              <w:tc>
                <w:tcPr>
                  <w:tcW w:w="435" w:type="pct"/>
                  <w:vAlign w:val="center"/>
                </w:tcPr>
                <w:p w14:paraId="541EC31B">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25</w:t>
                  </w:r>
                </w:p>
              </w:tc>
              <w:tc>
                <w:tcPr>
                  <w:tcW w:w="434" w:type="pct"/>
                  <w:vAlign w:val="center"/>
                </w:tcPr>
                <w:p w14:paraId="3B2FD227">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436" w:type="pct"/>
                  <w:vAlign w:val="center"/>
                </w:tcPr>
                <w:p w14:paraId="349DF8DC">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0.8</w:t>
                  </w:r>
                </w:p>
              </w:tc>
              <w:tc>
                <w:tcPr>
                  <w:tcW w:w="546" w:type="pct"/>
                  <w:vAlign w:val="center"/>
                </w:tcPr>
                <w:p w14:paraId="2B60EFD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19.35</w:t>
                  </w:r>
                </w:p>
              </w:tc>
              <w:tc>
                <w:tcPr>
                  <w:tcW w:w="526" w:type="pct"/>
                  <w:vAlign w:val="center"/>
                </w:tcPr>
                <w:p w14:paraId="40DD8509">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r w14:paraId="63528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pct"/>
                  <w:vAlign w:val="center"/>
                </w:tcPr>
                <w:p w14:paraId="409084D5">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w:t>
                  </w:r>
                  <w:r>
                    <w:rPr>
                      <w:rFonts w:ascii="Times New Roman" w:hAnsi="Times New Roman"/>
                      <w:color w:val="000000" w:themeColor="text1"/>
                      <w:sz w:val="21"/>
                      <w:szCs w:val="21"/>
                      <w14:textFill>
                        <w14:solidFill>
                          <w14:schemeClr w14:val="tx1"/>
                        </w14:solidFill>
                      </w14:textFill>
                    </w:rPr>
                    <w:t>A003</w:t>
                  </w:r>
                </w:p>
              </w:tc>
              <w:tc>
                <w:tcPr>
                  <w:tcW w:w="696" w:type="pct"/>
                  <w:vAlign w:val="center"/>
                </w:tcPr>
                <w:p w14:paraId="0344C0CA">
                  <w:pPr>
                    <w:pStyle w:val="145"/>
                    <w:adjustRightInd w:val="0"/>
                    <w:snapToGrid w:val="0"/>
                    <w:spacing w:line="240" w:lineRule="auto"/>
                    <w:ind w:left="-105" w:leftChars="-50" w:right="-105"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油烟废气排放口</w:t>
                  </w:r>
                </w:p>
              </w:tc>
              <w:tc>
                <w:tcPr>
                  <w:tcW w:w="782" w:type="pct"/>
                  <w:vAlign w:val="center"/>
                </w:tcPr>
                <w:p w14:paraId="7FA4BDF3">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113.978558°</w:t>
                  </w:r>
                </w:p>
              </w:tc>
              <w:tc>
                <w:tcPr>
                  <w:tcW w:w="697" w:type="pct"/>
                  <w:vAlign w:val="center"/>
                </w:tcPr>
                <w:p w14:paraId="6E1818CD">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23.20117</w:t>
                  </w: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w:t>
                  </w:r>
                </w:p>
              </w:tc>
              <w:tc>
                <w:tcPr>
                  <w:tcW w:w="435" w:type="pct"/>
                  <w:vAlign w:val="center"/>
                </w:tcPr>
                <w:p w14:paraId="2D7C5541">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25</w:t>
                  </w:r>
                </w:p>
              </w:tc>
              <w:tc>
                <w:tcPr>
                  <w:tcW w:w="434" w:type="pct"/>
                  <w:vAlign w:val="center"/>
                </w:tcPr>
                <w:p w14:paraId="15DF5DEE">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436" w:type="pct"/>
                  <w:vAlign w:val="center"/>
                </w:tcPr>
                <w:p w14:paraId="35233998">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0.35</w:t>
                  </w:r>
                </w:p>
              </w:tc>
              <w:tc>
                <w:tcPr>
                  <w:tcW w:w="546" w:type="pct"/>
                  <w:vAlign w:val="center"/>
                </w:tcPr>
                <w:p w14:paraId="236556A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11.55</w:t>
                  </w:r>
                </w:p>
              </w:tc>
              <w:tc>
                <w:tcPr>
                  <w:tcW w:w="526" w:type="pct"/>
                  <w:vAlign w:val="center"/>
                </w:tcPr>
                <w:p w14:paraId="01BA4E17">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bl>
          <w:p w14:paraId="6F232384">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5</w:t>
            </w:r>
            <w:r>
              <w:rPr>
                <w:b/>
                <w:color w:val="000000" w:themeColor="text1"/>
                <w:sz w:val="24"/>
                <w14:textFill>
                  <w14:solidFill>
                    <w14:schemeClr w14:val="tx1"/>
                  </w14:solidFill>
                </w14:textFill>
              </w:rPr>
              <w:t>、监测要求</w:t>
            </w:r>
          </w:p>
          <w:p w14:paraId="32166BE6">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根据《排污单位自行监测技术指南 总则》（HJ 819-2017）及《排污单位自行监测技术指南 涂装》（H</w:t>
            </w:r>
            <w:r>
              <w:rPr>
                <w:bCs/>
                <w:color w:val="000000" w:themeColor="text1"/>
                <w:sz w:val="24"/>
                <w14:textFill>
                  <w14:solidFill>
                    <w14:schemeClr w14:val="tx1"/>
                  </w14:solidFill>
                </w14:textFill>
              </w:rPr>
              <w:t>J1086-2020</w:t>
            </w:r>
            <w:r>
              <w:rPr>
                <w:rFonts w:hint="eastAsia"/>
                <w:bCs/>
                <w:color w:val="000000" w:themeColor="text1"/>
                <w:sz w:val="24"/>
                <w14:textFill>
                  <w14:solidFill>
                    <w14:schemeClr w14:val="tx1"/>
                  </w14:solidFill>
                </w14:textFill>
              </w:rPr>
              <w:t>），项目监测要求见表4-</w:t>
            </w:r>
            <w:r>
              <w:rPr>
                <w:bCs/>
                <w:color w:val="000000" w:themeColor="text1"/>
                <w:sz w:val="24"/>
                <w14:textFill>
                  <w14:solidFill>
                    <w14:schemeClr w14:val="tx1"/>
                  </w14:solidFill>
                </w14:textFill>
              </w:rPr>
              <w:t>6</w:t>
            </w:r>
            <w:r>
              <w:rPr>
                <w:rFonts w:hint="eastAsia"/>
                <w:bCs/>
                <w:color w:val="000000" w:themeColor="text1"/>
                <w:sz w:val="24"/>
                <w14:textFill>
                  <w14:solidFill>
                    <w14:schemeClr w14:val="tx1"/>
                  </w14:solidFill>
                </w14:textFill>
              </w:rPr>
              <w:t>。</w:t>
            </w:r>
          </w:p>
          <w:p w14:paraId="21363498">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表4-6  大气污染物监测要求一览表</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044"/>
              <w:gridCol w:w="686"/>
              <w:gridCol w:w="1243"/>
              <w:gridCol w:w="921"/>
              <w:gridCol w:w="1212"/>
              <w:gridCol w:w="2274"/>
            </w:tblGrid>
            <w:tr w14:paraId="4815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pct"/>
                  <w:gridSpan w:val="2"/>
                  <w:vAlign w:val="center"/>
                </w:tcPr>
                <w:p w14:paraId="378C5D1F">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检测点位</w:t>
                  </w:r>
                </w:p>
              </w:tc>
              <w:tc>
                <w:tcPr>
                  <w:tcW w:w="420" w:type="pct"/>
                  <w:vMerge w:val="restart"/>
                  <w:vAlign w:val="center"/>
                </w:tcPr>
                <w:p w14:paraId="1EDD470E">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污染物种类</w:t>
                  </w:r>
                </w:p>
              </w:tc>
              <w:tc>
                <w:tcPr>
                  <w:tcW w:w="761" w:type="pct"/>
                  <w:vMerge w:val="restart"/>
                  <w:vAlign w:val="center"/>
                </w:tcPr>
                <w:p w14:paraId="29FBA0EE">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监测频次</w:t>
                  </w:r>
                </w:p>
              </w:tc>
              <w:tc>
                <w:tcPr>
                  <w:tcW w:w="2698" w:type="pct"/>
                  <w:gridSpan w:val="3"/>
                  <w:vAlign w:val="center"/>
                </w:tcPr>
                <w:p w14:paraId="355990D2">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执行标准</w:t>
                  </w:r>
                </w:p>
              </w:tc>
            </w:tr>
            <w:tr w14:paraId="7DE2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Align w:val="center"/>
                </w:tcPr>
                <w:p w14:paraId="7E72DAC1">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编号</w:t>
                  </w:r>
                </w:p>
              </w:tc>
              <w:tc>
                <w:tcPr>
                  <w:tcW w:w="639" w:type="pct"/>
                  <w:vAlign w:val="center"/>
                </w:tcPr>
                <w:p w14:paraId="173F2463">
                  <w:pPr>
                    <w:pStyle w:val="145"/>
                    <w:adjustRightInd w:val="0"/>
                    <w:snapToGrid w:val="0"/>
                    <w:spacing w:line="240" w:lineRule="auto"/>
                    <w:ind w:left="-105" w:leftChars="-50" w:right="-105" w:rightChars="-50"/>
                    <w:jc w:val="center"/>
                    <w:rPr>
                      <w:rFonts w:ascii="Times New Roman" w:hAnsi="Times New Roman"/>
                      <w:b/>
                      <w:bCs/>
                      <w:color w:val="7030A0"/>
                      <w:sz w:val="21"/>
                      <w:szCs w:val="21"/>
                    </w:rPr>
                  </w:pPr>
                  <w:r>
                    <w:rPr>
                      <w:rFonts w:ascii="Times New Roman" w:hAnsi="Times New Roman"/>
                      <w:b/>
                      <w:bCs/>
                      <w:color w:val="000000" w:themeColor="text1"/>
                      <w:sz w:val="21"/>
                      <w:szCs w:val="21"/>
                      <w14:textFill>
                        <w14:solidFill>
                          <w14:schemeClr w14:val="tx1"/>
                        </w14:solidFill>
                      </w14:textFill>
                    </w:rPr>
                    <w:t>名称</w:t>
                  </w:r>
                </w:p>
              </w:tc>
              <w:tc>
                <w:tcPr>
                  <w:tcW w:w="420" w:type="pct"/>
                  <w:vMerge w:val="continue"/>
                  <w:vAlign w:val="center"/>
                </w:tcPr>
                <w:p w14:paraId="6C63B09F">
                  <w:pPr>
                    <w:pStyle w:val="145"/>
                    <w:adjustRightInd w:val="0"/>
                    <w:snapToGrid w:val="0"/>
                    <w:spacing w:line="240" w:lineRule="auto"/>
                    <w:ind w:left="-105" w:leftChars="-50" w:right="-105" w:rightChars="-50"/>
                    <w:jc w:val="center"/>
                    <w:rPr>
                      <w:rFonts w:ascii="Times New Roman" w:hAnsi="Times New Roman"/>
                      <w:b/>
                      <w:bCs/>
                      <w:color w:val="7030A0"/>
                      <w:sz w:val="21"/>
                      <w:szCs w:val="21"/>
                    </w:rPr>
                  </w:pPr>
                </w:p>
              </w:tc>
              <w:tc>
                <w:tcPr>
                  <w:tcW w:w="761" w:type="pct"/>
                  <w:vMerge w:val="continue"/>
                  <w:vAlign w:val="center"/>
                </w:tcPr>
                <w:p w14:paraId="477BA89D">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p>
              </w:tc>
              <w:tc>
                <w:tcPr>
                  <w:tcW w:w="564" w:type="pct"/>
                  <w:vAlign w:val="center"/>
                </w:tcPr>
                <w:p w14:paraId="6E007BC1">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排放浓度</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mg/m</w:t>
                  </w:r>
                  <w:r>
                    <w:rPr>
                      <w:rFonts w:ascii="Times New Roman" w:hAnsi="Times New Roman"/>
                      <w:b/>
                      <w:bCs/>
                      <w:color w:val="000000" w:themeColor="text1"/>
                      <w:sz w:val="21"/>
                      <w:szCs w:val="21"/>
                      <w:vertAlign w:val="superscript"/>
                      <w14:textFill>
                        <w14:solidFill>
                          <w14:schemeClr w14:val="tx1"/>
                        </w14:solidFill>
                      </w14:textFill>
                    </w:rPr>
                    <w:t>3</w:t>
                  </w:r>
                  <w:r>
                    <w:rPr>
                      <w:rFonts w:hint="eastAsia" w:ascii="Times New Roman" w:hAnsi="Times New Roman"/>
                      <w:b/>
                      <w:bCs/>
                      <w:color w:val="000000" w:themeColor="text1"/>
                      <w:sz w:val="21"/>
                      <w:szCs w:val="21"/>
                      <w14:textFill>
                        <w14:solidFill>
                          <w14:schemeClr w14:val="tx1"/>
                        </w14:solidFill>
                      </w14:textFill>
                    </w:rPr>
                    <w:t>)</w:t>
                  </w:r>
                </w:p>
              </w:tc>
              <w:tc>
                <w:tcPr>
                  <w:tcW w:w="742" w:type="pct"/>
                  <w:vAlign w:val="center"/>
                </w:tcPr>
                <w:p w14:paraId="23988A75">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最高允许排放浓度</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kg/h</w:t>
                  </w:r>
                  <w:r>
                    <w:rPr>
                      <w:rFonts w:hint="eastAsia" w:ascii="Times New Roman" w:hAnsi="Times New Roman"/>
                      <w:b/>
                      <w:bCs/>
                      <w:color w:val="000000" w:themeColor="text1"/>
                      <w:sz w:val="21"/>
                      <w:szCs w:val="21"/>
                      <w14:textFill>
                        <w14:solidFill>
                          <w14:schemeClr w14:val="tx1"/>
                        </w14:solidFill>
                      </w14:textFill>
                    </w:rPr>
                    <w:t>)</w:t>
                  </w:r>
                </w:p>
              </w:tc>
              <w:tc>
                <w:tcPr>
                  <w:tcW w:w="1392" w:type="pct"/>
                  <w:vAlign w:val="center"/>
                </w:tcPr>
                <w:p w14:paraId="2E048159">
                  <w:pPr>
                    <w:pStyle w:val="145"/>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标准名称</w:t>
                  </w:r>
                </w:p>
              </w:tc>
            </w:tr>
            <w:tr w14:paraId="42BE1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restart"/>
                  <w:vAlign w:val="center"/>
                </w:tcPr>
                <w:p w14:paraId="07BCE258">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DA001</w:t>
                  </w:r>
                </w:p>
              </w:tc>
              <w:tc>
                <w:tcPr>
                  <w:tcW w:w="639" w:type="pct"/>
                  <w:vMerge w:val="restart"/>
                  <w:vAlign w:val="center"/>
                </w:tcPr>
                <w:p w14:paraId="74440948">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开料、雕刻、打磨切割、焊接废气排放口</w:t>
                  </w:r>
                </w:p>
              </w:tc>
              <w:tc>
                <w:tcPr>
                  <w:tcW w:w="420" w:type="pct"/>
                  <w:vAlign w:val="center"/>
                </w:tcPr>
                <w:p w14:paraId="7124FBA6">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颗粒物</w:t>
                  </w:r>
                </w:p>
              </w:tc>
              <w:tc>
                <w:tcPr>
                  <w:tcW w:w="761" w:type="pct"/>
                  <w:vAlign w:val="center"/>
                </w:tcPr>
                <w:p w14:paraId="32D7101C">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1次/年</w:t>
                  </w:r>
                </w:p>
              </w:tc>
              <w:tc>
                <w:tcPr>
                  <w:tcW w:w="564" w:type="pct"/>
                  <w:vAlign w:val="center"/>
                </w:tcPr>
                <w:p w14:paraId="7F91BEEF">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120</w:t>
                  </w:r>
                </w:p>
              </w:tc>
              <w:tc>
                <w:tcPr>
                  <w:tcW w:w="742" w:type="pct"/>
                  <w:vAlign w:val="center"/>
                </w:tcPr>
                <w:p w14:paraId="1556E2F1">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1.45</w:t>
                  </w:r>
                </w:p>
              </w:tc>
              <w:tc>
                <w:tcPr>
                  <w:tcW w:w="1392" w:type="pct"/>
                  <w:vMerge w:val="restart"/>
                  <w:vAlign w:val="center"/>
                </w:tcPr>
                <w:p w14:paraId="414D04CD">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广东省《大气污染物排放限值》（DB44/27-2001）第二时段二级标准</w:t>
                  </w:r>
                </w:p>
              </w:tc>
            </w:tr>
            <w:tr w14:paraId="188C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continue"/>
                  <w:vAlign w:val="center"/>
                </w:tcPr>
                <w:p w14:paraId="52CC7E6B">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639" w:type="pct"/>
                  <w:vMerge w:val="continue"/>
                  <w:vAlign w:val="center"/>
                </w:tcPr>
                <w:p w14:paraId="0A1AA664">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420" w:type="pct"/>
                  <w:vAlign w:val="center"/>
                </w:tcPr>
                <w:p w14:paraId="3B6E03CC">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hint="eastAsia" w:ascii="Times New Roman" w:hAnsi="Times New Roman"/>
                      <w:color w:val="000000" w:themeColor="text1"/>
                      <w:sz w:val="21"/>
                      <w:szCs w:val="21"/>
                      <w14:textFill>
                        <w14:solidFill>
                          <w14:schemeClr w14:val="tx1"/>
                        </w14:solidFill>
                      </w14:textFill>
                    </w:rPr>
                    <w:t>锰及其化合物</w:t>
                  </w:r>
                </w:p>
              </w:tc>
              <w:tc>
                <w:tcPr>
                  <w:tcW w:w="761" w:type="pct"/>
                  <w:vAlign w:val="center"/>
                </w:tcPr>
                <w:p w14:paraId="06948F2A">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ascii="Times New Roman" w:hAnsi="Times New Roman"/>
                      <w:color w:val="000000" w:themeColor="text1"/>
                      <w:sz w:val="21"/>
                      <w:szCs w:val="21"/>
                      <w14:textFill>
                        <w14:solidFill>
                          <w14:schemeClr w14:val="tx1"/>
                        </w14:solidFill>
                      </w14:textFill>
                    </w:rPr>
                    <w:t>1次/年</w:t>
                  </w:r>
                </w:p>
              </w:tc>
              <w:tc>
                <w:tcPr>
                  <w:tcW w:w="564" w:type="pct"/>
                  <w:vAlign w:val="center"/>
                </w:tcPr>
                <w:p w14:paraId="0C4500DF">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hint="eastAsia" w:ascii="Times New Roman" w:hAnsi="Times New Roman"/>
                      <w:color w:val="000000" w:themeColor="text1"/>
                      <w:sz w:val="21"/>
                      <w:szCs w:val="21"/>
                      <w14:textFill>
                        <w14:solidFill>
                          <w14:schemeClr w14:val="tx1"/>
                        </w14:solidFill>
                      </w14:textFill>
                    </w:rPr>
                    <w:t>15</w:t>
                  </w:r>
                </w:p>
              </w:tc>
              <w:tc>
                <w:tcPr>
                  <w:tcW w:w="742" w:type="pct"/>
                  <w:vAlign w:val="center"/>
                </w:tcPr>
                <w:p w14:paraId="4E3F30D8">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0.021</w:t>
                  </w:r>
                </w:p>
              </w:tc>
              <w:tc>
                <w:tcPr>
                  <w:tcW w:w="1392" w:type="pct"/>
                  <w:vMerge w:val="continue"/>
                  <w:vAlign w:val="center"/>
                </w:tcPr>
                <w:p w14:paraId="6941B365">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r>
            <w:tr w14:paraId="59210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restart"/>
                  <w:vAlign w:val="center"/>
                </w:tcPr>
                <w:p w14:paraId="10948AC3">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DA00</w:t>
                  </w:r>
                  <w:r>
                    <w:rPr>
                      <w:rFonts w:ascii="Times New Roman" w:hAnsi="Times New Roman"/>
                      <w:color w:val="000000" w:themeColor="text1"/>
                      <w:sz w:val="21"/>
                      <w:szCs w:val="21"/>
                      <w14:textFill>
                        <w14:solidFill>
                          <w14:schemeClr w14:val="tx1"/>
                        </w14:solidFill>
                      </w14:textFill>
                    </w:rPr>
                    <w:t>2</w:t>
                  </w:r>
                </w:p>
              </w:tc>
              <w:tc>
                <w:tcPr>
                  <w:tcW w:w="639" w:type="pct"/>
                  <w:vMerge w:val="restart"/>
                  <w:vAlign w:val="center"/>
                </w:tcPr>
                <w:p w14:paraId="2D9C107D">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喷漆、晾干</w:t>
                  </w:r>
                  <w:r>
                    <w:rPr>
                      <w:rFonts w:ascii="Times New Roman" w:hAnsi="Times New Roman"/>
                      <w:color w:val="000000" w:themeColor="text1"/>
                      <w:sz w:val="21"/>
                      <w:szCs w:val="21"/>
                      <w14:textFill>
                        <w14:solidFill>
                          <w14:schemeClr w14:val="tx1"/>
                        </w14:solidFill>
                      </w14:textFill>
                    </w:rPr>
                    <w:t>废气排放口</w:t>
                  </w:r>
                </w:p>
              </w:tc>
              <w:tc>
                <w:tcPr>
                  <w:tcW w:w="420" w:type="pct"/>
                  <w:vAlign w:val="center"/>
                </w:tcPr>
                <w:p w14:paraId="57316759">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TVOC</w:t>
                  </w:r>
                </w:p>
              </w:tc>
              <w:tc>
                <w:tcPr>
                  <w:tcW w:w="761" w:type="pct"/>
                  <w:vMerge w:val="restart"/>
                  <w:vAlign w:val="center"/>
                </w:tcPr>
                <w:p w14:paraId="1D56964E">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1次/年</w:t>
                  </w:r>
                </w:p>
              </w:tc>
              <w:tc>
                <w:tcPr>
                  <w:tcW w:w="564" w:type="pct"/>
                  <w:vAlign w:val="center"/>
                </w:tcPr>
                <w:p w14:paraId="1DD0E111">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w:t>
                  </w:r>
                </w:p>
              </w:tc>
              <w:tc>
                <w:tcPr>
                  <w:tcW w:w="742" w:type="pct"/>
                  <w:vMerge w:val="restart"/>
                  <w:vAlign w:val="center"/>
                </w:tcPr>
                <w:p w14:paraId="7156FB86">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1392" w:type="pct"/>
                  <w:vMerge w:val="restart"/>
                  <w:vAlign w:val="center"/>
                </w:tcPr>
                <w:p w14:paraId="30FC4648">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广东省《固定污染源挥发性有机物综合排放标准》（DB44/2367-2022）</w:t>
                  </w:r>
                  <w:r>
                    <w:rPr>
                      <w:rFonts w:hint="eastAsia" w:ascii="Times New Roman" w:hAnsi="Times New Roman"/>
                      <w:color w:val="000000" w:themeColor="text1"/>
                      <w:sz w:val="21"/>
                      <w:szCs w:val="21"/>
                      <w14:textFill>
                        <w14:solidFill>
                          <w14:schemeClr w14:val="tx1"/>
                        </w14:solidFill>
                      </w14:textFill>
                    </w:rPr>
                    <w:t>表1挥发性有机物排放限值</w:t>
                  </w:r>
                </w:p>
              </w:tc>
            </w:tr>
            <w:tr w14:paraId="1BA8F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continue"/>
                  <w:vAlign w:val="center"/>
                </w:tcPr>
                <w:p w14:paraId="6271CFB0">
                  <w:pPr>
                    <w:pStyle w:val="145"/>
                    <w:adjustRightInd w:val="0"/>
                    <w:snapToGrid w:val="0"/>
                    <w:spacing w:line="240" w:lineRule="auto"/>
                    <w:ind w:left="-105" w:leftChars="-50" w:right="-105" w:rightChars="-50"/>
                    <w:jc w:val="center"/>
                    <w:rPr>
                      <w:rFonts w:ascii="Times New Roman" w:hAnsi="Times New Roman"/>
                      <w:color w:val="7030A0"/>
                      <w:sz w:val="21"/>
                      <w:szCs w:val="21"/>
                    </w:rPr>
                  </w:pPr>
                </w:p>
              </w:tc>
              <w:tc>
                <w:tcPr>
                  <w:tcW w:w="639" w:type="pct"/>
                  <w:vMerge w:val="continue"/>
                  <w:vAlign w:val="center"/>
                </w:tcPr>
                <w:p w14:paraId="43398F65">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420" w:type="pct"/>
                  <w:vAlign w:val="center"/>
                </w:tcPr>
                <w:p w14:paraId="123EE438">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hint="eastAsia" w:ascii="Times New Roman" w:hAnsi="Times New Roman"/>
                      <w:color w:val="000000" w:themeColor="text1"/>
                      <w:sz w:val="21"/>
                      <w:szCs w:val="21"/>
                      <w14:textFill>
                        <w14:solidFill>
                          <w14:schemeClr w14:val="tx1"/>
                        </w14:solidFill>
                      </w14:textFill>
                    </w:rPr>
                    <w:t>非甲烷总烃</w:t>
                  </w:r>
                </w:p>
              </w:tc>
              <w:tc>
                <w:tcPr>
                  <w:tcW w:w="761" w:type="pct"/>
                  <w:vMerge w:val="continue"/>
                  <w:vAlign w:val="center"/>
                </w:tcPr>
                <w:p w14:paraId="11C5F99C">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564" w:type="pct"/>
                  <w:vAlign w:val="center"/>
                </w:tcPr>
                <w:p w14:paraId="7305912A">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hint="eastAsia" w:ascii="Times New Roman" w:hAnsi="Times New Roman"/>
                      <w:color w:val="000000" w:themeColor="text1"/>
                      <w:sz w:val="21"/>
                      <w:szCs w:val="21"/>
                      <w14:textFill>
                        <w14:solidFill>
                          <w14:schemeClr w14:val="tx1"/>
                        </w14:solidFill>
                      </w14:textFill>
                    </w:rPr>
                    <w:t>8</w:t>
                  </w:r>
                  <w:r>
                    <w:rPr>
                      <w:rFonts w:ascii="Times New Roman" w:hAnsi="Times New Roman"/>
                      <w:color w:val="000000" w:themeColor="text1"/>
                      <w:sz w:val="21"/>
                      <w:szCs w:val="21"/>
                      <w14:textFill>
                        <w14:solidFill>
                          <w14:schemeClr w14:val="tx1"/>
                        </w14:solidFill>
                      </w14:textFill>
                    </w:rPr>
                    <w:t>0</w:t>
                  </w:r>
                </w:p>
              </w:tc>
              <w:tc>
                <w:tcPr>
                  <w:tcW w:w="742" w:type="pct"/>
                  <w:vMerge w:val="continue"/>
                  <w:vAlign w:val="center"/>
                </w:tcPr>
                <w:p w14:paraId="379EDAA4">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1392" w:type="pct"/>
                  <w:vMerge w:val="continue"/>
                  <w:vAlign w:val="center"/>
                </w:tcPr>
                <w:p w14:paraId="64368C15">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r>
            <w:tr w14:paraId="24C6A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continue"/>
                  <w:vAlign w:val="center"/>
                </w:tcPr>
                <w:p w14:paraId="3D47FF18">
                  <w:pPr>
                    <w:pStyle w:val="145"/>
                    <w:adjustRightInd w:val="0"/>
                    <w:snapToGrid w:val="0"/>
                    <w:spacing w:line="240" w:lineRule="auto"/>
                    <w:ind w:left="-105" w:leftChars="-50" w:right="-105" w:rightChars="-50"/>
                    <w:jc w:val="center"/>
                    <w:rPr>
                      <w:rFonts w:ascii="Times New Roman" w:hAnsi="Times New Roman"/>
                      <w:color w:val="7030A0"/>
                      <w:sz w:val="21"/>
                      <w:szCs w:val="21"/>
                    </w:rPr>
                  </w:pPr>
                </w:p>
              </w:tc>
              <w:tc>
                <w:tcPr>
                  <w:tcW w:w="639" w:type="pct"/>
                  <w:vMerge w:val="continue"/>
                  <w:vAlign w:val="center"/>
                </w:tcPr>
                <w:p w14:paraId="0E121C61">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420" w:type="pct"/>
                  <w:vAlign w:val="center"/>
                </w:tcPr>
                <w:p w14:paraId="67D774DA">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ascii="Times New Roman" w:hAnsi="Times New Roman"/>
                      <w:color w:val="000000" w:themeColor="text1"/>
                      <w:sz w:val="21"/>
                      <w:szCs w:val="21"/>
                      <w14:textFill>
                        <w14:solidFill>
                          <w14:schemeClr w14:val="tx1"/>
                        </w14:solidFill>
                      </w14:textFill>
                    </w:rPr>
                    <w:t>颗粒物</w:t>
                  </w:r>
                </w:p>
              </w:tc>
              <w:tc>
                <w:tcPr>
                  <w:tcW w:w="761" w:type="pct"/>
                  <w:vMerge w:val="continue"/>
                  <w:vAlign w:val="center"/>
                </w:tcPr>
                <w:p w14:paraId="4FAAB133">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564" w:type="pct"/>
                  <w:vAlign w:val="center"/>
                </w:tcPr>
                <w:p w14:paraId="625CE1D8">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120</w:t>
                  </w:r>
                </w:p>
              </w:tc>
              <w:tc>
                <w:tcPr>
                  <w:tcW w:w="742" w:type="pct"/>
                  <w:vAlign w:val="center"/>
                </w:tcPr>
                <w:p w14:paraId="20510006">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1.45</w:t>
                  </w:r>
                </w:p>
              </w:tc>
              <w:tc>
                <w:tcPr>
                  <w:tcW w:w="1392" w:type="pct"/>
                  <w:vAlign w:val="center"/>
                </w:tcPr>
                <w:p w14:paraId="5E7AB6E0">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广东省《大气污染物排放限值》（DB44/27-2001）第二时段二级标准</w:t>
                  </w:r>
                </w:p>
              </w:tc>
            </w:tr>
            <w:tr w14:paraId="04E5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restart"/>
                  <w:vAlign w:val="center"/>
                </w:tcPr>
                <w:p w14:paraId="73258B23">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639" w:type="pct"/>
                  <w:vMerge w:val="restart"/>
                  <w:vAlign w:val="center"/>
                </w:tcPr>
                <w:p w14:paraId="0257AAF7">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w:t>
                  </w:r>
                </w:p>
              </w:tc>
              <w:tc>
                <w:tcPr>
                  <w:tcW w:w="420" w:type="pct"/>
                  <w:vAlign w:val="center"/>
                </w:tcPr>
                <w:p w14:paraId="784672E9">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总VOC</w:t>
                  </w:r>
                  <w:r>
                    <w:rPr>
                      <w:rFonts w:ascii="Times New Roman" w:hAnsi="Times New Roman"/>
                      <w:color w:val="000000" w:themeColor="text1"/>
                      <w:sz w:val="21"/>
                      <w:szCs w:val="21"/>
                      <w14:textFill>
                        <w14:solidFill>
                          <w14:schemeClr w14:val="tx1"/>
                        </w14:solidFill>
                      </w14:textFill>
                    </w:rPr>
                    <w:t>s</w:t>
                  </w:r>
                </w:p>
              </w:tc>
              <w:tc>
                <w:tcPr>
                  <w:tcW w:w="761" w:type="pct"/>
                  <w:vAlign w:val="center"/>
                </w:tcPr>
                <w:p w14:paraId="41B342CB">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1次/年</w:t>
                  </w:r>
                </w:p>
              </w:tc>
              <w:tc>
                <w:tcPr>
                  <w:tcW w:w="564" w:type="pct"/>
                  <w:vAlign w:val="center"/>
                </w:tcPr>
                <w:p w14:paraId="151630C1">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w:t>
                  </w:r>
                </w:p>
              </w:tc>
              <w:tc>
                <w:tcPr>
                  <w:tcW w:w="742" w:type="pct"/>
                  <w:vAlign w:val="center"/>
                </w:tcPr>
                <w:p w14:paraId="0F5908C6">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1392" w:type="pct"/>
                  <w:vAlign w:val="center"/>
                </w:tcPr>
                <w:p w14:paraId="65B2514B">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广东省《家具制造行业挥发性有机化合物排放标准》（DB44/814-2010）无组织排放监控点浓度限值标准</w:t>
                  </w:r>
                </w:p>
              </w:tc>
            </w:tr>
            <w:tr w14:paraId="755E6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continue"/>
                  <w:vAlign w:val="center"/>
                </w:tcPr>
                <w:p w14:paraId="786CFF18">
                  <w:pPr>
                    <w:pStyle w:val="145"/>
                    <w:adjustRightInd w:val="0"/>
                    <w:snapToGrid w:val="0"/>
                    <w:spacing w:line="240" w:lineRule="auto"/>
                    <w:ind w:left="-105" w:leftChars="-50" w:right="-105" w:rightChars="-50"/>
                    <w:jc w:val="center"/>
                    <w:rPr>
                      <w:rFonts w:ascii="Times New Roman" w:hAnsi="Times New Roman"/>
                      <w:color w:val="7030A0"/>
                      <w:sz w:val="21"/>
                      <w:szCs w:val="21"/>
                    </w:rPr>
                  </w:pPr>
                </w:p>
              </w:tc>
              <w:tc>
                <w:tcPr>
                  <w:tcW w:w="639" w:type="pct"/>
                  <w:vMerge w:val="continue"/>
                  <w:vAlign w:val="center"/>
                </w:tcPr>
                <w:p w14:paraId="08833B66">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420" w:type="pct"/>
                  <w:vAlign w:val="center"/>
                </w:tcPr>
                <w:p w14:paraId="2D8A7F50">
                  <w:pPr>
                    <w:pStyle w:val="145"/>
                    <w:adjustRightInd w:val="0"/>
                    <w:snapToGrid w:val="0"/>
                    <w:spacing w:line="240" w:lineRule="auto"/>
                    <w:ind w:left="-105" w:leftChars="-50" w:right="-105" w:rightChars="-50"/>
                    <w:jc w:val="center"/>
                    <w:rPr>
                      <w:rFonts w:ascii="Times New Roman" w:hAnsi="Times New Roman"/>
                      <w:color w:val="7030A0"/>
                      <w:sz w:val="21"/>
                      <w:szCs w:val="21"/>
                    </w:rPr>
                  </w:pPr>
                  <w:r>
                    <w:rPr>
                      <w:rFonts w:ascii="Times New Roman" w:hAnsi="Times New Roman"/>
                      <w:color w:val="000000" w:themeColor="text1"/>
                      <w:sz w:val="21"/>
                      <w:szCs w:val="21"/>
                      <w14:textFill>
                        <w14:solidFill>
                          <w14:schemeClr w14:val="tx1"/>
                        </w14:solidFill>
                      </w14:textFill>
                    </w:rPr>
                    <w:t>颗粒物</w:t>
                  </w:r>
                </w:p>
              </w:tc>
              <w:tc>
                <w:tcPr>
                  <w:tcW w:w="761" w:type="pct"/>
                  <w:vAlign w:val="center"/>
                </w:tcPr>
                <w:p w14:paraId="3542EFF0">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1次/</w:t>
                  </w:r>
                  <w:r>
                    <w:rPr>
                      <w:rFonts w:hint="eastAsia" w:ascii="Times New Roman" w:hAnsi="Times New Roman"/>
                      <w:color w:val="000000" w:themeColor="text1"/>
                      <w:sz w:val="21"/>
                      <w:szCs w:val="21"/>
                      <w14:textFill>
                        <w14:solidFill>
                          <w14:schemeClr w14:val="tx1"/>
                        </w14:solidFill>
                      </w14:textFill>
                    </w:rPr>
                    <w:t>半</w:t>
                  </w:r>
                  <w:r>
                    <w:rPr>
                      <w:rFonts w:ascii="Times New Roman" w:hAnsi="Times New Roman"/>
                      <w:color w:val="000000" w:themeColor="text1"/>
                      <w:sz w:val="21"/>
                      <w:szCs w:val="21"/>
                      <w14:textFill>
                        <w14:solidFill>
                          <w14:schemeClr w14:val="tx1"/>
                        </w14:solidFill>
                      </w14:textFill>
                    </w:rPr>
                    <w:t>年</w:t>
                  </w:r>
                </w:p>
              </w:tc>
              <w:tc>
                <w:tcPr>
                  <w:tcW w:w="564" w:type="pct"/>
                  <w:vAlign w:val="center"/>
                </w:tcPr>
                <w:p w14:paraId="63FB95CA">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c>
                <w:tcPr>
                  <w:tcW w:w="742" w:type="pct"/>
                  <w:vAlign w:val="center"/>
                </w:tcPr>
                <w:p w14:paraId="45AE4AC9">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1392" w:type="pct"/>
                  <w:vAlign w:val="center"/>
                </w:tcPr>
                <w:p w14:paraId="4A77EA25">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广东省《大气污染物排放限值》（DB44/27-2001）第二时段无组织排放监控浓度限值</w:t>
                  </w:r>
                </w:p>
              </w:tc>
            </w:tr>
            <w:tr w14:paraId="596EC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restart"/>
                  <w:vAlign w:val="center"/>
                </w:tcPr>
                <w:p w14:paraId="40C4314E">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p>
              </w:tc>
              <w:tc>
                <w:tcPr>
                  <w:tcW w:w="639" w:type="pct"/>
                  <w:vMerge w:val="restart"/>
                  <w:vAlign w:val="center"/>
                </w:tcPr>
                <w:p w14:paraId="41A44B56">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厂区内VOCs无组织排放监控点</w:t>
                  </w:r>
                </w:p>
              </w:tc>
              <w:tc>
                <w:tcPr>
                  <w:tcW w:w="420" w:type="pct"/>
                  <w:vMerge w:val="restart"/>
                  <w:vAlign w:val="center"/>
                </w:tcPr>
                <w:p w14:paraId="56EAFF74">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非甲烷总烃</w:t>
                  </w:r>
                </w:p>
              </w:tc>
              <w:tc>
                <w:tcPr>
                  <w:tcW w:w="761" w:type="pct"/>
                  <w:vMerge w:val="restart"/>
                  <w:vAlign w:val="center"/>
                </w:tcPr>
                <w:p w14:paraId="1056DD7C">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1次/年</w:t>
                  </w:r>
                </w:p>
              </w:tc>
              <w:tc>
                <w:tcPr>
                  <w:tcW w:w="564" w:type="pct"/>
                  <w:vAlign w:val="center"/>
                </w:tcPr>
                <w:p w14:paraId="6F7B9770">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6</w:t>
                  </w:r>
                </w:p>
                <w:p w14:paraId="736DA922">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（监控点处1h平均浓度值）</w:t>
                  </w:r>
                </w:p>
              </w:tc>
              <w:tc>
                <w:tcPr>
                  <w:tcW w:w="742" w:type="pct"/>
                  <w:vMerge w:val="restart"/>
                  <w:vAlign w:val="center"/>
                </w:tcPr>
                <w:p w14:paraId="50FE6A85">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p>
              </w:tc>
              <w:tc>
                <w:tcPr>
                  <w:tcW w:w="1392" w:type="pct"/>
                  <w:vMerge w:val="restart"/>
                  <w:vAlign w:val="center"/>
                </w:tcPr>
                <w:p w14:paraId="4B49632E">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广东省《固定污染源挥发性有机物综合排放标准》（DB44/2367-2022）中表3厂区内无组织排放限值</w:t>
                  </w:r>
                </w:p>
              </w:tc>
            </w:tr>
            <w:tr w14:paraId="13D4C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continue"/>
                  <w:vAlign w:val="center"/>
                </w:tcPr>
                <w:p w14:paraId="09D575C4">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639" w:type="pct"/>
                  <w:vMerge w:val="continue"/>
                  <w:vAlign w:val="center"/>
                </w:tcPr>
                <w:p w14:paraId="5D13921B">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420" w:type="pct"/>
                  <w:vMerge w:val="continue"/>
                  <w:vAlign w:val="center"/>
                </w:tcPr>
                <w:p w14:paraId="52D8EE99">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761" w:type="pct"/>
                  <w:vMerge w:val="continue"/>
                  <w:vAlign w:val="center"/>
                </w:tcPr>
                <w:p w14:paraId="674646C9">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564" w:type="pct"/>
                  <w:vAlign w:val="center"/>
                </w:tcPr>
                <w:p w14:paraId="0E1679BE">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20</w:t>
                  </w:r>
                </w:p>
                <w:p w14:paraId="0F493702">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（监控点处任意一次浓度限值）</w:t>
                  </w:r>
                </w:p>
              </w:tc>
              <w:tc>
                <w:tcPr>
                  <w:tcW w:w="742" w:type="pct"/>
                  <w:vMerge w:val="continue"/>
                  <w:vAlign w:val="center"/>
                </w:tcPr>
                <w:p w14:paraId="06CFF80F">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c>
                <w:tcPr>
                  <w:tcW w:w="1392" w:type="pct"/>
                  <w:vMerge w:val="continue"/>
                  <w:vAlign w:val="center"/>
                </w:tcPr>
                <w:p w14:paraId="736C10FE">
                  <w:pPr>
                    <w:pStyle w:val="145"/>
                    <w:adjustRightInd w:val="0"/>
                    <w:snapToGrid w:val="0"/>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p>
              </w:tc>
            </w:tr>
          </w:tbl>
          <w:p w14:paraId="65D49B2C">
            <w:pPr>
              <w:spacing w:before="156" w:beforeLines="50"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6</w:t>
            </w:r>
            <w:r>
              <w:rPr>
                <w:b/>
                <w:color w:val="000000" w:themeColor="text1"/>
                <w:sz w:val="24"/>
                <w14:textFill>
                  <w14:solidFill>
                    <w14:schemeClr w14:val="tx1"/>
                  </w14:solidFill>
                </w14:textFill>
              </w:rPr>
              <w:t>、环境影响分析结论</w:t>
            </w:r>
          </w:p>
          <w:p w14:paraId="2851DA87">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项目所在区域属于空气环境达标区。评价区域环境质量现状良好，各常规因子及监测点TSP的日平均浓度均达到《环境空气质量标准》GB3095-2012）及其修改单二级标准，T</w:t>
            </w:r>
            <w:r>
              <w:rPr>
                <w:color w:val="000000" w:themeColor="text1"/>
                <w:sz w:val="24"/>
                <w14:textFill>
                  <w14:solidFill>
                    <w14:schemeClr w14:val="tx1"/>
                  </w14:solidFill>
                </w14:textFill>
              </w:rPr>
              <w:t>VOC</w:t>
            </w:r>
            <w:r>
              <w:rPr>
                <w:rFonts w:hint="eastAsia"/>
                <w:color w:val="000000" w:themeColor="text1"/>
                <w:sz w:val="24"/>
                <w14:textFill>
                  <w14:solidFill>
                    <w14:schemeClr w14:val="tx1"/>
                  </w14:solidFill>
                </w14:textFill>
              </w:rPr>
              <w:t>符合《环境影响评价技术导则-大气环境》（HJ2.2-2018）中附录D.1要求。</w:t>
            </w:r>
          </w:p>
          <w:p w14:paraId="673923F7">
            <w:pPr>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w:t>
            </w:r>
            <w:r>
              <w:rPr>
                <w:b/>
                <w:bCs/>
                <w:color w:val="000000" w:themeColor="text1"/>
                <w:kern w:val="0"/>
                <w:sz w:val="24"/>
                <w14:textFill>
                  <w14:solidFill>
                    <w14:schemeClr w14:val="tx1"/>
                  </w14:solidFill>
                </w14:textFill>
              </w:rPr>
              <w:t>1</w:t>
            </w:r>
            <w:r>
              <w:rPr>
                <w:rFonts w:hint="eastAsia"/>
                <w:b/>
                <w:bCs/>
                <w:color w:val="000000" w:themeColor="text1"/>
                <w:kern w:val="0"/>
                <w:sz w:val="24"/>
                <w14:textFill>
                  <w14:solidFill>
                    <w14:schemeClr w14:val="tx1"/>
                  </w14:solidFill>
                </w14:textFill>
              </w:rPr>
              <w:t>）开料、雕刻、打磨、切割、焊接工序产生的颗粒物，焊接工序产生的</w:t>
            </w:r>
            <w:r>
              <w:rPr>
                <w:rFonts w:hint="eastAsia"/>
                <w:color w:val="000000" w:themeColor="text1"/>
                <w:sz w:val="24"/>
                <w14:textFill>
                  <w14:solidFill>
                    <w14:schemeClr w14:val="tx1"/>
                  </w14:solidFill>
                </w14:textFill>
              </w:rPr>
              <w:t>锰及其化合物</w:t>
            </w:r>
          </w:p>
          <w:p w14:paraId="16259A0B">
            <w:pPr>
              <w:spacing w:line="360" w:lineRule="auto"/>
              <w:ind w:firstLine="480" w:firstLineChars="200"/>
              <w:rPr>
                <w:b/>
                <w:bCs/>
                <w:color w:val="000000" w:themeColor="text1"/>
                <w:kern w:val="0"/>
                <w:sz w:val="24"/>
                <w14:textFill>
                  <w14:solidFill>
                    <w14:schemeClr w14:val="tx1"/>
                  </w14:solidFill>
                </w14:textFill>
              </w:rPr>
            </w:pPr>
            <w:r>
              <w:rPr>
                <w:color w:val="000000" w:themeColor="text1"/>
                <w:sz w:val="24"/>
                <w14:textFill>
                  <w14:solidFill>
                    <w14:schemeClr w14:val="tx1"/>
                  </w14:solidFill>
                </w14:textFill>
              </w:rPr>
              <w:t>建设单位拟</w:t>
            </w:r>
            <w:r>
              <w:rPr>
                <w:rFonts w:hint="eastAsia"/>
                <w:color w:val="000000" w:themeColor="text1"/>
                <w:sz w:val="24"/>
                <w14:textFill>
                  <w14:solidFill>
                    <w14:schemeClr w14:val="tx1"/>
                  </w14:solidFill>
                </w14:textFill>
              </w:rPr>
              <w:t>在车间内设置集气罩，开料、雕刻、打磨、切割、焊接工序产生的颗粒物，焊接工序产生的锰及其化合物</w:t>
            </w:r>
            <w:r>
              <w:rPr>
                <w:color w:val="000000" w:themeColor="text1"/>
                <w:sz w:val="24"/>
                <w14:textFill>
                  <w14:solidFill>
                    <w14:schemeClr w14:val="tx1"/>
                  </w14:solidFill>
                </w14:textFill>
              </w:rPr>
              <w:t>收集后经过</w:t>
            </w:r>
            <w:r>
              <w:rPr>
                <w:rFonts w:hint="eastAsia"/>
                <w:color w:val="000000" w:themeColor="text1"/>
                <w:sz w:val="24"/>
                <w14:textFill>
                  <w14:solidFill>
                    <w14:schemeClr w14:val="tx1"/>
                  </w14:solidFill>
                </w14:textFill>
              </w:rPr>
              <w:t>“布袋除尘”</w:t>
            </w:r>
            <w:r>
              <w:rPr>
                <w:color w:val="000000" w:themeColor="text1"/>
                <w:sz w:val="24"/>
                <w14:textFill>
                  <w14:solidFill>
                    <w14:schemeClr w14:val="tx1"/>
                  </w14:solidFill>
                </w14:textFill>
              </w:rPr>
              <w:t>装置处理，处理后经过15m高的排气筒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1排放；</w:t>
            </w:r>
            <w:r>
              <w:rPr>
                <w:rFonts w:hint="eastAsia"/>
                <w:color w:val="000000" w:themeColor="text1"/>
                <w:sz w:val="24"/>
                <w14:textFill>
                  <w14:solidFill>
                    <w14:schemeClr w14:val="tx1"/>
                  </w14:solidFill>
                </w14:textFill>
              </w:rPr>
              <w:t>项目颗粒物、锰及其化合物有组织</w:t>
            </w:r>
            <w:r>
              <w:rPr>
                <w:color w:val="000000" w:themeColor="text1"/>
                <w:sz w:val="24"/>
                <w14:textFill>
                  <w14:solidFill>
                    <w14:schemeClr w14:val="tx1"/>
                  </w14:solidFill>
                </w14:textFill>
              </w:rPr>
              <w:t>排放达到广东省《大气污染物排放限值》（DB44/27-2001）第二时段二级标准排放限值</w:t>
            </w:r>
            <w:r>
              <w:rPr>
                <w:rFonts w:hint="eastAsia"/>
                <w:color w:val="000000" w:themeColor="text1"/>
                <w:sz w:val="24"/>
                <w14:textFill>
                  <w14:solidFill>
                    <w14:schemeClr w14:val="tx1"/>
                  </w14:solidFill>
                </w14:textFill>
              </w:rPr>
              <w:t>的要求，</w:t>
            </w:r>
            <w:r>
              <w:rPr>
                <w:color w:val="000000" w:themeColor="text1"/>
                <w:sz w:val="24"/>
                <w14:textFill>
                  <w14:solidFill>
                    <w14:schemeClr w14:val="tx1"/>
                  </w14:solidFill>
                </w14:textFill>
              </w:rPr>
              <w:t>无组织排放</w:t>
            </w:r>
            <w:r>
              <w:rPr>
                <w:rFonts w:hint="eastAsia"/>
                <w:color w:val="000000" w:themeColor="text1"/>
                <w:sz w:val="24"/>
                <w14:textFill>
                  <w14:solidFill>
                    <w14:schemeClr w14:val="tx1"/>
                  </w14:solidFill>
                </w14:textFill>
              </w:rPr>
              <w:t>达到</w:t>
            </w:r>
            <w:r>
              <w:rPr>
                <w:color w:val="000000" w:themeColor="text1"/>
                <w:sz w:val="24"/>
                <w14:textFill>
                  <w14:solidFill>
                    <w14:schemeClr w14:val="tx1"/>
                  </w14:solidFill>
                </w14:textFill>
              </w:rPr>
              <w:t>广东省《大气污染物排放限值》（DB44/27-2001）第二时段无组织排放限值</w:t>
            </w:r>
            <w:r>
              <w:rPr>
                <w:rFonts w:hint="eastAsia"/>
                <w:color w:val="000000" w:themeColor="text1"/>
                <w:sz w:val="24"/>
                <w14:textFill>
                  <w14:solidFill>
                    <w14:schemeClr w14:val="tx1"/>
                  </w14:solidFill>
                </w14:textFill>
              </w:rPr>
              <w:t>的要求。</w:t>
            </w:r>
          </w:p>
          <w:p w14:paraId="3B934D45">
            <w:pPr>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w:t>
            </w:r>
            <w:r>
              <w:rPr>
                <w:b/>
                <w:bCs/>
                <w:color w:val="000000" w:themeColor="text1"/>
                <w:kern w:val="0"/>
                <w:sz w:val="24"/>
                <w14:textFill>
                  <w14:solidFill>
                    <w14:schemeClr w14:val="tx1"/>
                  </w14:solidFill>
                </w14:textFill>
              </w:rPr>
              <w:t>2</w:t>
            </w:r>
            <w:r>
              <w:rPr>
                <w:rFonts w:hint="eastAsia"/>
                <w:b/>
                <w:bCs/>
                <w:color w:val="000000" w:themeColor="text1"/>
                <w:kern w:val="0"/>
                <w:sz w:val="24"/>
                <w14:textFill>
                  <w14:solidFill>
                    <w14:schemeClr w14:val="tx1"/>
                  </w14:solidFill>
                </w14:textFill>
              </w:rPr>
              <w:t>）喷漆、晾干工序产生的</w:t>
            </w:r>
            <w:r>
              <w:rPr>
                <w:b/>
                <w:bCs/>
                <w:color w:val="000000" w:themeColor="text1"/>
                <w:kern w:val="0"/>
                <w:sz w:val="24"/>
                <w14:textFill>
                  <w14:solidFill>
                    <w14:schemeClr w14:val="tx1"/>
                  </w14:solidFill>
                </w14:textFill>
              </w:rPr>
              <w:t>废气</w:t>
            </w:r>
          </w:p>
          <w:p w14:paraId="1D082F87">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建设单位拟</w:t>
            </w:r>
            <w:r>
              <w:rPr>
                <w:rFonts w:hint="eastAsia"/>
                <w:color w:val="000000" w:themeColor="text1"/>
                <w:sz w:val="24"/>
                <w14:textFill>
                  <w14:solidFill>
                    <w14:schemeClr w14:val="tx1"/>
                  </w14:solidFill>
                </w14:textFill>
              </w:rPr>
              <w:t>设置密闭负压车间，喷漆、晾干工序产生的废气</w:t>
            </w:r>
            <w:r>
              <w:rPr>
                <w:color w:val="000000" w:themeColor="text1"/>
                <w:sz w:val="24"/>
                <w14:textFill>
                  <w14:solidFill>
                    <w14:schemeClr w14:val="tx1"/>
                  </w14:solidFill>
                </w14:textFill>
              </w:rPr>
              <w:t>收集后经过</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水喷淋+</w:t>
            </w:r>
            <w:r>
              <w:rPr>
                <w:rFonts w:hint="eastAsia"/>
                <w:color w:val="000000" w:themeColor="text1"/>
                <w:sz w:val="24"/>
                <w14:textFill>
                  <w14:solidFill>
                    <w14:schemeClr w14:val="tx1"/>
                  </w14:solidFill>
                </w14:textFill>
              </w:rPr>
              <w:t>过滤除雾器+二级</w:t>
            </w:r>
            <w:r>
              <w:rPr>
                <w:color w:val="000000" w:themeColor="text1"/>
                <w:sz w:val="24"/>
                <w14:textFill>
                  <w14:solidFill>
                    <w14:schemeClr w14:val="tx1"/>
                  </w14:solidFill>
                </w14:textFill>
              </w:rPr>
              <w:t>活性炭吸附</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装置处理，处理后经过15m高的排气筒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2排放</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2中</w:t>
            </w:r>
            <w:r>
              <w:rPr>
                <w:rFonts w:hint="eastAsia"/>
                <w:color w:val="000000" w:themeColor="text1"/>
                <w:sz w:val="24"/>
                <w14:textFill>
                  <w14:solidFill>
                    <w14:schemeClr w14:val="tx1"/>
                  </w14:solidFill>
                </w14:textFill>
              </w:rPr>
              <w:t>TVOC、非甲烷总烃</w:t>
            </w:r>
            <w:r>
              <w:rPr>
                <w:color w:val="000000" w:themeColor="text1"/>
                <w:sz w:val="24"/>
                <w14:textFill>
                  <w14:solidFill>
                    <w14:schemeClr w14:val="tx1"/>
                  </w14:solidFill>
                </w14:textFill>
              </w:rPr>
              <w:t>排放浓度达到广东省《固定污染源挥发性有机物综合排放标准》（DB44/2367-2022）</w:t>
            </w:r>
            <w:r>
              <w:rPr>
                <w:rFonts w:hint="eastAsia"/>
                <w:color w:val="000000" w:themeColor="text1"/>
                <w:sz w:val="24"/>
                <w14:textFill>
                  <w14:solidFill>
                    <w14:schemeClr w14:val="tx1"/>
                  </w14:solidFill>
                </w14:textFill>
              </w:rPr>
              <w:t>表1挥发性有机物排放限值的要求，总V</w:t>
            </w:r>
            <w:r>
              <w:rPr>
                <w:color w:val="000000" w:themeColor="text1"/>
                <w:sz w:val="24"/>
                <w14:textFill>
                  <w14:solidFill>
                    <w14:schemeClr w14:val="tx1"/>
                  </w14:solidFill>
                </w14:textFill>
              </w:rPr>
              <w:t>OC</w:t>
            </w:r>
            <w:r>
              <w:rPr>
                <w:rFonts w:hint="eastAsia"/>
                <w:color w:val="000000" w:themeColor="text1"/>
                <w:sz w:val="24"/>
                <w14:textFill>
                  <w14:solidFill>
                    <w14:schemeClr w14:val="tx1"/>
                  </w14:solidFill>
                </w14:textFill>
              </w:rPr>
              <w:t>s</w:t>
            </w:r>
            <w:r>
              <w:rPr>
                <w:color w:val="000000" w:themeColor="text1"/>
                <w:sz w:val="24"/>
                <w14:textFill>
                  <w14:solidFill>
                    <w14:schemeClr w14:val="tx1"/>
                  </w14:solidFill>
                </w14:textFill>
              </w:rPr>
              <w:t>无组织排放</w:t>
            </w:r>
            <w:r>
              <w:rPr>
                <w:rFonts w:hint="eastAsia"/>
                <w:color w:val="000000" w:themeColor="text1"/>
                <w:sz w:val="24"/>
                <w14:textFill>
                  <w14:solidFill>
                    <w14:schemeClr w14:val="tx1"/>
                  </w14:solidFill>
                </w14:textFill>
              </w:rPr>
              <w:t>达到广东省《家具制造行业挥发性有机化合物排放标准》（DB44/814-2010）</w:t>
            </w:r>
            <w:r>
              <w:rPr>
                <w:color w:val="000000" w:themeColor="text1"/>
                <w:sz w:val="24"/>
                <w14:textFill>
                  <w14:solidFill>
                    <w14:schemeClr w14:val="tx1"/>
                  </w14:solidFill>
                </w14:textFill>
              </w:rPr>
              <w:t>无组织排放监控浓度限值</w:t>
            </w:r>
            <w:r>
              <w:rPr>
                <w:rFonts w:hint="eastAsia"/>
                <w:color w:val="000000" w:themeColor="text1"/>
                <w:sz w:val="24"/>
                <w14:textFill>
                  <w14:solidFill>
                    <w14:schemeClr w14:val="tx1"/>
                  </w14:solidFill>
                </w14:textFill>
              </w:rPr>
              <w:t>的要求。漆雾（颗粒物）有组织</w:t>
            </w:r>
            <w:r>
              <w:rPr>
                <w:color w:val="000000" w:themeColor="text1"/>
                <w:sz w:val="24"/>
                <w14:textFill>
                  <w14:solidFill>
                    <w14:schemeClr w14:val="tx1"/>
                  </w14:solidFill>
                </w14:textFill>
              </w:rPr>
              <w:t>排放达到广东省《大气污染物排放限值》（DB44/27-2001）第二时段二级标准排放限值</w:t>
            </w:r>
            <w:r>
              <w:rPr>
                <w:rFonts w:hint="eastAsia"/>
                <w:color w:val="000000" w:themeColor="text1"/>
                <w:sz w:val="24"/>
                <w14:textFill>
                  <w14:solidFill>
                    <w14:schemeClr w14:val="tx1"/>
                  </w14:solidFill>
                </w14:textFill>
              </w:rPr>
              <w:t>的要求，</w:t>
            </w:r>
            <w:r>
              <w:rPr>
                <w:color w:val="000000" w:themeColor="text1"/>
                <w:sz w:val="24"/>
                <w14:textFill>
                  <w14:solidFill>
                    <w14:schemeClr w14:val="tx1"/>
                  </w14:solidFill>
                </w14:textFill>
              </w:rPr>
              <w:t>无组织排放</w:t>
            </w:r>
            <w:r>
              <w:rPr>
                <w:rFonts w:hint="eastAsia"/>
                <w:color w:val="000000" w:themeColor="text1"/>
                <w:sz w:val="24"/>
                <w14:textFill>
                  <w14:solidFill>
                    <w14:schemeClr w14:val="tx1"/>
                  </w14:solidFill>
                </w14:textFill>
              </w:rPr>
              <w:t>达到</w:t>
            </w:r>
            <w:r>
              <w:rPr>
                <w:color w:val="000000" w:themeColor="text1"/>
                <w:sz w:val="24"/>
                <w14:textFill>
                  <w14:solidFill>
                    <w14:schemeClr w14:val="tx1"/>
                  </w14:solidFill>
                </w14:textFill>
              </w:rPr>
              <w:t>广东省《大气污染物排放限值》（DB44/27-2001）第二时段无组织排放限值</w:t>
            </w:r>
            <w:r>
              <w:rPr>
                <w:rFonts w:hint="eastAsia"/>
                <w:color w:val="000000" w:themeColor="text1"/>
                <w:sz w:val="24"/>
                <w14:textFill>
                  <w14:solidFill>
                    <w14:schemeClr w14:val="tx1"/>
                  </w14:solidFill>
                </w14:textFill>
              </w:rPr>
              <w:t>的要求</w:t>
            </w:r>
            <w:r>
              <w:rPr>
                <w:color w:val="000000" w:themeColor="text1"/>
                <w:sz w:val="24"/>
                <w14:textFill>
                  <w14:solidFill>
                    <w14:schemeClr w14:val="tx1"/>
                  </w14:solidFill>
                </w14:textFill>
              </w:rPr>
              <w:t>。</w:t>
            </w:r>
          </w:p>
          <w:p w14:paraId="5E141141">
            <w:pPr>
              <w:widowControl/>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同时本项目须严格控制挥发性有机物无组织废气排放，落实无组织排放管控措施后，厂区内非甲烷总烃无组织排放预计可以满足</w:t>
            </w:r>
            <w:r>
              <w:rPr>
                <w:rStyle w:val="48"/>
                <w:rFonts w:hint="eastAsia"/>
                <w:bCs/>
                <w:color w:val="000000" w:themeColor="text1"/>
                <w:sz w:val="24"/>
                <w14:textFill>
                  <w14:solidFill>
                    <w14:schemeClr w14:val="tx1"/>
                  </w14:solidFill>
                </w14:textFill>
              </w:rPr>
              <w:t>广东省</w:t>
            </w:r>
            <w:r>
              <w:rPr>
                <w:color w:val="000000" w:themeColor="text1"/>
                <w:sz w:val="24"/>
                <w14:textFill>
                  <w14:solidFill>
                    <w14:schemeClr w14:val="tx1"/>
                  </w14:solidFill>
                </w14:textFill>
              </w:rPr>
              <w:t>《固定污染源挥发性有机物综合排放标准》（DB44/2367-2022）</w:t>
            </w:r>
            <w:r>
              <w:rPr>
                <w:rFonts w:hint="eastAsia"/>
                <w:color w:val="000000" w:themeColor="text1"/>
                <w:sz w:val="24"/>
                <w14:textFill>
                  <w14:solidFill>
                    <w14:schemeClr w14:val="tx1"/>
                  </w14:solidFill>
                </w14:textFill>
              </w:rPr>
              <w:t>中表3厂区内无组织排放限值的要求。</w:t>
            </w:r>
          </w:p>
          <w:p w14:paraId="329F7DEE">
            <w:pPr>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w:t>
            </w:r>
            <w:r>
              <w:rPr>
                <w:b/>
                <w:bCs/>
                <w:color w:val="000000" w:themeColor="text1"/>
                <w:kern w:val="0"/>
                <w:sz w:val="24"/>
                <w14:textFill>
                  <w14:solidFill>
                    <w14:schemeClr w14:val="tx1"/>
                  </w14:solidFill>
                </w14:textFill>
              </w:rPr>
              <w:t>3</w:t>
            </w:r>
            <w:r>
              <w:rPr>
                <w:rFonts w:hint="eastAsia"/>
                <w:b/>
                <w:bCs/>
                <w:color w:val="000000" w:themeColor="text1"/>
                <w:kern w:val="0"/>
                <w:sz w:val="24"/>
                <w14:textFill>
                  <w14:solidFill>
                    <w14:schemeClr w14:val="tx1"/>
                  </w14:solidFill>
                </w14:textFill>
              </w:rPr>
              <w:t>）批灰工序产生的粉尘</w:t>
            </w:r>
          </w:p>
          <w:p w14:paraId="248D8C62">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项目批灰工序使用腻子对工件表面不平整的位置进行填补和找平，调配腻子过程产生粉尘，使用量较少，经车间机械通风，粉尘无组织排放预计可以满足</w:t>
            </w:r>
            <w:r>
              <w:rPr>
                <w:rStyle w:val="48"/>
                <w:rFonts w:hint="eastAsia"/>
                <w:bCs/>
                <w:color w:val="000000" w:themeColor="text1"/>
                <w:sz w:val="24"/>
                <w14:textFill>
                  <w14:solidFill>
                    <w14:schemeClr w14:val="tx1"/>
                  </w14:solidFill>
                </w14:textFill>
              </w:rPr>
              <w:t>广东省</w:t>
            </w:r>
            <w:r>
              <w:rPr>
                <w:color w:val="000000" w:themeColor="text1"/>
                <w:sz w:val="24"/>
                <w14:textFill>
                  <w14:solidFill>
                    <w14:schemeClr w14:val="tx1"/>
                  </w14:solidFill>
                </w14:textFill>
              </w:rPr>
              <w:t>《大气污染物排放限值》（DB44/27-2001）第二时段无组织排放限值</w:t>
            </w:r>
            <w:r>
              <w:rPr>
                <w:rFonts w:hint="eastAsia"/>
                <w:color w:val="000000" w:themeColor="text1"/>
                <w:sz w:val="24"/>
                <w14:textFill>
                  <w14:solidFill>
                    <w14:schemeClr w14:val="tx1"/>
                  </w14:solidFill>
                </w14:textFill>
              </w:rPr>
              <w:t>要求</w:t>
            </w:r>
            <w:r>
              <w:rPr>
                <w:color w:val="000000" w:themeColor="text1"/>
                <w:sz w:val="24"/>
                <w14:textFill>
                  <w14:solidFill>
                    <w14:schemeClr w14:val="tx1"/>
                  </w14:solidFill>
                </w14:textFill>
              </w:rPr>
              <w:t>。</w:t>
            </w:r>
          </w:p>
          <w:p w14:paraId="7EF9F5C6">
            <w:pPr>
              <w:spacing w:line="360" w:lineRule="auto"/>
              <w:ind w:firstLine="482" w:firstLineChars="200"/>
              <w:rPr>
                <w:b/>
                <w:color w:val="000000" w:themeColor="text1"/>
                <w:sz w:val="24"/>
                <w:szCs w:val="22"/>
                <w14:textFill>
                  <w14:solidFill>
                    <w14:schemeClr w14:val="tx1"/>
                  </w14:solidFill>
                </w14:textFill>
              </w:rPr>
            </w:pPr>
            <w:r>
              <w:rPr>
                <w:rFonts w:hint="eastAsia"/>
                <w:b/>
                <w:color w:val="000000" w:themeColor="text1"/>
                <w:sz w:val="24"/>
                <w:szCs w:val="22"/>
                <w14:textFill>
                  <w14:solidFill>
                    <w14:schemeClr w14:val="tx1"/>
                  </w14:solidFill>
                </w14:textFill>
              </w:rPr>
              <w:t>10、</w:t>
            </w:r>
            <w:r>
              <w:rPr>
                <w:b/>
                <w:color w:val="000000" w:themeColor="text1"/>
                <w:sz w:val="24"/>
                <w:szCs w:val="22"/>
                <w14:textFill>
                  <w14:solidFill>
                    <w14:schemeClr w14:val="tx1"/>
                  </w14:solidFill>
                </w14:textFill>
              </w:rPr>
              <w:t>卫生防护距离</w:t>
            </w:r>
          </w:p>
          <w:p w14:paraId="5656BAC5">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（1）防护距离计算</w:t>
            </w:r>
          </w:p>
          <w:p w14:paraId="5847EB8F">
            <w:pPr>
              <w:snapToGrid w:val="0"/>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大气有害物质无组织排放卫生防护距离按照《大气有害物质无组织排放卫生防护距离推导技术导则》（GB/T39499-2020）中卫生防护距离推导的方法确定。根据项目废气排放情况可知，项目废气无组织排放主要污染物为总VOCs、颗粒物和锰及其化合物，其无组织排放量和等标排放量如下。</w:t>
            </w:r>
          </w:p>
          <w:p w14:paraId="5A24BE8A">
            <w:pPr>
              <w:tabs>
                <w:tab w:val="left" w:pos="0"/>
              </w:tabs>
              <w:adjustRightInd w:val="0"/>
              <w:snapToGrid w:val="0"/>
              <w:spacing w:line="240" w:lineRule="atLeast"/>
              <w:jc w:val="center"/>
              <w:textAlignment w:val="baseline"/>
              <w:rPr>
                <w:b/>
                <w:bCs/>
                <w:color w:val="000000" w:themeColor="text1"/>
                <w:sz w:val="16"/>
                <w:szCs w:val="16"/>
                <w14:textFill>
                  <w14:solidFill>
                    <w14:schemeClr w14:val="tx1"/>
                  </w14:solidFill>
                </w14:textFill>
              </w:rPr>
            </w:pPr>
            <w:r>
              <w:rPr>
                <w:rFonts w:hint="eastAsia"/>
                <w:b/>
                <w:bCs/>
                <w:color w:val="000000" w:themeColor="text1"/>
                <w:sz w:val="20"/>
                <w:szCs w:val="20"/>
                <w14:textFill>
                  <w14:solidFill>
                    <w14:schemeClr w14:val="tx1"/>
                  </w14:solidFill>
                </w14:textFill>
              </w:rPr>
              <w:t>表4</w:t>
            </w:r>
            <w:r>
              <w:rPr>
                <w:b/>
                <w:bCs/>
                <w:color w:val="000000" w:themeColor="text1"/>
                <w:sz w:val="20"/>
                <w:szCs w:val="20"/>
                <w14:textFill>
                  <w14:solidFill>
                    <w14:schemeClr w14:val="tx1"/>
                  </w14:solidFill>
                </w14:textFill>
              </w:rPr>
              <w:t xml:space="preserve">-7 </w:t>
            </w:r>
            <w:r>
              <w:rPr>
                <w:rFonts w:hint="eastAsia"/>
                <w:b/>
                <w:bCs/>
                <w:color w:val="000000" w:themeColor="text1"/>
                <w:sz w:val="20"/>
                <w:szCs w:val="20"/>
                <w14:textFill>
                  <w14:solidFill>
                    <w14:schemeClr w14:val="tx1"/>
                  </w14:solidFill>
                </w14:textFill>
              </w:rPr>
              <w:t xml:space="preserve"> 项目无组织排放量和等标排放量情况表</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8"/>
              <w:gridCol w:w="1686"/>
              <w:gridCol w:w="1701"/>
              <w:gridCol w:w="1773"/>
            </w:tblGrid>
            <w:tr w14:paraId="412F9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8" w:type="dxa"/>
                  <w:vAlign w:val="center"/>
                </w:tcPr>
                <w:p w14:paraId="4EAE9C0F">
                  <w:pPr>
                    <w:adjustRightInd w:val="0"/>
                    <w:snapToGrid w:val="0"/>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排放源</w:t>
                  </w:r>
                </w:p>
              </w:tc>
              <w:tc>
                <w:tcPr>
                  <w:tcW w:w="5160" w:type="dxa"/>
                  <w:gridSpan w:val="3"/>
                  <w:vAlign w:val="center"/>
                </w:tcPr>
                <w:p w14:paraId="1BA5C2D1">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生产车间</w:t>
                  </w:r>
                </w:p>
              </w:tc>
            </w:tr>
            <w:tr w14:paraId="3FD35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8" w:type="dxa"/>
                  <w:vAlign w:val="center"/>
                </w:tcPr>
                <w:p w14:paraId="5AC66F95">
                  <w:pPr>
                    <w:adjustRightInd w:val="0"/>
                    <w:snapToGrid w:val="0"/>
                    <w:jc w:val="center"/>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污染物</w:t>
                  </w:r>
                </w:p>
              </w:tc>
              <w:tc>
                <w:tcPr>
                  <w:tcW w:w="1686" w:type="dxa"/>
                  <w:vAlign w:val="center"/>
                </w:tcPr>
                <w:p w14:paraId="51D84F61">
                  <w:pPr>
                    <w:adjustRightInd w:val="0"/>
                    <w:snapToGrid w:val="0"/>
                    <w:jc w:val="center"/>
                    <w:rPr>
                      <w:bCs/>
                      <w:color w:val="FF0000"/>
                      <w:szCs w:val="21"/>
                    </w:rPr>
                  </w:pPr>
                  <w:r>
                    <w:rPr>
                      <w:rFonts w:hint="eastAsia"/>
                      <w:bCs/>
                      <w:color w:val="000000" w:themeColor="text1"/>
                      <w:szCs w:val="21"/>
                      <w14:textFill>
                        <w14:solidFill>
                          <w14:schemeClr w14:val="tx1"/>
                        </w14:solidFill>
                      </w14:textFill>
                    </w:rPr>
                    <w:t>颗粒物</w:t>
                  </w:r>
                </w:p>
              </w:tc>
              <w:tc>
                <w:tcPr>
                  <w:tcW w:w="1701" w:type="dxa"/>
                  <w:vAlign w:val="center"/>
                </w:tcPr>
                <w:p w14:paraId="09B38F5C">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锰及其化合物</w:t>
                  </w:r>
                </w:p>
              </w:tc>
              <w:tc>
                <w:tcPr>
                  <w:tcW w:w="1773" w:type="dxa"/>
                  <w:vAlign w:val="center"/>
                </w:tcPr>
                <w:p w14:paraId="488F62EF">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总VOCs</w:t>
                  </w:r>
                </w:p>
              </w:tc>
            </w:tr>
            <w:tr w14:paraId="678C3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8" w:type="dxa"/>
                  <w:vAlign w:val="center"/>
                </w:tcPr>
                <w:p w14:paraId="2914A760">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无组织排放速率</w:t>
                  </w:r>
                  <w:r>
                    <w:rPr>
                      <w:rFonts w:hint="eastAsia"/>
                      <w:color w:val="000000" w:themeColor="text1"/>
                      <w14:textFill>
                        <w14:solidFill>
                          <w14:schemeClr w14:val="tx1"/>
                        </w14:solidFill>
                      </w14:textFill>
                    </w:rPr>
                    <w:t>Qc，</w:t>
                  </w:r>
                  <w:r>
                    <w:rPr>
                      <w:bCs/>
                      <w:color w:val="000000" w:themeColor="text1"/>
                      <w:szCs w:val="21"/>
                      <w14:textFill>
                        <w14:solidFill>
                          <w14:schemeClr w14:val="tx1"/>
                        </w14:solidFill>
                      </w14:textFill>
                    </w:rPr>
                    <w:t>kg/h</w:t>
                  </w:r>
                </w:p>
              </w:tc>
              <w:tc>
                <w:tcPr>
                  <w:tcW w:w="1686" w:type="dxa"/>
                  <w:vAlign w:val="center"/>
                </w:tcPr>
                <w:p w14:paraId="317318BF">
                  <w:pPr>
                    <w:widowControl/>
                    <w:ind w:left="-105" w:leftChars="-50" w:right="-105" w:rightChars="-50"/>
                    <w:jc w:val="center"/>
                    <w:textAlignment w:val="center"/>
                    <w:rPr>
                      <w:color w:val="0070C0"/>
                      <w:kern w:val="0"/>
                      <w:szCs w:val="21"/>
                    </w:rPr>
                  </w:pPr>
                  <w:r>
                    <w:rPr>
                      <w:color w:val="000000" w:themeColor="text1"/>
                      <w:kern w:val="0"/>
                      <w:szCs w:val="21"/>
                      <w14:textFill>
                        <w14:solidFill>
                          <w14:schemeClr w14:val="tx1"/>
                        </w14:solidFill>
                      </w14:textFill>
                    </w:rPr>
                    <w:t>0.</w:t>
                  </w:r>
                  <w:r>
                    <w:rPr>
                      <w:rFonts w:hint="eastAsia"/>
                      <w:color w:val="000000" w:themeColor="text1"/>
                      <w:kern w:val="0"/>
                      <w:szCs w:val="21"/>
                      <w14:textFill>
                        <w14:solidFill>
                          <w14:schemeClr w14:val="tx1"/>
                        </w14:solidFill>
                      </w14:textFill>
                    </w:rPr>
                    <w:t>327*</w:t>
                  </w:r>
                </w:p>
              </w:tc>
              <w:tc>
                <w:tcPr>
                  <w:tcW w:w="1701" w:type="dxa"/>
                  <w:vAlign w:val="center"/>
                </w:tcPr>
                <w:p w14:paraId="1865E804">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1.35×10</w:t>
                  </w:r>
                  <w:r>
                    <w:rPr>
                      <w:rFonts w:hint="eastAsia"/>
                      <w:color w:val="000000" w:themeColor="text1"/>
                      <w:kern w:val="0"/>
                      <w:szCs w:val="21"/>
                      <w:vertAlign w:val="superscript"/>
                      <w14:textFill>
                        <w14:solidFill>
                          <w14:schemeClr w14:val="tx1"/>
                        </w14:solidFill>
                      </w14:textFill>
                    </w:rPr>
                    <w:t>-5</w:t>
                  </w:r>
                </w:p>
              </w:tc>
              <w:tc>
                <w:tcPr>
                  <w:tcW w:w="1773" w:type="dxa"/>
                  <w:vAlign w:val="center"/>
                </w:tcPr>
                <w:p w14:paraId="1882A8A3">
                  <w:pPr>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0.154</w:t>
                  </w:r>
                </w:p>
              </w:tc>
            </w:tr>
            <w:tr w14:paraId="7C715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8" w:type="dxa"/>
                  <w:vAlign w:val="center"/>
                </w:tcPr>
                <w:p w14:paraId="0A37FAFD">
                  <w:pPr>
                    <w:pStyle w:val="14"/>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质量标准</w:t>
                  </w:r>
                  <w:r>
                    <w:rPr>
                      <w:bCs/>
                      <w:color w:val="000000" w:themeColor="text1"/>
                      <w:sz w:val="24"/>
                      <w14:textFill>
                        <w14:solidFill>
                          <w14:schemeClr w14:val="tx1"/>
                        </w14:solidFill>
                      </w14:textFill>
                    </w:rPr>
                    <w:t>C</w:t>
                  </w:r>
                  <w:r>
                    <w:rPr>
                      <w:bCs/>
                      <w:color w:val="000000" w:themeColor="text1"/>
                      <w:sz w:val="24"/>
                      <w:vertAlign w:val="subscript"/>
                      <w14:textFill>
                        <w14:solidFill>
                          <w14:schemeClr w14:val="tx1"/>
                        </w14:solidFill>
                      </w14:textFill>
                    </w:rPr>
                    <w:t>m</w:t>
                  </w:r>
                  <w:r>
                    <w:rPr>
                      <w:rFonts w:hint="eastAsia"/>
                      <w:bCs/>
                      <w:color w:val="000000" w:themeColor="text1"/>
                      <w:sz w:val="24"/>
                      <w:vertAlign w:val="subscript"/>
                      <w14:textFill>
                        <w14:solidFill>
                          <w14:schemeClr w14:val="tx1"/>
                        </w14:solidFill>
                      </w14:textFill>
                    </w:rPr>
                    <w:t>，</w:t>
                  </w:r>
                  <w:r>
                    <w:rPr>
                      <w:bCs/>
                      <w:color w:val="000000" w:themeColor="text1"/>
                      <w:szCs w:val="21"/>
                      <w14:textFill>
                        <w14:solidFill>
                          <w14:schemeClr w14:val="tx1"/>
                        </w14:solidFill>
                      </w14:textFill>
                    </w:rPr>
                    <w:t>mg/m</w:t>
                  </w:r>
                  <w:r>
                    <w:rPr>
                      <w:bCs/>
                      <w:color w:val="000000" w:themeColor="text1"/>
                      <w:szCs w:val="21"/>
                      <w:vertAlign w:val="superscript"/>
                      <w14:textFill>
                        <w14:solidFill>
                          <w14:schemeClr w14:val="tx1"/>
                        </w14:solidFill>
                      </w14:textFill>
                    </w:rPr>
                    <w:t>3</w:t>
                  </w:r>
                </w:p>
              </w:tc>
              <w:tc>
                <w:tcPr>
                  <w:tcW w:w="1686" w:type="dxa"/>
                  <w:vAlign w:val="center"/>
                </w:tcPr>
                <w:p w14:paraId="79AD7FC0">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0.9</w:t>
                  </w:r>
                </w:p>
              </w:tc>
              <w:tc>
                <w:tcPr>
                  <w:tcW w:w="1701" w:type="dxa"/>
                  <w:vAlign w:val="center"/>
                </w:tcPr>
                <w:p w14:paraId="20A47994">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0.03**</w:t>
                  </w:r>
                </w:p>
              </w:tc>
              <w:tc>
                <w:tcPr>
                  <w:tcW w:w="1773" w:type="dxa"/>
                  <w:vAlign w:val="center"/>
                </w:tcPr>
                <w:p w14:paraId="60D8E90C">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1.2</w:t>
                  </w:r>
                </w:p>
              </w:tc>
            </w:tr>
            <w:tr w14:paraId="1BD76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8" w:type="dxa"/>
                  <w:vAlign w:val="center"/>
                </w:tcPr>
                <w:p w14:paraId="238C5C1D">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等标排放量</w:t>
                  </w:r>
                  <w:r>
                    <w:rPr>
                      <w:rFonts w:hint="eastAsia"/>
                      <w:color w:val="000000" w:themeColor="text1"/>
                      <w14:textFill>
                        <w14:solidFill>
                          <w14:schemeClr w14:val="tx1"/>
                        </w14:solidFill>
                      </w14:textFill>
                    </w:rPr>
                    <w:t>Qc/</w:t>
                  </w:r>
                  <w:r>
                    <w:rPr>
                      <w:bCs/>
                      <w:color w:val="000000" w:themeColor="text1"/>
                      <w:sz w:val="24"/>
                      <w14:textFill>
                        <w14:solidFill>
                          <w14:schemeClr w14:val="tx1"/>
                        </w14:solidFill>
                      </w14:textFill>
                    </w:rPr>
                    <w:t>C</w:t>
                  </w:r>
                  <w:r>
                    <w:rPr>
                      <w:bCs/>
                      <w:color w:val="000000" w:themeColor="text1"/>
                      <w:sz w:val="24"/>
                      <w:vertAlign w:val="subscript"/>
                      <w14:textFill>
                        <w14:solidFill>
                          <w14:schemeClr w14:val="tx1"/>
                        </w14:solidFill>
                      </w14:textFill>
                    </w:rPr>
                    <w:t>m</w:t>
                  </w:r>
                  <w:r>
                    <w:rPr>
                      <w:rFonts w:hint="eastAsia"/>
                      <w:bCs/>
                      <w:color w:val="000000" w:themeColor="text1"/>
                      <w:sz w:val="24"/>
                      <w:vertAlign w:val="subscript"/>
                      <w14:textFill>
                        <w14:solidFill>
                          <w14:schemeClr w14:val="tx1"/>
                        </w14:solidFill>
                      </w14:textFill>
                    </w:rPr>
                    <w:t>，</w:t>
                  </w:r>
                  <w:r>
                    <w:rPr>
                      <w:bCs/>
                      <w:color w:val="000000" w:themeColor="text1"/>
                      <w:szCs w:val="21"/>
                      <w14:textFill>
                        <w14:solidFill>
                          <w14:schemeClr w14:val="tx1"/>
                        </w14:solidFill>
                      </w14:textFill>
                    </w:rPr>
                    <w:t>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/h</w:t>
                  </w:r>
                </w:p>
              </w:tc>
              <w:tc>
                <w:tcPr>
                  <w:tcW w:w="1686" w:type="dxa"/>
                  <w:vAlign w:val="center"/>
                </w:tcPr>
                <w:p w14:paraId="6F162818">
                  <w:pPr>
                    <w:widowControl/>
                    <w:ind w:left="-105" w:leftChars="-50" w:right="-105" w:rightChars="-50"/>
                    <w:jc w:val="center"/>
                    <w:textAlignment w:val="center"/>
                    <w:rPr>
                      <w:color w:val="0070C0"/>
                      <w:kern w:val="0"/>
                      <w:szCs w:val="21"/>
                    </w:rPr>
                  </w:pPr>
                  <w:r>
                    <w:rPr>
                      <w:rFonts w:hint="eastAsia"/>
                      <w:color w:val="000000" w:themeColor="text1"/>
                      <w:kern w:val="0"/>
                      <w:szCs w:val="21"/>
                      <w14:textFill>
                        <w14:solidFill>
                          <w14:schemeClr w14:val="tx1"/>
                        </w14:solidFill>
                      </w14:textFill>
                    </w:rPr>
                    <w:t>363329</w:t>
                  </w:r>
                </w:p>
              </w:tc>
              <w:tc>
                <w:tcPr>
                  <w:tcW w:w="1701" w:type="dxa"/>
                  <w:vAlign w:val="center"/>
                </w:tcPr>
                <w:p w14:paraId="5AB67DB4">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451</w:t>
                  </w:r>
                </w:p>
              </w:tc>
              <w:tc>
                <w:tcPr>
                  <w:tcW w:w="1773" w:type="dxa"/>
                  <w:vAlign w:val="center"/>
                </w:tcPr>
                <w:p w14:paraId="260152EF">
                  <w:pPr>
                    <w:widowControl/>
                    <w:adjustRightInd w:val="0"/>
                    <w:snapToGrid w:val="0"/>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113719</w:t>
                  </w:r>
                </w:p>
              </w:tc>
            </w:tr>
            <w:tr w14:paraId="2BD12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8" w:type="dxa"/>
                  <w:vAlign w:val="center"/>
                </w:tcPr>
                <w:p w14:paraId="32A0BB12">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等标排放量是否相差10%以内</w:t>
                  </w:r>
                </w:p>
              </w:tc>
              <w:tc>
                <w:tcPr>
                  <w:tcW w:w="5160" w:type="dxa"/>
                  <w:gridSpan w:val="3"/>
                  <w:vAlign w:val="center"/>
                </w:tcPr>
                <w:p w14:paraId="5B356E30">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否</w:t>
                  </w:r>
                </w:p>
              </w:tc>
            </w:tr>
            <w:tr w14:paraId="41ADF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8" w:type="dxa"/>
                  <w:vAlign w:val="center"/>
                </w:tcPr>
                <w:p w14:paraId="10DF3C48">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最大等标排放量污染物</w:t>
                  </w:r>
                </w:p>
              </w:tc>
              <w:tc>
                <w:tcPr>
                  <w:tcW w:w="5160" w:type="dxa"/>
                  <w:gridSpan w:val="3"/>
                  <w:vAlign w:val="center"/>
                </w:tcPr>
                <w:p w14:paraId="5F1848CE">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TSP</w:t>
                  </w:r>
                </w:p>
              </w:tc>
            </w:tr>
            <w:tr w14:paraId="4F6B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68" w:type="dxa"/>
                  <w:gridSpan w:val="4"/>
                  <w:vAlign w:val="center"/>
                </w:tcPr>
                <w:p w14:paraId="469C150A">
                  <w:pPr>
                    <w:adjustRightInd w:val="0"/>
                    <w:snapToGrid w:val="0"/>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备注：*颗粒物无组织排放速率为调开料、雕刻、打磨、切割、</w:t>
                  </w:r>
                  <w:r>
                    <w:rPr>
                      <w:rFonts w:hint="eastAsia"/>
                      <w:color w:val="000000" w:themeColor="text1"/>
                      <w:szCs w:val="21"/>
                      <w14:textFill>
                        <w14:solidFill>
                          <w14:schemeClr w14:val="tx1"/>
                        </w14:solidFill>
                      </w14:textFill>
                    </w:rPr>
                    <w:t>喷漆、焊接、批灰工序总排放速率；</w:t>
                  </w:r>
                  <w:r>
                    <w:rPr>
                      <w:rFonts w:hint="eastAsia"/>
                      <w:bCs/>
                      <w:color w:val="000000" w:themeColor="text1"/>
                      <w:szCs w:val="21"/>
                      <w14:textFill>
                        <w14:solidFill>
                          <w14:schemeClr w14:val="tx1"/>
                        </w14:solidFill>
                      </w14:textFill>
                    </w:rPr>
                    <w:t>总VOCs无组织排放速率为喷漆、晾干工序</w:t>
                  </w:r>
                  <w:r>
                    <w:rPr>
                      <w:rFonts w:hint="eastAsia"/>
                      <w:color w:val="000000" w:themeColor="text1"/>
                      <w:szCs w:val="21"/>
                      <w14:textFill>
                        <w14:solidFill>
                          <w14:schemeClr w14:val="tx1"/>
                        </w14:solidFill>
                      </w14:textFill>
                    </w:rPr>
                    <w:t>的总排放速率。</w:t>
                  </w:r>
                </w:p>
                <w:p w14:paraId="4B1A6A46">
                  <w:pPr>
                    <w:adjustRightInd w:val="0"/>
                    <w:snapToGrid w:val="0"/>
                  </w:pPr>
                  <w:r>
                    <w:rPr>
                      <w:rFonts w:hint="eastAsia"/>
                    </w:rPr>
                    <w:t>**</w:t>
                  </w:r>
                  <w:r>
                    <w:rPr>
                      <w:rFonts w:hint="eastAsia"/>
                      <w:color w:val="000000" w:themeColor="text1"/>
                      <w14:textFill>
                        <w14:solidFill>
                          <w14:schemeClr w14:val="tx1"/>
                        </w14:solidFill>
                      </w14:textFill>
                    </w:rPr>
                    <w:t>锰及其化合物质量标准参考《环境影响评价技术导则 大气环境》（HJ2.2-2018）附录D的浓度限值，其中锰及其化合物仅有日平均标准值，根据《环境影响评价技术导则 大气环境》（HJ2.2-2018），按照日平均标准值的3倍折算1h平均质量浓度限值。</w:t>
                  </w:r>
                </w:p>
              </w:tc>
            </w:tr>
          </w:tbl>
          <w:p w14:paraId="3C5FA5F1">
            <w:pPr>
              <w:adjustRightInd w:val="0"/>
              <w:snapToGrid w:val="0"/>
              <w:spacing w:before="156" w:beforeLines="50"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本项目污染物的等标排放量相差在10%以外，故优先选择颗粒物，等标排放量最大的污染物。为企业无组织排放的主要特征大气有害物质。</w:t>
            </w:r>
            <w:r>
              <w:rPr>
                <w:rFonts w:hint="eastAsia"/>
                <w:color w:val="000000" w:themeColor="text1"/>
                <w:sz w:val="24"/>
                <w14:textFill>
                  <w14:solidFill>
                    <w14:schemeClr w14:val="tx1"/>
                  </w14:solidFill>
                </w14:textFill>
              </w:rPr>
              <w:t>本项目无组织排放污染物主要为颗粒物。</w:t>
            </w:r>
          </w:p>
          <w:p w14:paraId="4EA23803">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w:t>
            </w:r>
            <w:r>
              <w:rPr>
                <w:color w:val="000000" w:themeColor="text1"/>
                <w:sz w:val="24"/>
                <w14:textFill>
                  <w14:solidFill>
                    <w14:schemeClr w14:val="tx1"/>
                  </w14:solidFill>
                </w14:textFill>
              </w:rPr>
              <w:t>《大气有害物质无组织排放卫生防护距离推导技术导则》（GB/T39499-2020）</w:t>
            </w:r>
            <w:r>
              <w:rPr>
                <w:rFonts w:hint="eastAsia"/>
                <w:color w:val="000000" w:themeColor="text1"/>
                <w:sz w:val="24"/>
                <w14:textFill>
                  <w14:solidFill>
                    <w14:schemeClr w14:val="tx1"/>
                  </w14:solidFill>
                </w14:textFill>
              </w:rPr>
              <w:t>中推荐的方法计算卫生防护距离。</w:t>
            </w:r>
          </w:p>
          <w:p w14:paraId="404B9771">
            <w:pPr>
              <w:ind w:firstLine="480" w:firstLineChars="20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"C:\\Users\\lenovo\\我的文档\\WeChat%20Files\\wxid_gwa4v0t022qg41\\86156\\AppData\\Local\\Temp\\ksohtml11568\\wps7.jpg"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"C:\\Users\\Administrator\\Desktop\\我的文档\\WeChat%25252520Files\\wxid_gwa4v0t022qg41\\86156\\AppData\\Local\\Temp\\ksohtml11568\\wps7.jpg"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"C:\\Users\\Administrator\\Desktop\\我的文档\\WeChat%252525252525252525252525252520Files\\wxid_gwa4v0t022qg41\\86156\\AppData\\Local\\Temp\\ksohtml11568\\wps7.jpg"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"C:\\Users\\Administrator\\Desktop\\我的文档\\WeChat%25252525252525252525252525252525252525252520Files\\wxid_gwa4v0t022qg41\\86156\\AppData\\Local\\Temp\\ksohtml11568\\wps7.jpg"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drawing>
                <wp:inline distT="0" distB="0" distL="0" distR="0">
                  <wp:extent cx="1674495" cy="381635"/>
                  <wp:effectExtent l="0" t="0" r="1905" b="0"/>
                  <wp:docPr id="1090" name="图片 18"/>
                  <wp:cNvGraphicFramePr/>
                  <a:graphic xmlns:a="http://schemas.openxmlformats.org/drawingml/2006/main">
                    <a:graphicData uri="http://schemas.openxmlformats.org/drawingml/2006/picture">
                      <pic:pic xmlns:pic="http://schemas.openxmlformats.org/drawingml/2006/picture">
                        <pic:nvPicPr>
                          <pic:cNvPr id="1090" name="图片 18"/>
                          <pic:cNvPicPr/>
                        </pic:nvPicPr>
                        <pic:blipFill>
                          <a:blip r:embed="rId23">
                            <a:extLst>
                              <a:ext uri="{28A0092B-C50C-407E-A947-70E740481C1C}">
                                <a14:useLocalDpi xmlns:a14="http://schemas.microsoft.com/office/drawing/2010/main" val="0"/>
                              </a:ext>
                            </a:extLst>
                          </a:blip>
                          <a:srcRect/>
                          <a:stretch>
                            <a:fillRect/>
                          </a:stretch>
                        </pic:blipFill>
                        <pic:spPr>
                          <a:xfrm>
                            <a:off x="0" y="0"/>
                            <a:ext cx="1678323" cy="382965"/>
                          </a:xfrm>
                          <a:prstGeom prst="rect">
                            <a:avLst/>
                          </a:prstGeom>
                          <a:ln>
                            <a:noFill/>
                          </a:ln>
                        </pic:spPr>
                      </pic:pic>
                    </a:graphicData>
                  </a:graphic>
                </wp:inline>
              </w:drawing>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p>
          <w:p w14:paraId="2EFDA76A">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式中：</w:t>
            </w:r>
          </w:p>
          <w:p w14:paraId="540C4D6C">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Q</w:t>
            </w:r>
            <w:r>
              <w:rPr>
                <w:rFonts w:hint="eastAsia"/>
                <w:color w:val="000000" w:themeColor="text1"/>
                <w:sz w:val="24"/>
                <w14:textFill>
                  <w14:solidFill>
                    <w14:schemeClr w14:val="tx1"/>
                  </w14:solidFill>
                </w14:textFill>
              </w:rPr>
              <w:t>c</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大气有害物质的无组织排放量，单位为千克每小时（kg</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h）；</w:t>
            </w:r>
          </w:p>
          <w:p w14:paraId="7702FFB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Cm—大气有害物质环境空气质量的标准限值，单位为毫克每立方米（mg/m³）；</w:t>
            </w:r>
          </w:p>
          <w:p w14:paraId="491A4895">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大气有害物质卫生防护距离初值，单位为米（m）</w:t>
            </w:r>
            <w:r>
              <w:rPr>
                <w:color w:val="000000" w:themeColor="text1"/>
                <w:sz w:val="24"/>
                <w14:textFill>
                  <w14:solidFill>
                    <w14:schemeClr w14:val="tx1"/>
                  </w14:solidFill>
                </w14:textFill>
              </w:rPr>
              <w:t>；</w:t>
            </w:r>
          </w:p>
          <w:p w14:paraId="105F6242">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r—</w:t>
            </w:r>
            <w:r>
              <w:rPr>
                <w:rFonts w:hint="eastAsia"/>
                <w:color w:val="000000" w:themeColor="text1"/>
                <w:sz w:val="24"/>
                <w14:textFill>
                  <w14:solidFill>
                    <w14:schemeClr w14:val="tx1"/>
                  </w14:solidFill>
                </w14:textFill>
              </w:rPr>
              <w:t>大气有害物质无组织排放源所在生产单元的等效半经，单位为米（m）</w:t>
            </w:r>
            <w:r>
              <w:rPr>
                <w:color w:val="000000" w:themeColor="text1"/>
                <w:sz w:val="24"/>
                <w14:textFill>
                  <w14:solidFill>
                    <w14:schemeClr w14:val="tx1"/>
                  </w14:solidFill>
                </w14:textFill>
              </w:rPr>
              <w:t>；</w:t>
            </w:r>
          </w:p>
          <w:p w14:paraId="3649478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A、B、C、D—</w:t>
            </w:r>
            <w:r>
              <w:rPr>
                <w:rFonts w:hint="eastAsia"/>
                <w:color w:val="000000" w:themeColor="text1"/>
                <w:sz w:val="24"/>
                <w14:textFill>
                  <w14:solidFill>
                    <w14:schemeClr w14:val="tx1"/>
                  </w14:solidFill>
                </w14:textFill>
              </w:rPr>
              <w:t>卫生防护距离初值计算系数，无因次，根据工业企业所在地区近5年平均风速及大气污染源构成类别，从《大气有害物质无组织排放卫生防护距离推导技术导则》（GB/T 39499-2020）表1中查得，见下表：</w:t>
            </w:r>
          </w:p>
          <w:p w14:paraId="344AFAAA">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color w:val="000000" w:themeColor="text1"/>
                <w:sz w:val="21"/>
                <w:szCs w:val="21"/>
                <w14:textFill>
                  <w14:solidFill>
                    <w14:schemeClr w14:val="tx1"/>
                  </w14:solidFill>
                </w14:textFill>
              </w:rPr>
              <w:t>表4-</w:t>
            </w:r>
            <w:r>
              <w:rPr>
                <w:rFonts w:ascii="Times New Roman" w:hAnsi="Times New Roman" w:eastAsia="宋体"/>
                <w:color w:val="000000" w:themeColor="text1"/>
                <w:sz w:val="21"/>
                <w:szCs w:val="21"/>
                <w14:textFill>
                  <w14:solidFill>
                    <w14:schemeClr w14:val="tx1"/>
                  </w14:solidFill>
                </w14:textFill>
              </w:rPr>
              <w:t>8</w:t>
            </w:r>
            <w:r>
              <w:rPr>
                <w:rFonts w:hint="eastAsia" w:ascii="Times New Roman" w:hAnsi="Times New Roman" w:eastAsia="宋体"/>
                <w:color w:val="000000" w:themeColor="text1"/>
                <w:sz w:val="21"/>
                <w:szCs w:val="21"/>
                <w14:textFill>
                  <w14:solidFill>
                    <w14:schemeClr w14:val="tx1"/>
                  </w14:solidFill>
                </w14:textFill>
              </w:rPr>
              <w:t xml:space="preserve"> 卫生防护距离初值</w:t>
            </w:r>
            <w:r>
              <w:rPr>
                <w:rFonts w:ascii="Times New Roman" w:hAnsi="Times New Roman" w:eastAsia="宋体"/>
                <w:color w:val="000000" w:themeColor="text1"/>
                <w:sz w:val="21"/>
                <w:szCs w:val="21"/>
                <w14:textFill>
                  <w14:solidFill>
                    <w14:schemeClr w14:val="tx1"/>
                  </w14:solidFill>
                </w14:textFill>
              </w:rPr>
              <w:t>计算</w:t>
            </w:r>
            <w:r>
              <w:rPr>
                <w:rFonts w:hint="eastAsia" w:ascii="Times New Roman" w:hAnsi="Times New Roman" w:eastAsia="宋体"/>
                <w:color w:val="000000" w:themeColor="text1"/>
                <w:sz w:val="21"/>
                <w:szCs w:val="21"/>
                <w14:textFill>
                  <w14:solidFill>
                    <w14:schemeClr w14:val="tx1"/>
                  </w14:solidFill>
                </w14:textFill>
              </w:rPr>
              <w:t>系数</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1786"/>
              <w:gridCol w:w="593"/>
              <w:gridCol w:w="593"/>
              <w:gridCol w:w="600"/>
              <w:gridCol w:w="593"/>
              <w:gridCol w:w="593"/>
              <w:gridCol w:w="601"/>
              <w:gridCol w:w="593"/>
              <w:gridCol w:w="593"/>
              <w:gridCol w:w="609"/>
            </w:tblGrid>
            <w:tr w14:paraId="5E1F0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restart"/>
                  <w:vAlign w:val="center"/>
                </w:tcPr>
                <w:p w14:paraId="3B7F0AB3">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卫生防护</w:t>
                  </w:r>
                  <w:r>
                    <w:rPr>
                      <w:rFonts w:ascii="Times New Roman" w:hAnsi="Times New Roman"/>
                      <w:b/>
                      <w:bCs/>
                      <w:color w:val="000000" w:themeColor="text1"/>
                      <w:sz w:val="21"/>
                      <w:szCs w:val="21"/>
                      <w14:textFill>
                        <w14:solidFill>
                          <w14:schemeClr w14:val="tx1"/>
                        </w14:solidFill>
                      </w14:textFill>
                    </w:rPr>
                    <w:t>距离初值计算系数</w:t>
                  </w:r>
                </w:p>
              </w:tc>
              <w:tc>
                <w:tcPr>
                  <w:tcW w:w="1093" w:type="pct"/>
                  <w:vMerge w:val="restart"/>
                  <w:vAlign w:val="center"/>
                </w:tcPr>
                <w:p w14:paraId="13CA3EAF">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工业企业所在地</w:t>
                  </w:r>
                  <w:r>
                    <w:rPr>
                      <w:rFonts w:hint="eastAsia" w:ascii="Times New Roman" w:hAnsi="Times New Roman"/>
                      <w:b/>
                      <w:bCs/>
                      <w:color w:val="000000" w:themeColor="text1"/>
                      <w:sz w:val="21"/>
                      <w:szCs w:val="21"/>
                      <w14:textFill>
                        <w14:solidFill>
                          <w14:schemeClr w14:val="tx1"/>
                        </w14:solidFill>
                      </w14:textFill>
                    </w:rPr>
                    <w:t>区</w:t>
                  </w:r>
                  <w:r>
                    <w:rPr>
                      <w:rFonts w:ascii="Times New Roman" w:hAnsi="Times New Roman"/>
                      <w:b/>
                      <w:bCs/>
                      <w:color w:val="000000" w:themeColor="text1"/>
                      <w:sz w:val="21"/>
                      <w:szCs w:val="21"/>
                      <w14:textFill>
                        <w14:solidFill>
                          <w14:schemeClr w14:val="tx1"/>
                        </w14:solidFill>
                      </w14:textFill>
                    </w:rPr>
                    <w:t>近</w:t>
                  </w:r>
                  <w:r>
                    <w:rPr>
                      <w:rFonts w:hint="eastAsia" w:ascii="Times New Roman" w:hAnsi="Times New Roman"/>
                      <w:b/>
                      <w:bCs/>
                      <w:color w:val="000000" w:themeColor="text1"/>
                      <w:sz w:val="21"/>
                      <w:szCs w:val="21"/>
                      <w14:textFill>
                        <w14:solidFill>
                          <w14:schemeClr w14:val="tx1"/>
                        </w14:solidFill>
                      </w14:textFill>
                    </w:rPr>
                    <w:t>5</w:t>
                  </w:r>
                  <w:r>
                    <w:rPr>
                      <w:rFonts w:ascii="Times New Roman" w:hAnsi="Times New Roman"/>
                      <w:b/>
                      <w:bCs/>
                      <w:color w:val="000000" w:themeColor="text1"/>
                      <w:sz w:val="21"/>
                      <w:szCs w:val="21"/>
                      <w14:textFill>
                        <w14:solidFill>
                          <w14:schemeClr w14:val="tx1"/>
                        </w14:solidFill>
                      </w14:textFill>
                    </w:rPr>
                    <w:t>年平均风速（m/s）</w:t>
                  </w:r>
                </w:p>
              </w:tc>
              <w:tc>
                <w:tcPr>
                  <w:tcW w:w="3286" w:type="pct"/>
                  <w:gridSpan w:val="9"/>
                  <w:vAlign w:val="center"/>
                </w:tcPr>
                <w:p w14:paraId="50D38841">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卫生防护距离L</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m</w:t>
                  </w:r>
                </w:p>
              </w:tc>
            </w:tr>
            <w:tr w14:paraId="519DC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67548A23">
                  <w:pPr>
                    <w:widowControl/>
                    <w:jc w:val="center"/>
                    <w:rPr>
                      <w:color w:val="7030A0"/>
                      <w:kern w:val="0"/>
                      <w:szCs w:val="21"/>
                    </w:rPr>
                  </w:pPr>
                </w:p>
              </w:tc>
              <w:tc>
                <w:tcPr>
                  <w:tcW w:w="1093" w:type="pct"/>
                  <w:vMerge w:val="continue"/>
                  <w:vAlign w:val="center"/>
                </w:tcPr>
                <w:p w14:paraId="31444C3D">
                  <w:pPr>
                    <w:widowControl/>
                    <w:jc w:val="center"/>
                    <w:rPr>
                      <w:color w:val="000000" w:themeColor="text1"/>
                      <w:kern w:val="0"/>
                      <w:szCs w:val="21"/>
                      <w14:textFill>
                        <w14:solidFill>
                          <w14:schemeClr w14:val="tx1"/>
                        </w14:solidFill>
                      </w14:textFill>
                    </w:rPr>
                  </w:pPr>
                </w:p>
              </w:tc>
              <w:tc>
                <w:tcPr>
                  <w:tcW w:w="1093" w:type="pct"/>
                  <w:gridSpan w:val="3"/>
                  <w:vAlign w:val="center"/>
                </w:tcPr>
                <w:p w14:paraId="242D8CB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L≤1000</w:t>
                  </w:r>
                </w:p>
              </w:tc>
              <w:tc>
                <w:tcPr>
                  <w:tcW w:w="1094" w:type="pct"/>
                  <w:gridSpan w:val="3"/>
                  <w:vAlign w:val="center"/>
                </w:tcPr>
                <w:p w14:paraId="027CFA9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1000&lt;L≤2000</w:t>
                  </w:r>
                </w:p>
              </w:tc>
              <w:tc>
                <w:tcPr>
                  <w:tcW w:w="1099" w:type="pct"/>
                  <w:gridSpan w:val="3"/>
                  <w:vAlign w:val="center"/>
                </w:tcPr>
                <w:p w14:paraId="0FA5403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L&gt;2000</w:t>
                  </w:r>
                </w:p>
              </w:tc>
            </w:tr>
            <w:tr w14:paraId="72E16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2D503764">
                  <w:pPr>
                    <w:widowControl/>
                    <w:jc w:val="center"/>
                    <w:rPr>
                      <w:color w:val="7030A0"/>
                      <w:kern w:val="0"/>
                      <w:szCs w:val="21"/>
                    </w:rPr>
                  </w:pPr>
                </w:p>
              </w:tc>
              <w:tc>
                <w:tcPr>
                  <w:tcW w:w="1093" w:type="pct"/>
                  <w:vMerge w:val="continue"/>
                  <w:vAlign w:val="center"/>
                </w:tcPr>
                <w:p w14:paraId="7969BCDC">
                  <w:pPr>
                    <w:widowControl/>
                    <w:jc w:val="center"/>
                    <w:rPr>
                      <w:color w:val="000000" w:themeColor="text1"/>
                      <w:kern w:val="0"/>
                      <w:szCs w:val="21"/>
                      <w14:textFill>
                        <w14:solidFill>
                          <w14:schemeClr w14:val="tx1"/>
                        </w14:solidFill>
                      </w14:textFill>
                    </w:rPr>
                  </w:pPr>
                </w:p>
              </w:tc>
              <w:tc>
                <w:tcPr>
                  <w:tcW w:w="3286" w:type="pct"/>
                  <w:gridSpan w:val="9"/>
                  <w:vAlign w:val="center"/>
                </w:tcPr>
                <w:p w14:paraId="687F335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工业企业</w:t>
                  </w:r>
                  <w:r>
                    <w:rPr>
                      <w:rFonts w:ascii="Times New Roman" w:hAnsi="Times New Roman"/>
                      <w:color w:val="000000" w:themeColor="text1"/>
                      <w:sz w:val="21"/>
                      <w:szCs w:val="21"/>
                      <w14:textFill>
                        <w14:solidFill>
                          <w14:schemeClr w14:val="tx1"/>
                        </w14:solidFill>
                      </w14:textFill>
                    </w:rPr>
                    <w:t>大气污染源构成类型</w:t>
                  </w:r>
                </w:p>
              </w:tc>
            </w:tr>
            <w:tr w14:paraId="37734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4D52E25C">
                  <w:pPr>
                    <w:widowControl/>
                    <w:jc w:val="center"/>
                    <w:rPr>
                      <w:color w:val="7030A0"/>
                      <w:kern w:val="0"/>
                      <w:szCs w:val="21"/>
                    </w:rPr>
                  </w:pPr>
                </w:p>
              </w:tc>
              <w:tc>
                <w:tcPr>
                  <w:tcW w:w="1093" w:type="pct"/>
                  <w:vMerge w:val="continue"/>
                  <w:vAlign w:val="center"/>
                </w:tcPr>
                <w:p w14:paraId="7FC2CCD8">
                  <w:pPr>
                    <w:widowControl/>
                    <w:jc w:val="center"/>
                    <w:rPr>
                      <w:color w:val="000000" w:themeColor="text1"/>
                      <w:kern w:val="0"/>
                      <w:szCs w:val="21"/>
                      <w14:textFill>
                        <w14:solidFill>
                          <w14:schemeClr w14:val="tx1"/>
                        </w14:solidFill>
                      </w14:textFill>
                    </w:rPr>
                  </w:pPr>
                </w:p>
              </w:tc>
              <w:tc>
                <w:tcPr>
                  <w:tcW w:w="363" w:type="pct"/>
                  <w:vAlign w:val="center"/>
                </w:tcPr>
                <w:p w14:paraId="6F396A1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w:t>
                  </w:r>
                </w:p>
              </w:tc>
              <w:tc>
                <w:tcPr>
                  <w:tcW w:w="363" w:type="pct"/>
                  <w:vAlign w:val="center"/>
                </w:tcPr>
                <w:p w14:paraId="08A8A6E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w:t>
                  </w:r>
                </w:p>
              </w:tc>
              <w:tc>
                <w:tcPr>
                  <w:tcW w:w="367" w:type="pct"/>
                  <w:vAlign w:val="center"/>
                </w:tcPr>
                <w:p w14:paraId="49172FE6">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III</w:t>
                  </w:r>
                </w:p>
              </w:tc>
              <w:tc>
                <w:tcPr>
                  <w:tcW w:w="363" w:type="pct"/>
                  <w:vAlign w:val="center"/>
                </w:tcPr>
                <w:p w14:paraId="199577C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w:t>
                  </w:r>
                </w:p>
              </w:tc>
              <w:tc>
                <w:tcPr>
                  <w:tcW w:w="363" w:type="pct"/>
                  <w:vAlign w:val="center"/>
                </w:tcPr>
                <w:p w14:paraId="1621C6D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w:t>
                  </w:r>
                </w:p>
              </w:tc>
              <w:tc>
                <w:tcPr>
                  <w:tcW w:w="363" w:type="pct"/>
                  <w:vAlign w:val="center"/>
                </w:tcPr>
                <w:p w14:paraId="28D712D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III</w:t>
                  </w:r>
                </w:p>
              </w:tc>
              <w:tc>
                <w:tcPr>
                  <w:tcW w:w="363" w:type="pct"/>
                  <w:vAlign w:val="center"/>
                </w:tcPr>
                <w:p w14:paraId="5DFB3E16">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w:t>
                  </w:r>
                </w:p>
              </w:tc>
              <w:tc>
                <w:tcPr>
                  <w:tcW w:w="363" w:type="pct"/>
                  <w:vAlign w:val="center"/>
                </w:tcPr>
                <w:p w14:paraId="0A89CCB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w:t>
                  </w:r>
                </w:p>
              </w:tc>
              <w:tc>
                <w:tcPr>
                  <w:tcW w:w="377" w:type="pct"/>
                  <w:vAlign w:val="center"/>
                </w:tcPr>
                <w:p w14:paraId="637FC346">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III</w:t>
                  </w:r>
                </w:p>
              </w:tc>
            </w:tr>
            <w:tr w14:paraId="5A6FA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restart"/>
                  <w:vAlign w:val="center"/>
                </w:tcPr>
                <w:p w14:paraId="5D8887C6">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A</w:t>
                  </w:r>
                </w:p>
              </w:tc>
              <w:tc>
                <w:tcPr>
                  <w:tcW w:w="1093" w:type="pct"/>
                  <w:vAlign w:val="center"/>
                </w:tcPr>
                <w:p w14:paraId="59CD9D9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363" w:type="pct"/>
                  <w:vAlign w:val="center"/>
                </w:tcPr>
                <w:p w14:paraId="4023312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vAlign w:val="center"/>
                </w:tcPr>
                <w:p w14:paraId="212063D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7" w:type="pct"/>
                  <w:vAlign w:val="center"/>
                </w:tcPr>
                <w:p w14:paraId="72A38A1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vAlign w:val="center"/>
                </w:tcPr>
                <w:p w14:paraId="06F69EA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vAlign w:val="center"/>
                </w:tcPr>
                <w:p w14:paraId="3E30588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vAlign w:val="center"/>
                </w:tcPr>
                <w:p w14:paraId="5FC155A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vAlign w:val="center"/>
                </w:tcPr>
                <w:p w14:paraId="16FF2E3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80</w:t>
                  </w:r>
                </w:p>
              </w:tc>
              <w:tc>
                <w:tcPr>
                  <w:tcW w:w="363" w:type="pct"/>
                  <w:vAlign w:val="center"/>
                </w:tcPr>
                <w:p w14:paraId="569C282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80</w:t>
                  </w:r>
                </w:p>
              </w:tc>
              <w:tc>
                <w:tcPr>
                  <w:tcW w:w="377" w:type="pct"/>
                  <w:vAlign w:val="center"/>
                </w:tcPr>
                <w:p w14:paraId="3FBD40E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80</w:t>
                  </w:r>
                </w:p>
              </w:tc>
            </w:tr>
            <w:tr w14:paraId="25CEB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0806A064">
                  <w:pPr>
                    <w:widowControl/>
                    <w:jc w:val="center"/>
                    <w:rPr>
                      <w:color w:val="000000" w:themeColor="text1"/>
                      <w:kern w:val="0"/>
                      <w:szCs w:val="21"/>
                      <w14:textFill>
                        <w14:solidFill>
                          <w14:schemeClr w14:val="tx1"/>
                        </w14:solidFill>
                      </w14:textFill>
                    </w:rPr>
                  </w:pPr>
                </w:p>
              </w:tc>
              <w:tc>
                <w:tcPr>
                  <w:tcW w:w="1093" w:type="pct"/>
                  <w:vAlign w:val="center"/>
                </w:tcPr>
                <w:p w14:paraId="0143C04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2-4</w:t>
                  </w:r>
                </w:p>
              </w:tc>
              <w:tc>
                <w:tcPr>
                  <w:tcW w:w="363" w:type="pct"/>
                  <w:vAlign w:val="center"/>
                </w:tcPr>
                <w:p w14:paraId="1F34DE48">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700</w:t>
                  </w:r>
                </w:p>
              </w:tc>
              <w:tc>
                <w:tcPr>
                  <w:tcW w:w="363" w:type="pct"/>
                  <w:vAlign w:val="center"/>
                </w:tcPr>
                <w:p w14:paraId="4A402C4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470</w:t>
                  </w:r>
                </w:p>
              </w:tc>
              <w:tc>
                <w:tcPr>
                  <w:tcW w:w="367" w:type="pct"/>
                  <w:vAlign w:val="center"/>
                </w:tcPr>
                <w:p w14:paraId="1AEE6C28">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3" w:type="pct"/>
                  <w:vAlign w:val="center"/>
                </w:tcPr>
                <w:p w14:paraId="47B7EEA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700</w:t>
                  </w:r>
                </w:p>
              </w:tc>
              <w:tc>
                <w:tcPr>
                  <w:tcW w:w="363" w:type="pct"/>
                  <w:vAlign w:val="center"/>
                </w:tcPr>
                <w:p w14:paraId="764C733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470</w:t>
                  </w:r>
                </w:p>
              </w:tc>
              <w:tc>
                <w:tcPr>
                  <w:tcW w:w="363" w:type="pct"/>
                  <w:vAlign w:val="center"/>
                </w:tcPr>
                <w:p w14:paraId="6DED9F7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3" w:type="pct"/>
                  <w:vAlign w:val="center"/>
                </w:tcPr>
                <w:p w14:paraId="500B439D">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380</w:t>
                  </w:r>
                </w:p>
              </w:tc>
              <w:tc>
                <w:tcPr>
                  <w:tcW w:w="363" w:type="pct"/>
                  <w:vAlign w:val="center"/>
                </w:tcPr>
                <w:p w14:paraId="5B2DBE7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250</w:t>
                  </w:r>
                </w:p>
              </w:tc>
              <w:tc>
                <w:tcPr>
                  <w:tcW w:w="377" w:type="pct"/>
                  <w:vAlign w:val="center"/>
                </w:tcPr>
                <w:p w14:paraId="04F0D2A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190</w:t>
                  </w:r>
                </w:p>
              </w:tc>
            </w:tr>
            <w:tr w14:paraId="18417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059464D3">
                  <w:pPr>
                    <w:widowControl/>
                    <w:jc w:val="center"/>
                    <w:rPr>
                      <w:color w:val="000000" w:themeColor="text1"/>
                      <w:kern w:val="0"/>
                      <w:szCs w:val="21"/>
                      <w14:textFill>
                        <w14:solidFill>
                          <w14:schemeClr w14:val="tx1"/>
                        </w14:solidFill>
                      </w14:textFill>
                    </w:rPr>
                  </w:pPr>
                </w:p>
              </w:tc>
              <w:tc>
                <w:tcPr>
                  <w:tcW w:w="1093" w:type="pct"/>
                  <w:vAlign w:val="center"/>
                </w:tcPr>
                <w:p w14:paraId="28EC950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&gt;4</w:t>
                  </w:r>
                </w:p>
              </w:tc>
              <w:tc>
                <w:tcPr>
                  <w:tcW w:w="363" w:type="pct"/>
                  <w:vAlign w:val="center"/>
                </w:tcPr>
                <w:p w14:paraId="171EAF26">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530</w:t>
                  </w:r>
                </w:p>
              </w:tc>
              <w:tc>
                <w:tcPr>
                  <w:tcW w:w="363" w:type="pct"/>
                  <w:vAlign w:val="center"/>
                </w:tcPr>
                <w:p w14:paraId="0F320AB7">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7" w:type="pct"/>
                  <w:vAlign w:val="center"/>
                </w:tcPr>
                <w:p w14:paraId="0DD1D40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260</w:t>
                  </w:r>
                </w:p>
              </w:tc>
              <w:tc>
                <w:tcPr>
                  <w:tcW w:w="363" w:type="pct"/>
                  <w:vAlign w:val="center"/>
                </w:tcPr>
                <w:p w14:paraId="45BF668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530</w:t>
                  </w:r>
                </w:p>
              </w:tc>
              <w:tc>
                <w:tcPr>
                  <w:tcW w:w="363" w:type="pct"/>
                  <w:vAlign w:val="center"/>
                </w:tcPr>
                <w:p w14:paraId="5ACC66E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3" w:type="pct"/>
                  <w:vAlign w:val="center"/>
                </w:tcPr>
                <w:p w14:paraId="6E93EE4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260</w:t>
                  </w:r>
                </w:p>
              </w:tc>
              <w:tc>
                <w:tcPr>
                  <w:tcW w:w="363" w:type="pct"/>
                  <w:vAlign w:val="center"/>
                </w:tcPr>
                <w:p w14:paraId="3C27FAA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290</w:t>
                  </w:r>
                </w:p>
              </w:tc>
              <w:tc>
                <w:tcPr>
                  <w:tcW w:w="363" w:type="pct"/>
                  <w:vAlign w:val="center"/>
                </w:tcPr>
                <w:p w14:paraId="64C76D4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190</w:t>
                  </w:r>
                </w:p>
              </w:tc>
              <w:tc>
                <w:tcPr>
                  <w:tcW w:w="377" w:type="pct"/>
                  <w:vAlign w:val="center"/>
                </w:tcPr>
                <w:p w14:paraId="51B7EE6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110</w:t>
                  </w:r>
                </w:p>
              </w:tc>
            </w:tr>
            <w:tr w14:paraId="2C24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restart"/>
                  <w:vAlign w:val="center"/>
                </w:tcPr>
                <w:p w14:paraId="233DCCC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B</w:t>
                  </w:r>
                </w:p>
              </w:tc>
              <w:tc>
                <w:tcPr>
                  <w:tcW w:w="1093" w:type="pct"/>
                  <w:vAlign w:val="center"/>
                </w:tcPr>
                <w:p w14:paraId="14E5FFE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1093" w:type="pct"/>
                  <w:gridSpan w:val="3"/>
                  <w:vAlign w:val="center"/>
                </w:tcPr>
                <w:p w14:paraId="569631C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w:t>
                  </w:r>
                </w:p>
              </w:tc>
              <w:tc>
                <w:tcPr>
                  <w:tcW w:w="1094" w:type="pct"/>
                  <w:gridSpan w:val="3"/>
                  <w:vAlign w:val="center"/>
                </w:tcPr>
                <w:p w14:paraId="5B01883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0.015</w:t>
                  </w:r>
                </w:p>
              </w:tc>
              <w:tc>
                <w:tcPr>
                  <w:tcW w:w="1099" w:type="pct"/>
                  <w:gridSpan w:val="3"/>
                  <w:vAlign w:val="center"/>
                </w:tcPr>
                <w:p w14:paraId="64D3CB1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0.015</w:t>
                  </w:r>
                </w:p>
              </w:tc>
            </w:tr>
            <w:tr w14:paraId="1B455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075DA6E0">
                  <w:pPr>
                    <w:widowControl/>
                    <w:jc w:val="center"/>
                    <w:rPr>
                      <w:color w:val="000000" w:themeColor="text1"/>
                      <w:kern w:val="0"/>
                      <w:szCs w:val="21"/>
                      <w14:textFill>
                        <w14:solidFill>
                          <w14:schemeClr w14:val="tx1"/>
                        </w14:solidFill>
                      </w14:textFill>
                    </w:rPr>
                  </w:pPr>
                </w:p>
              </w:tc>
              <w:tc>
                <w:tcPr>
                  <w:tcW w:w="1093" w:type="pct"/>
                  <w:vAlign w:val="center"/>
                </w:tcPr>
                <w:p w14:paraId="2ED7A67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&gt;2</w:t>
                  </w:r>
                </w:p>
              </w:tc>
              <w:tc>
                <w:tcPr>
                  <w:tcW w:w="1093" w:type="pct"/>
                  <w:gridSpan w:val="3"/>
                  <w:vAlign w:val="center"/>
                </w:tcPr>
                <w:p w14:paraId="221AA4F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0.021</w:t>
                  </w:r>
                </w:p>
              </w:tc>
              <w:tc>
                <w:tcPr>
                  <w:tcW w:w="1094" w:type="pct"/>
                  <w:gridSpan w:val="3"/>
                  <w:vAlign w:val="center"/>
                </w:tcPr>
                <w:p w14:paraId="73382B6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0.036</w:t>
                  </w:r>
                </w:p>
              </w:tc>
              <w:tc>
                <w:tcPr>
                  <w:tcW w:w="1099" w:type="pct"/>
                  <w:gridSpan w:val="3"/>
                  <w:vAlign w:val="center"/>
                </w:tcPr>
                <w:p w14:paraId="4CE57EF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0.036</w:t>
                  </w:r>
                </w:p>
              </w:tc>
            </w:tr>
            <w:tr w14:paraId="4F9A0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restart"/>
                  <w:vAlign w:val="center"/>
                </w:tcPr>
                <w:p w14:paraId="4DA13A0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C</w:t>
                  </w:r>
                </w:p>
              </w:tc>
              <w:tc>
                <w:tcPr>
                  <w:tcW w:w="1093" w:type="pct"/>
                  <w:vAlign w:val="center"/>
                </w:tcPr>
                <w:p w14:paraId="3D3CFBC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1093" w:type="pct"/>
                  <w:gridSpan w:val="3"/>
                  <w:vAlign w:val="center"/>
                </w:tcPr>
                <w:p w14:paraId="6794198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1.85</w:t>
                  </w:r>
                </w:p>
              </w:tc>
              <w:tc>
                <w:tcPr>
                  <w:tcW w:w="1094" w:type="pct"/>
                  <w:gridSpan w:val="3"/>
                  <w:vAlign w:val="center"/>
                </w:tcPr>
                <w:p w14:paraId="37A4ED4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1.79</w:t>
                  </w:r>
                </w:p>
              </w:tc>
              <w:tc>
                <w:tcPr>
                  <w:tcW w:w="1099" w:type="pct"/>
                  <w:gridSpan w:val="3"/>
                  <w:vAlign w:val="center"/>
                </w:tcPr>
                <w:p w14:paraId="4D30437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1.79</w:t>
                  </w:r>
                </w:p>
              </w:tc>
            </w:tr>
            <w:tr w14:paraId="6C2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63D1ADD4">
                  <w:pPr>
                    <w:widowControl/>
                    <w:jc w:val="center"/>
                    <w:rPr>
                      <w:color w:val="000000" w:themeColor="text1"/>
                      <w:kern w:val="0"/>
                      <w:szCs w:val="21"/>
                      <w14:textFill>
                        <w14:solidFill>
                          <w14:schemeClr w14:val="tx1"/>
                        </w14:solidFill>
                      </w14:textFill>
                    </w:rPr>
                  </w:pPr>
                </w:p>
              </w:tc>
              <w:tc>
                <w:tcPr>
                  <w:tcW w:w="1093" w:type="pct"/>
                  <w:vAlign w:val="center"/>
                </w:tcPr>
                <w:p w14:paraId="7E06808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&gt;2</w:t>
                  </w:r>
                </w:p>
              </w:tc>
              <w:tc>
                <w:tcPr>
                  <w:tcW w:w="1093" w:type="pct"/>
                  <w:gridSpan w:val="3"/>
                  <w:vAlign w:val="center"/>
                </w:tcPr>
                <w:p w14:paraId="5A7E4F3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1.85</w:t>
                  </w:r>
                </w:p>
              </w:tc>
              <w:tc>
                <w:tcPr>
                  <w:tcW w:w="1094" w:type="pct"/>
                  <w:gridSpan w:val="3"/>
                  <w:vAlign w:val="center"/>
                </w:tcPr>
                <w:p w14:paraId="3AB2524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1.77</w:t>
                  </w:r>
                </w:p>
              </w:tc>
              <w:tc>
                <w:tcPr>
                  <w:tcW w:w="1099" w:type="pct"/>
                  <w:gridSpan w:val="3"/>
                  <w:vAlign w:val="center"/>
                </w:tcPr>
                <w:p w14:paraId="660BC22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1.77</w:t>
                  </w:r>
                </w:p>
              </w:tc>
            </w:tr>
            <w:tr w14:paraId="5C157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restart"/>
                  <w:vAlign w:val="center"/>
                </w:tcPr>
                <w:p w14:paraId="3026B04E">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D</w:t>
                  </w:r>
                </w:p>
              </w:tc>
              <w:tc>
                <w:tcPr>
                  <w:tcW w:w="1093" w:type="pct"/>
                  <w:vAlign w:val="center"/>
                </w:tcPr>
                <w:p w14:paraId="57466D49">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1093" w:type="pct"/>
                  <w:gridSpan w:val="3"/>
                  <w:vAlign w:val="center"/>
                </w:tcPr>
                <w:p w14:paraId="43DB784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0.78</w:t>
                  </w:r>
                </w:p>
              </w:tc>
              <w:tc>
                <w:tcPr>
                  <w:tcW w:w="1094" w:type="pct"/>
                  <w:gridSpan w:val="3"/>
                  <w:vAlign w:val="center"/>
                </w:tcPr>
                <w:p w14:paraId="55A18E0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0.78</w:t>
                  </w:r>
                </w:p>
              </w:tc>
              <w:tc>
                <w:tcPr>
                  <w:tcW w:w="1099" w:type="pct"/>
                  <w:gridSpan w:val="3"/>
                  <w:vAlign w:val="center"/>
                </w:tcPr>
                <w:p w14:paraId="31D1E39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0.57</w:t>
                  </w:r>
                </w:p>
              </w:tc>
            </w:tr>
            <w:tr w14:paraId="6DBC5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1" w:type="pct"/>
                  <w:vMerge w:val="continue"/>
                  <w:vAlign w:val="center"/>
                </w:tcPr>
                <w:p w14:paraId="3E3528C2">
                  <w:pPr>
                    <w:widowControl/>
                    <w:jc w:val="center"/>
                    <w:rPr>
                      <w:color w:val="000000" w:themeColor="text1"/>
                      <w:kern w:val="0"/>
                      <w:szCs w:val="21"/>
                      <w14:textFill>
                        <w14:solidFill>
                          <w14:schemeClr w14:val="tx1"/>
                        </w14:solidFill>
                      </w14:textFill>
                    </w:rPr>
                  </w:pPr>
                </w:p>
              </w:tc>
              <w:tc>
                <w:tcPr>
                  <w:tcW w:w="1093" w:type="pct"/>
                  <w:vAlign w:val="center"/>
                </w:tcPr>
                <w:p w14:paraId="18696C1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&gt;2</w:t>
                  </w:r>
                </w:p>
              </w:tc>
              <w:tc>
                <w:tcPr>
                  <w:tcW w:w="1093" w:type="pct"/>
                  <w:gridSpan w:val="3"/>
                  <w:vAlign w:val="center"/>
                </w:tcPr>
                <w:p w14:paraId="1F63E753">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0.84</w:t>
                  </w:r>
                </w:p>
              </w:tc>
              <w:tc>
                <w:tcPr>
                  <w:tcW w:w="1094" w:type="pct"/>
                  <w:gridSpan w:val="3"/>
                  <w:vAlign w:val="center"/>
                </w:tcPr>
                <w:p w14:paraId="56AE2D7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0.84</w:t>
                  </w:r>
                </w:p>
              </w:tc>
              <w:tc>
                <w:tcPr>
                  <w:tcW w:w="1099" w:type="pct"/>
                  <w:gridSpan w:val="3"/>
                  <w:vAlign w:val="center"/>
                </w:tcPr>
                <w:p w14:paraId="731452E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0.76</w:t>
                  </w:r>
                </w:p>
              </w:tc>
            </w:tr>
            <w:tr w14:paraId="7B551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11"/>
                  <w:vAlign w:val="center"/>
                </w:tcPr>
                <w:p w14:paraId="6C85605B">
                  <w:pPr>
                    <w:pStyle w:val="145"/>
                    <w:spacing w:line="240" w:lineRule="auto"/>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注</w:t>
                  </w:r>
                  <w:r>
                    <w:rPr>
                      <w:rFonts w:ascii="Times New Roman" w:hAnsi="Times New Roman"/>
                      <w:color w:val="000000" w:themeColor="text1"/>
                      <w:sz w:val="21"/>
                      <w:szCs w:val="21"/>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Ⅰ</w:t>
                  </w:r>
                  <w:r>
                    <w:rPr>
                      <w:rFonts w:ascii="Times New Roman" w:hAnsi="Times New Roman"/>
                      <w:color w:val="000000" w:themeColor="text1"/>
                      <w:sz w:val="21"/>
                      <w:szCs w:val="21"/>
                      <w14:textFill>
                        <w14:solidFill>
                          <w14:schemeClr w14:val="tx1"/>
                        </w14:solidFill>
                      </w14:textFill>
                    </w:rPr>
                    <w:t>类：</w:t>
                  </w:r>
                  <w:r>
                    <w:rPr>
                      <w:rFonts w:ascii="Times New Roman" w:hAnsi="Times New Roman"/>
                      <w:color w:val="000000" w:themeColor="text1"/>
                      <w14:textFill>
                        <w14:solidFill>
                          <w14:schemeClr w14:val="tx1"/>
                        </w14:solidFill>
                      </w14:textFill>
                    </w:rPr>
                    <w:t>与无组织排放源共存的排放同种有害气体的排气筒的排放量，大于或等于标准规定的允许排放量的1/3者。</w:t>
                  </w:r>
                </w:p>
                <w:p w14:paraId="53CE831C">
                  <w:pPr>
                    <w:pStyle w:val="145"/>
                    <w:spacing w:line="240" w:lineRule="auto"/>
                    <w:jc w:val="both"/>
                    <w:rPr>
                      <w:rFonts w:ascii="Times New Roman" w:hAnsi="Times New Roman"/>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Ⅱ</w:t>
                  </w:r>
                  <w:r>
                    <w:rPr>
                      <w:rFonts w:ascii="Times New Roman" w:hAnsi="Times New Roman"/>
                      <w:color w:val="000000" w:themeColor="text1"/>
                      <w:sz w:val="21"/>
                      <w:szCs w:val="21"/>
                      <w14:textFill>
                        <w14:solidFill>
                          <w14:schemeClr w14:val="tx1"/>
                        </w14:solidFill>
                      </w14:textFill>
                    </w:rPr>
                    <w:t>类：</w:t>
                  </w:r>
                  <w:r>
                    <w:rPr>
                      <w:rFonts w:ascii="Times New Roman" w:hAnsi="Times New Roman"/>
                      <w:color w:val="000000" w:themeColor="text1"/>
                      <w14:textFill>
                        <w14:solidFill>
                          <w14:schemeClr w14:val="tx1"/>
                        </w14:solidFill>
                      </w14:textFill>
                    </w:rPr>
                    <w:t>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3488B359">
                  <w:pPr>
                    <w:pStyle w:val="145"/>
                    <w:spacing w:line="240" w:lineRule="auto"/>
                    <w:jc w:val="both"/>
                    <w:rPr>
                      <w:rFonts w:ascii="Times New Roman" w:hAnsi="Times New Roman"/>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Ⅲ</w:t>
                  </w:r>
                  <w:r>
                    <w:rPr>
                      <w:rFonts w:ascii="Times New Roman" w:hAnsi="Times New Roman"/>
                      <w:color w:val="000000" w:themeColor="text1"/>
                      <w:sz w:val="21"/>
                      <w:szCs w:val="21"/>
                      <w14:textFill>
                        <w14:solidFill>
                          <w14:schemeClr w14:val="tx1"/>
                        </w14:solidFill>
                      </w14:textFill>
                    </w:rPr>
                    <w:t>类：</w:t>
                  </w:r>
                  <w:r>
                    <w:rPr>
                      <w:rFonts w:ascii="Times New Roman" w:hAnsi="Times New Roman"/>
                      <w:color w:val="000000" w:themeColor="text1"/>
                      <w14:textFill>
                        <w14:solidFill>
                          <w14:schemeClr w14:val="tx1"/>
                        </w14:solidFill>
                      </w14:textFill>
                    </w:rPr>
                    <w:t>无排放同种有害气体的排气筒与无组织排放源共存，且无组织排放的有害物质的容许浓度是按慢性反应指标确定者。</w:t>
                  </w:r>
                </w:p>
              </w:tc>
            </w:tr>
          </w:tbl>
          <w:p w14:paraId="0BA8ED66">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本项目大气污染源类别为Ⅱ类，惠州市年平均风速为2.2m/s，则A为</w:t>
            </w:r>
            <w:r>
              <w:rPr>
                <w:color w:val="000000" w:themeColor="text1"/>
                <w:sz w:val="24"/>
                <w14:textFill>
                  <w14:solidFill>
                    <w14:schemeClr w14:val="tx1"/>
                  </w14:solidFill>
                </w14:textFill>
              </w:rPr>
              <w:t>47</w:t>
            </w:r>
            <w:r>
              <w:rPr>
                <w:rFonts w:hint="eastAsia"/>
                <w:color w:val="000000" w:themeColor="text1"/>
                <w:sz w:val="24"/>
                <w14:textFill>
                  <w14:solidFill>
                    <w14:schemeClr w14:val="tx1"/>
                  </w14:solidFill>
                </w14:textFill>
              </w:rPr>
              <w:t>0，B为0.021，C为1.85，D为0.84，根据《大气有害物质无组织排放卫生防护距离推导技术导则 GB/T 39499-2020》中等标排放量的计算（厂房内颗粒物等标排放量为460132，锰及其化合物等标排放量为451，总VOCs等标排放量为113719），本项目等标排</w:t>
            </w:r>
            <w:r>
              <w:rPr>
                <w:color w:val="000000" w:themeColor="text1"/>
                <w:sz w:val="24"/>
                <w14:textFill>
                  <w14:solidFill>
                    <w14:schemeClr w14:val="tx1"/>
                  </w14:solidFill>
                </w14:textFill>
              </w:rPr>
              <w:t>放量相差大于10%，所以本项目优先选择排放量较大的污染物（</w:t>
            </w:r>
            <w:r>
              <w:rPr>
                <w:rFonts w:hint="eastAsia"/>
                <w:color w:val="000000" w:themeColor="text1"/>
                <w:sz w:val="24"/>
                <w14:textFill>
                  <w14:solidFill>
                    <w14:schemeClr w14:val="tx1"/>
                  </w14:solidFill>
                </w14:textFill>
              </w:rPr>
              <w:t>颗粒物</w:t>
            </w:r>
            <w:r>
              <w:rPr>
                <w:color w:val="000000" w:themeColor="text1"/>
                <w:sz w:val="24"/>
                <w14:textFill>
                  <w14:solidFill>
                    <w14:schemeClr w14:val="tx1"/>
                  </w14:solidFill>
                </w14:textFill>
              </w:rPr>
              <w:t>）进行卫生防护距离计算。</w:t>
            </w:r>
            <w:r>
              <w:rPr>
                <w:rFonts w:hint="eastAsia"/>
                <w:color w:val="000000" w:themeColor="text1"/>
                <w:sz w:val="24"/>
                <w14:textFill>
                  <w14:solidFill>
                    <w14:schemeClr w14:val="tx1"/>
                  </w14:solidFill>
                </w14:textFill>
              </w:rPr>
              <w:t>生产车间与居住区之间卫生防护距离的计算源强如下所示。</w:t>
            </w:r>
          </w:p>
          <w:p w14:paraId="6AA80EEF">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color w:val="000000" w:themeColor="text1"/>
                <w:sz w:val="21"/>
                <w:szCs w:val="21"/>
                <w14:textFill>
                  <w14:solidFill>
                    <w14:schemeClr w14:val="tx1"/>
                  </w14:solidFill>
                </w14:textFill>
              </w:rPr>
              <w:t>表4-</w:t>
            </w:r>
            <w:r>
              <w:rPr>
                <w:rFonts w:ascii="Times New Roman" w:hAnsi="Times New Roman" w:eastAsia="宋体"/>
                <w:color w:val="000000" w:themeColor="text1"/>
                <w:sz w:val="21"/>
                <w:szCs w:val="21"/>
                <w14:textFill>
                  <w14:solidFill>
                    <w14:schemeClr w14:val="tx1"/>
                  </w14:solidFill>
                </w14:textFill>
              </w:rPr>
              <w:t xml:space="preserve">9  </w:t>
            </w:r>
            <w:r>
              <w:rPr>
                <w:rFonts w:hint="eastAsia" w:ascii="Times New Roman" w:hAnsi="Times New Roman" w:eastAsia="宋体"/>
                <w:color w:val="000000" w:themeColor="text1"/>
                <w:sz w:val="21"/>
                <w:szCs w:val="21"/>
                <w14:textFill>
                  <w14:solidFill>
                    <w14:schemeClr w14:val="tx1"/>
                  </w14:solidFill>
                </w14:textFill>
              </w:rPr>
              <w:t>生产车间与居住区之间卫生防护距离的计算源强</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3"/>
              <w:gridCol w:w="3215"/>
            </w:tblGrid>
            <w:tr w14:paraId="39245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2" w:type="pct"/>
                  <w:vAlign w:val="center"/>
                </w:tcPr>
                <w:p w14:paraId="4C51DF7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面源</w:t>
                  </w:r>
                </w:p>
              </w:tc>
              <w:tc>
                <w:tcPr>
                  <w:tcW w:w="1968" w:type="pct"/>
                  <w:vAlign w:val="center"/>
                </w:tcPr>
                <w:p w14:paraId="7BF67646">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生产区域</w:t>
                  </w:r>
                </w:p>
              </w:tc>
            </w:tr>
            <w:tr w14:paraId="68419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41ED924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参数选取</w:t>
                  </w:r>
                </w:p>
              </w:tc>
              <w:tc>
                <w:tcPr>
                  <w:tcW w:w="1968" w:type="pct"/>
                  <w:vAlign w:val="center"/>
                </w:tcPr>
                <w:p w14:paraId="5210C42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r>
            <w:tr w14:paraId="16434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36FB785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Q</w:t>
                  </w:r>
                  <w:r>
                    <w:rPr>
                      <w:color w:val="000000" w:themeColor="text1"/>
                      <w:szCs w:val="21"/>
                      <w:vertAlign w:val="subscript"/>
                      <w14:textFill>
                        <w14:solidFill>
                          <w14:schemeClr w14:val="tx1"/>
                        </w14:solidFill>
                      </w14:textFill>
                    </w:rPr>
                    <w:t>c</w:t>
                  </w:r>
                  <w:r>
                    <w:rPr>
                      <w:color w:val="000000" w:themeColor="text1"/>
                      <w:szCs w:val="21"/>
                      <w14:textFill>
                        <w14:solidFill>
                          <w14:schemeClr w14:val="tx1"/>
                        </w14:solidFill>
                      </w14:textFill>
                    </w:rPr>
                    <w:t>（kg/h）</w:t>
                  </w:r>
                </w:p>
              </w:tc>
              <w:tc>
                <w:tcPr>
                  <w:tcW w:w="1968" w:type="pct"/>
                  <w:vAlign w:val="center"/>
                </w:tcPr>
                <w:p w14:paraId="684410B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327</w:t>
                  </w:r>
                </w:p>
              </w:tc>
            </w:tr>
            <w:tr w14:paraId="4679F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2F1D9F1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w:t>
                  </w:r>
                  <w:r>
                    <w:rPr>
                      <w:color w:val="000000" w:themeColor="text1"/>
                      <w:szCs w:val="21"/>
                      <w:vertAlign w:val="subscript"/>
                      <w14:textFill>
                        <w14:solidFill>
                          <w14:schemeClr w14:val="tx1"/>
                        </w14:solidFill>
                      </w14:textFill>
                    </w:rPr>
                    <w:t>m</w:t>
                  </w:r>
                  <w:r>
                    <w:rPr>
                      <w:color w:val="000000" w:themeColor="text1"/>
                      <w:szCs w:val="21"/>
                      <w14:textFill>
                        <w14:solidFill>
                          <w14:schemeClr w14:val="tx1"/>
                        </w14:solidFill>
                      </w14:textFill>
                    </w:rPr>
                    <w:t>（mg/m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tc>
              <w:tc>
                <w:tcPr>
                  <w:tcW w:w="1968" w:type="pct"/>
                  <w:vAlign w:val="center"/>
                </w:tcPr>
                <w:p w14:paraId="1E6C941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0.9</w:t>
                  </w:r>
                </w:p>
              </w:tc>
            </w:tr>
            <w:tr w14:paraId="7D749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5011CAC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w:t>
                  </w:r>
                </w:p>
              </w:tc>
              <w:tc>
                <w:tcPr>
                  <w:tcW w:w="1968" w:type="pct"/>
                  <w:vAlign w:val="center"/>
                </w:tcPr>
                <w:p w14:paraId="559CDA6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w:t>
                  </w:r>
                  <w:r>
                    <w:rPr>
                      <w:color w:val="000000" w:themeColor="text1"/>
                      <w:szCs w:val="21"/>
                      <w14:textFill>
                        <w14:solidFill>
                          <w14:schemeClr w14:val="tx1"/>
                        </w14:solidFill>
                      </w14:textFill>
                    </w:rPr>
                    <w:t>00</w:t>
                  </w:r>
                </w:p>
              </w:tc>
            </w:tr>
            <w:tr w14:paraId="5DFAE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7D285702">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A</w:t>
                  </w:r>
                </w:p>
              </w:tc>
              <w:tc>
                <w:tcPr>
                  <w:tcW w:w="1968" w:type="pct"/>
                  <w:vAlign w:val="center"/>
                </w:tcPr>
                <w:p w14:paraId="0F9EE66F">
                  <w:pPr>
                    <w:adjustRightInd w:val="0"/>
                    <w:snapToGrid w:val="0"/>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470</w:t>
                  </w:r>
                </w:p>
              </w:tc>
            </w:tr>
            <w:tr w14:paraId="13DBE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7DE7F6CC">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B</w:t>
                  </w:r>
                </w:p>
              </w:tc>
              <w:tc>
                <w:tcPr>
                  <w:tcW w:w="1968" w:type="pct"/>
                  <w:vAlign w:val="center"/>
                </w:tcPr>
                <w:p w14:paraId="46F3D915">
                  <w:pPr>
                    <w:adjustRightInd w:val="0"/>
                    <w:snapToGrid w:val="0"/>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0.021</w:t>
                  </w:r>
                </w:p>
              </w:tc>
            </w:tr>
            <w:tr w14:paraId="61B33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7635F173">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C</w:t>
                  </w:r>
                </w:p>
              </w:tc>
              <w:tc>
                <w:tcPr>
                  <w:tcW w:w="1968" w:type="pct"/>
                  <w:vAlign w:val="center"/>
                </w:tcPr>
                <w:p w14:paraId="0E7CB833">
                  <w:pPr>
                    <w:adjustRightInd w:val="0"/>
                    <w:snapToGrid w:val="0"/>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1.85</w:t>
                  </w:r>
                </w:p>
              </w:tc>
            </w:tr>
            <w:tr w14:paraId="04813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32DAE150">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D</w:t>
                  </w:r>
                </w:p>
              </w:tc>
              <w:tc>
                <w:tcPr>
                  <w:tcW w:w="1968" w:type="pct"/>
                  <w:vAlign w:val="center"/>
                </w:tcPr>
                <w:p w14:paraId="12027CF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0.84</w:t>
                  </w:r>
                </w:p>
              </w:tc>
            </w:tr>
            <w:tr w14:paraId="0A0F9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6D3AA5B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卫生防护距离</w:t>
                  </w:r>
                  <w:r>
                    <w:rPr>
                      <w:rFonts w:hint="eastAsia"/>
                      <w:color w:val="000000" w:themeColor="text1"/>
                      <w:szCs w:val="21"/>
                      <w14:textFill>
                        <w14:solidFill>
                          <w14:schemeClr w14:val="tx1"/>
                        </w14:solidFill>
                      </w14:textFill>
                    </w:rPr>
                    <w:t>初值</w:t>
                  </w:r>
                  <w:r>
                    <w:rPr>
                      <w:color w:val="000000" w:themeColor="text1"/>
                      <w:szCs w:val="21"/>
                      <w14:textFill>
                        <w14:solidFill>
                          <w14:schemeClr w14:val="tx1"/>
                        </w14:solidFill>
                      </w14:textFill>
                    </w:rPr>
                    <w:t>(m)</w:t>
                  </w:r>
                </w:p>
              </w:tc>
              <w:tc>
                <w:tcPr>
                  <w:tcW w:w="1968" w:type="pct"/>
                  <w:vAlign w:val="center"/>
                </w:tcPr>
                <w:p w14:paraId="7DF3B91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29.569</w:t>
                  </w:r>
                </w:p>
              </w:tc>
            </w:tr>
            <w:tr w14:paraId="4E6CF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32" w:type="pct"/>
                  <w:vAlign w:val="center"/>
                </w:tcPr>
                <w:p w14:paraId="12284C4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需要设置的环境防护距离（m）</w:t>
                  </w:r>
                </w:p>
              </w:tc>
              <w:tc>
                <w:tcPr>
                  <w:tcW w:w="1968" w:type="pct"/>
                  <w:vAlign w:val="center"/>
                </w:tcPr>
                <w:p w14:paraId="2F042E3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w:t>
                  </w:r>
                </w:p>
              </w:tc>
            </w:tr>
          </w:tbl>
          <w:p w14:paraId="44470182">
            <w:pPr>
              <w:spacing w:line="360" w:lineRule="auto"/>
              <w:ind w:firstLine="470" w:firstLineChars="196"/>
              <w:rPr>
                <w:color w:val="000000" w:themeColor="text1"/>
                <w:sz w:val="24"/>
                <w14:textFill>
                  <w14:solidFill>
                    <w14:schemeClr w14:val="tx1"/>
                  </w14:solidFill>
                </w14:textFill>
              </w:rPr>
            </w:pPr>
            <w:r>
              <w:rPr>
                <w:color w:val="000000" w:themeColor="text1"/>
                <w:sz w:val="24"/>
                <w14:textFill>
                  <w14:solidFill>
                    <w14:schemeClr w14:val="tx1"/>
                  </w14:solidFill>
                </w14:textFill>
              </w:rPr>
              <w:t>由上表可知，本项目卫生防护距离设置为50m。根据现状调查，本项目产污车间外50m范围内无大气敏感点，最近环境敏感点为本项目产污车间</w:t>
            </w:r>
            <w:r>
              <w:rPr>
                <w:rFonts w:hint="eastAsia"/>
                <w:color w:val="000000" w:themeColor="text1"/>
                <w:sz w:val="24"/>
                <w14:textFill>
                  <w14:solidFill>
                    <w14:schemeClr w14:val="tx1"/>
                  </w14:solidFill>
                </w14:textFill>
              </w:rPr>
              <w:t>北面52</w:t>
            </w:r>
            <w:r>
              <w:rPr>
                <w:color w:val="000000" w:themeColor="text1"/>
                <w:sz w:val="24"/>
                <w14:textFill>
                  <w14:solidFill>
                    <w14:schemeClr w14:val="tx1"/>
                  </w14:solidFill>
                </w14:textFill>
              </w:rPr>
              <w:t>m的</w:t>
            </w:r>
            <w:r>
              <w:rPr>
                <w:rFonts w:hint="eastAsia"/>
                <w:color w:val="000000" w:themeColor="text1"/>
                <w:sz w:val="24"/>
                <w14:textFill>
                  <w14:solidFill>
                    <w14:schemeClr w14:val="tx1"/>
                  </w14:solidFill>
                </w14:textFill>
              </w:rPr>
              <w:t>北侧民居</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评价建议严禁在项目卫生防护距离范围内建设新的环境敏感点。</w:t>
            </w:r>
          </w:p>
          <w:p w14:paraId="7311A82C">
            <w:pPr>
              <w:pStyle w:val="93"/>
              <w:numPr>
                <w:ilvl w:val="0"/>
                <w:numId w:val="12"/>
              </w:numPr>
              <w:spacing w:line="360" w:lineRule="auto"/>
              <w:ind w:firstLineChars="0"/>
              <w:rPr>
                <w:b/>
                <w:color w:val="000000" w:themeColor="text1"/>
                <w:sz w:val="24"/>
                <w14:textFill>
                  <w14:solidFill>
                    <w14:schemeClr w14:val="tx1"/>
                  </w14:solidFill>
                </w14:textFill>
              </w:rPr>
            </w:pPr>
            <w:r>
              <w:rPr>
                <w:b/>
                <w:color w:val="000000" w:themeColor="text1"/>
                <w:sz w:val="24"/>
                <w14:textFill>
                  <w14:solidFill>
                    <w14:schemeClr w14:val="tx1"/>
                  </w14:solidFill>
                </w14:textFill>
              </w:rPr>
              <w:t>废水</w:t>
            </w:r>
            <w:r>
              <w:rPr>
                <w:rFonts w:hint="eastAsia"/>
                <w:b/>
                <w:color w:val="000000" w:themeColor="text1"/>
                <w:sz w:val="24"/>
                <w14:textFill>
                  <w14:solidFill>
                    <w14:schemeClr w14:val="tx1"/>
                  </w14:solidFill>
                </w14:textFill>
              </w:rPr>
              <w:t>环境</w:t>
            </w:r>
            <w:r>
              <w:rPr>
                <w:b/>
                <w:color w:val="000000" w:themeColor="text1"/>
                <w:sz w:val="24"/>
                <w14:textFill>
                  <w14:solidFill>
                    <w14:schemeClr w14:val="tx1"/>
                  </w14:solidFill>
                </w14:textFill>
              </w:rPr>
              <w:t>影响分析</w:t>
            </w:r>
          </w:p>
          <w:p w14:paraId="076D98EC">
            <w:pPr>
              <w:spacing w:line="360" w:lineRule="auto"/>
              <w:ind w:left="472"/>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废水污染物产排情况</w:t>
            </w:r>
          </w:p>
          <w:p w14:paraId="12904FCF">
            <w:pPr>
              <w:spacing w:line="360" w:lineRule="auto"/>
              <w:ind w:firstLine="480" w:firstLineChars="200"/>
              <w:rPr>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员工生活污水经“隔油隔渣</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三级化粪池”处理达到广东省《水污染物排放限值》（</w:t>
            </w:r>
            <w:r>
              <w:rPr>
                <w:bCs/>
                <w:color w:val="000000" w:themeColor="text1"/>
                <w:sz w:val="24"/>
                <w14:textFill>
                  <w14:solidFill>
                    <w14:schemeClr w14:val="tx1"/>
                  </w14:solidFill>
                </w14:textFill>
              </w:rPr>
              <w:t>DB44/26-2001</w:t>
            </w:r>
            <w:r>
              <w:rPr>
                <w:rFonts w:hint="eastAsia"/>
                <w:bCs/>
                <w:color w:val="000000" w:themeColor="text1"/>
                <w:sz w:val="24"/>
                <w14:textFill>
                  <w14:solidFill>
                    <w14:schemeClr w14:val="tx1"/>
                  </w14:solidFill>
                </w14:textFill>
              </w:rPr>
              <w:t>）第二时段三级标准后经市政污水管网排入博罗县福田镇生活污水处理厂进行深度处理，最终排入福田河。</w:t>
            </w:r>
          </w:p>
          <w:p w14:paraId="22B7969F">
            <w:pPr>
              <w:spacing w:line="360" w:lineRule="auto"/>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w:t>
            </w:r>
            <w:r>
              <w:rPr>
                <w:b/>
                <w:color w:val="000000" w:themeColor="text1"/>
                <w:szCs w:val="21"/>
                <w14:textFill>
                  <w14:solidFill>
                    <w14:schemeClr w14:val="tx1"/>
                  </w14:solidFill>
                </w14:textFill>
              </w:rPr>
              <w:t>4-1</w:t>
            </w:r>
            <w:r>
              <w:rPr>
                <w:rFonts w:hint="eastAsia"/>
                <w:b/>
                <w:color w:val="000000" w:themeColor="text1"/>
                <w:szCs w:val="21"/>
                <w14:textFill>
                  <w14:solidFill>
                    <w14:schemeClr w14:val="tx1"/>
                  </w14:solidFill>
                </w14:textFill>
              </w:rPr>
              <w:t>0</w:t>
            </w: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本项目</w:t>
            </w:r>
            <w:r>
              <w:rPr>
                <w:b/>
                <w:color w:val="000000" w:themeColor="text1"/>
                <w:szCs w:val="21"/>
                <w14:textFill>
                  <w14:solidFill>
                    <w14:schemeClr w14:val="tx1"/>
                  </w14:solidFill>
                </w14:textFill>
              </w:rPr>
              <w:t>水污染源源强核算结果及相关参数一览表</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708"/>
              <w:gridCol w:w="707"/>
              <w:gridCol w:w="849"/>
              <w:gridCol w:w="709"/>
              <w:gridCol w:w="709"/>
              <w:gridCol w:w="709"/>
              <w:gridCol w:w="707"/>
              <w:gridCol w:w="603"/>
              <w:gridCol w:w="537"/>
              <w:gridCol w:w="421"/>
              <w:gridCol w:w="497"/>
            </w:tblGrid>
            <w:tr w14:paraId="0CC0D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pct"/>
                  <w:vMerge w:val="restart"/>
                  <w:tcMar>
                    <w:top w:w="0" w:type="dxa"/>
                    <w:left w:w="0" w:type="dxa"/>
                    <w:bottom w:w="0" w:type="dxa"/>
                    <w:right w:w="0" w:type="dxa"/>
                  </w:tcMar>
                  <w:vAlign w:val="center"/>
                </w:tcPr>
                <w:p w14:paraId="781A06F5">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排污环节</w:t>
                  </w:r>
                </w:p>
              </w:tc>
              <w:tc>
                <w:tcPr>
                  <w:tcW w:w="433" w:type="pct"/>
                  <w:vMerge w:val="restart"/>
                  <w:tcMar>
                    <w:top w:w="0" w:type="dxa"/>
                    <w:left w:w="0" w:type="dxa"/>
                    <w:bottom w:w="0" w:type="dxa"/>
                    <w:right w:w="0" w:type="dxa"/>
                  </w:tcMar>
                  <w:vAlign w:val="center"/>
                </w:tcPr>
                <w:p w14:paraId="02740F8A">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污染物</w:t>
                  </w:r>
                </w:p>
                <w:p w14:paraId="1989E3DC">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种类</w:t>
                  </w:r>
                </w:p>
              </w:tc>
              <w:tc>
                <w:tcPr>
                  <w:tcW w:w="952" w:type="pct"/>
                  <w:gridSpan w:val="2"/>
                  <w:tcMar>
                    <w:top w:w="0" w:type="dxa"/>
                    <w:left w:w="0" w:type="dxa"/>
                    <w:bottom w:w="0" w:type="dxa"/>
                    <w:right w:w="0" w:type="dxa"/>
                  </w:tcMar>
                  <w:vAlign w:val="center"/>
                </w:tcPr>
                <w:p w14:paraId="27E5455B">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污染物</w:t>
                  </w:r>
                </w:p>
                <w:p w14:paraId="59F73654">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产生情况</w:t>
                  </w:r>
                </w:p>
              </w:tc>
              <w:tc>
                <w:tcPr>
                  <w:tcW w:w="1302" w:type="pct"/>
                  <w:gridSpan w:val="3"/>
                  <w:tcMar>
                    <w:top w:w="0" w:type="dxa"/>
                    <w:left w:w="0" w:type="dxa"/>
                    <w:bottom w:w="0" w:type="dxa"/>
                    <w:right w:w="0" w:type="dxa"/>
                  </w:tcMar>
                  <w:vAlign w:val="center"/>
                </w:tcPr>
                <w:p w14:paraId="7BEC1253">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治理措施</w:t>
                  </w:r>
                </w:p>
              </w:tc>
              <w:tc>
                <w:tcPr>
                  <w:tcW w:w="433" w:type="pct"/>
                  <w:vMerge w:val="restart"/>
                  <w:tcMar>
                    <w:top w:w="0" w:type="dxa"/>
                    <w:left w:w="0" w:type="dxa"/>
                    <w:bottom w:w="0" w:type="dxa"/>
                    <w:right w:w="0" w:type="dxa"/>
                  </w:tcMar>
                  <w:vAlign w:val="center"/>
                </w:tcPr>
                <w:p w14:paraId="3A3DED9B">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废水排放量t/a</w:t>
                  </w:r>
                </w:p>
              </w:tc>
              <w:tc>
                <w:tcPr>
                  <w:tcW w:w="698" w:type="pct"/>
                  <w:gridSpan w:val="2"/>
                  <w:tcMar>
                    <w:top w:w="0" w:type="dxa"/>
                    <w:left w:w="0" w:type="dxa"/>
                    <w:bottom w:w="0" w:type="dxa"/>
                    <w:right w:w="0" w:type="dxa"/>
                  </w:tcMar>
                  <w:vAlign w:val="center"/>
                </w:tcPr>
                <w:p w14:paraId="6FD7EB04">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污染物</w:t>
                  </w:r>
                </w:p>
                <w:p w14:paraId="74D115FE">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排放情况</w:t>
                  </w:r>
                </w:p>
              </w:tc>
              <w:tc>
                <w:tcPr>
                  <w:tcW w:w="258" w:type="pct"/>
                  <w:vMerge w:val="restart"/>
                  <w:tcMar>
                    <w:top w:w="0" w:type="dxa"/>
                    <w:left w:w="0" w:type="dxa"/>
                    <w:bottom w:w="0" w:type="dxa"/>
                    <w:right w:w="0" w:type="dxa"/>
                  </w:tcMar>
                  <w:vAlign w:val="center"/>
                </w:tcPr>
                <w:p w14:paraId="1445A471">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排放方式</w:t>
                  </w:r>
                </w:p>
              </w:tc>
              <w:tc>
                <w:tcPr>
                  <w:tcW w:w="304" w:type="pct"/>
                  <w:vMerge w:val="restart"/>
                  <w:tcMar>
                    <w:top w:w="0" w:type="dxa"/>
                    <w:left w:w="0" w:type="dxa"/>
                    <w:bottom w:w="0" w:type="dxa"/>
                    <w:right w:w="0" w:type="dxa"/>
                  </w:tcMar>
                  <w:vAlign w:val="center"/>
                </w:tcPr>
                <w:p w14:paraId="4EC23D92">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排放去向</w:t>
                  </w:r>
                </w:p>
              </w:tc>
            </w:tr>
            <w:tr w14:paraId="0EA85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pct"/>
                  <w:vMerge w:val="continue"/>
                  <w:tcMar>
                    <w:top w:w="0" w:type="dxa"/>
                    <w:left w:w="0" w:type="dxa"/>
                    <w:bottom w:w="0" w:type="dxa"/>
                    <w:right w:w="0" w:type="dxa"/>
                  </w:tcMar>
                  <w:vAlign w:val="center"/>
                </w:tcPr>
                <w:p w14:paraId="5E26E997">
                  <w:pPr>
                    <w:pStyle w:val="49"/>
                    <w:ind w:firstLine="422"/>
                    <w:rPr>
                      <w:rFonts w:ascii="Times New Roman"/>
                      <w:b/>
                      <w:color w:val="7030A0"/>
                      <w:sz w:val="21"/>
                      <w:szCs w:val="21"/>
                    </w:rPr>
                  </w:pPr>
                </w:p>
              </w:tc>
              <w:tc>
                <w:tcPr>
                  <w:tcW w:w="433" w:type="pct"/>
                  <w:vMerge w:val="continue"/>
                  <w:tcMar>
                    <w:top w:w="0" w:type="dxa"/>
                    <w:left w:w="0" w:type="dxa"/>
                    <w:bottom w:w="0" w:type="dxa"/>
                    <w:right w:w="0" w:type="dxa"/>
                  </w:tcMar>
                  <w:vAlign w:val="center"/>
                </w:tcPr>
                <w:p w14:paraId="15DC374D">
                  <w:pPr>
                    <w:pStyle w:val="49"/>
                    <w:ind w:firstLine="422"/>
                    <w:jc w:val="center"/>
                    <w:rPr>
                      <w:rFonts w:ascii="Times New Roman"/>
                      <w:b/>
                      <w:color w:val="000000" w:themeColor="text1"/>
                      <w:sz w:val="21"/>
                      <w:szCs w:val="21"/>
                      <w14:textFill>
                        <w14:solidFill>
                          <w14:schemeClr w14:val="tx1"/>
                        </w14:solidFill>
                      </w14:textFill>
                    </w:rPr>
                  </w:pPr>
                </w:p>
              </w:tc>
              <w:tc>
                <w:tcPr>
                  <w:tcW w:w="433" w:type="pct"/>
                  <w:tcMar>
                    <w:top w:w="0" w:type="dxa"/>
                    <w:left w:w="0" w:type="dxa"/>
                    <w:bottom w:w="0" w:type="dxa"/>
                    <w:right w:w="0" w:type="dxa"/>
                  </w:tcMar>
                  <w:vAlign w:val="center"/>
                </w:tcPr>
                <w:p w14:paraId="53822531">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产生量t/a</w:t>
                  </w:r>
                </w:p>
              </w:tc>
              <w:tc>
                <w:tcPr>
                  <w:tcW w:w="520" w:type="pct"/>
                  <w:tcMar>
                    <w:top w:w="0" w:type="dxa"/>
                    <w:left w:w="0" w:type="dxa"/>
                    <w:bottom w:w="0" w:type="dxa"/>
                    <w:right w:w="0" w:type="dxa"/>
                  </w:tcMar>
                  <w:vAlign w:val="center"/>
                </w:tcPr>
                <w:p w14:paraId="30F3CE41">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产生浓度mg/L</w:t>
                  </w:r>
                </w:p>
              </w:tc>
              <w:tc>
                <w:tcPr>
                  <w:tcW w:w="434" w:type="pct"/>
                  <w:tcMar>
                    <w:top w:w="0" w:type="dxa"/>
                    <w:left w:w="0" w:type="dxa"/>
                    <w:bottom w:w="0" w:type="dxa"/>
                    <w:right w:w="0" w:type="dxa"/>
                  </w:tcMar>
                  <w:vAlign w:val="center"/>
                </w:tcPr>
                <w:p w14:paraId="143C5853">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工艺</w:t>
                  </w:r>
                </w:p>
              </w:tc>
              <w:tc>
                <w:tcPr>
                  <w:tcW w:w="434" w:type="pct"/>
                  <w:tcMar>
                    <w:top w:w="0" w:type="dxa"/>
                    <w:left w:w="0" w:type="dxa"/>
                    <w:bottom w:w="0" w:type="dxa"/>
                    <w:right w:w="0" w:type="dxa"/>
                  </w:tcMar>
                  <w:vAlign w:val="center"/>
                </w:tcPr>
                <w:p w14:paraId="6A153148">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治理效率%</w:t>
                  </w:r>
                </w:p>
              </w:tc>
              <w:tc>
                <w:tcPr>
                  <w:tcW w:w="434" w:type="pct"/>
                  <w:tcMar>
                    <w:top w:w="0" w:type="dxa"/>
                    <w:left w:w="0" w:type="dxa"/>
                    <w:bottom w:w="0" w:type="dxa"/>
                    <w:right w:w="0" w:type="dxa"/>
                  </w:tcMar>
                  <w:vAlign w:val="center"/>
                </w:tcPr>
                <w:p w14:paraId="4A107BC9">
                  <w:pPr>
                    <w:pStyle w:val="49"/>
                    <w:jc w:val="center"/>
                    <w:rPr>
                      <w:rFonts w:ascii="Times New Roman"/>
                      <w:b/>
                      <w:color w:val="7030A0"/>
                      <w:sz w:val="21"/>
                      <w:szCs w:val="21"/>
                    </w:rPr>
                  </w:pPr>
                  <w:r>
                    <w:rPr>
                      <w:rFonts w:ascii="Times New Roman"/>
                      <w:b/>
                      <w:color w:val="000000" w:themeColor="text1"/>
                      <w:sz w:val="21"/>
                      <w:szCs w:val="21"/>
                      <w14:textFill>
                        <w14:solidFill>
                          <w14:schemeClr w14:val="tx1"/>
                        </w14:solidFill>
                      </w14:textFill>
                    </w:rPr>
                    <w:t>是否为可行技术</w:t>
                  </w:r>
                </w:p>
              </w:tc>
              <w:tc>
                <w:tcPr>
                  <w:tcW w:w="433" w:type="pct"/>
                  <w:vMerge w:val="continue"/>
                  <w:tcMar>
                    <w:top w:w="0" w:type="dxa"/>
                    <w:left w:w="0" w:type="dxa"/>
                    <w:bottom w:w="0" w:type="dxa"/>
                    <w:right w:w="0" w:type="dxa"/>
                  </w:tcMar>
                  <w:vAlign w:val="center"/>
                </w:tcPr>
                <w:p w14:paraId="7569A5AF">
                  <w:pPr>
                    <w:pStyle w:val="49"/>
                    <w:jc w:val="center"/>
                    <w:rPr>
                      <w:rFonts w:ascii="Times New Roman"/>
                      <w:b/>
                      <w:color w:val="000000" w:themeColor="text1"/>
                      <w:sz w:val="21"/>
                      <w:szCs w:val="21"/>
                      <w14:textFill>
                        <w14:solidFill>
                          <w14:schemeClr w14:val="tx1"/>
                        </w14:solidFill>
                      </w14:textFill>
                    </w:rPr>
                  </w:pPr>
                </w:p>
              </w:tc>
              <w:tc>
                <w:tcPr>
                  <w:tcW w:w="369" w:type="pct"/>
                  <w:tcMar>
                    <w:top w:w="0" w:type="dxa"/>
                    <w:left w:w="0" w:type="dxa"/>
                    <w:bottom w:w="0" w:type="dxa"/>
                    <w:right w:w="0" w:type="dxa"/>
                  </w:tcMar>
                  <w:vAlign w:val="center"/>
                </w:tcPr>
                <w:p w14:paraId="71061857">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排放量</w:t>
                  </w:r>
                </w:p>
                <w:p w14:paraId="11E0C5DB">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t/a</w:t>
                  </w:r>
                </w:p>
              </w:tc>
              <w:tc>
                <w:tcPr>
                  <w:tcW w:w="329" w:type="pct"/>
                  <w:tcMar>
                    <w:top w:w="0" w:type="dxa"/>
                    <w:left w:w="0" w:type="dxa"/>
                    <w:bottom w:w="0" w:type="dxa"/>
                    <w:right w:w="0" w:type="dxa"/>
                  </w:tcMar>
                  <w:vAlign w:val="center"/>
                </w:tcPr>
                <w:p w14:paraId="77132CF6">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排放浓度</w:t>
                  </w:r>
                </w:p>
                <w:p w14:paraId="35B0C15E">
                  <w:pPr>
                    <w:pStyle w:val="49"/>
                    <w:jc w:val="center"/>
                    <w:rPr>
                      <w:rFonts w:ascii="Times New Roman"/>
                      <w:b/>
                      <w:color w:val="7030A0"/>
                      <w:sz w:val="21"/>
                      <w:szCs w:val="21"/>
                    </w:rPr>
                  </w:pPr>
                  <w:r>
                    <w:rPr>
                      <w:rFonts w:ascii="Times New Roman"/>
                      <w:b/>
                      <w:color w:val="000000" w:themeColor="text1"/>
                      <w:sz w:val="21"/>
                      <w:szCs w:val="21"/>
                      <w14:textFill>
                        <w14:solidFill>
                          <w14:schemeClr w14:val="tx1"/>
                        </w14:solidFill>
                      </w14:textFill>
                    </w:rPr>
                    <w:t>mg/L</w:t>
                  </w:r>
                </w:p>
              </w:tc>
              <w:tc>
                <w:tcPr>
                  <w:tcW w:w="258" w:type="pct"/>
                  <w:vMerge w:val="continue"/>
                  <w:tcMar>
                    <w:top w:w="0" w:type="dxa"/>
                    <w:left w:w="0" w:type="dxa"/>
                    <w:bottom w:w="0" w:type="dxa"/>
                    <w:right w:w="0" w:type="dxa"/>
                  </w:tcMar>
                  <w:vAlign w:val="center"/>
                </w:tcPr>
                <w:p w14:paraId="58F7117B">
                  <w:pPr>
                    <w:pStyle w:val="49"/>
                    <w:ind w:firstLine="422"/>
                    <w:jc w:val="center"/>
                    <w:rPr>
                      <w:rFonts w:ascii="Times New Roman"/>
                      <w:b/>
                      <w:color w:val="000000" w:themeColor="text1"/>
                      <w:sz w:val="21"/>
                      <w:szCs w:val="21"/>
                      <w14:textFill>
                        <w14:solidFill>
                          <w14:schemeClr w14:val="tx1"/>
                        </w14:solidFill>
                      </w14:textFill>
                    </w:rPr>
                  </w:pPr>
                </w:p>
              </w:tc>
              <w:tc>
                <w:tcPr>
                  <w:tcW w:w="304" w:type="pct"/>
                  <w:vMerge w:val="continue"/>
                  <w:tcMar>
                    <w:top w:w="0" w:type="dxa"/>
                    <w:left w:w="0" w:type="dxa"/>
                    <w:bottom w:w="0" w:type="dxa"/>
                    <w:right w:w="0" w:type="dxa"/>
                  </w:tcMar>
                  <w:vAlign w:val="center"/>
                </w:tcPr>
                <w:p w14:paraId="19668FD3">
                  <w:pPr>
                    <w:pStyle w:val="49"/>
                    <w:ind w:firstLine="422"/>
                    <w:jc w:val="center"/>
                    <w:rPr>
                      <w:rFonts w:ascii="Times New Roman"/>
                      <w:b/>
                      <w:color w:val="000000" w:themeColor="text1"/>
                      <w:sz w:val="21"/>
                      <w:szCs w:val="21"/>
                      <w14:textFill>
                        <w14:solidFill>
                          <w14:schemeClr w14:val="tx1"/>
                        </w14:solidFill>
                      </w14:textFill>
                    </w:rPr>
                  </w:pPr>
                </w:p>
              </w:tc>
            </w:tr>
            <w:tr w14:paraId="4EDF4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Merge w:val="restart"/>
                  <w:tcMar>
                    <w:top w:w="0" w:type="dxa"/>
                    <w:left w:w="0" w:type="dxa"/>
                    <w:bottom w:w="0" w:type="dxa"/>
                    <w:right w:w="0" w:type="dxa"/>
                  </w:tcMar>
                  <w:vAlign w:val="center"/>
                </w:tcPr>
                <w:p w14:paraId="6B8FF0B5">
                  <w:pPr>
                    <w:pStyle w:val="49"/>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生活污水</w:t>
                  </w:r>
                  <w:r>
                    <w:rPr>
                      <w:rFonts w:hint="eastAsia" w:ascii="Times New Roman"/>
                      <w:bCs/>
                      <w:color w:val="000000" w:themeColor="text1"/>
                      <w:sz w:val="21"/>
                      <w:szCs w:val="21"/>
                      <w14:textFill>
                        <w14:solidFill>
                          <w14:schemeClr w14:val="tx1"/>
                        </w14:solidFill>
                      </w14:textFill>
                    </w:rPr>
                    <w:t>(697.20m</w:t>
                  </w:r>
                  <w:r>
                    <w:rPr>
                      <w:rFonts w:ascii="Times New Roman"/>
                      <w:bCs/>
                      <w:color w:val="000000" w:themeColor="text1"/>
                      <w:sz w:val="21"/>
                      <w:szCs w:val="21"/>
                      <w:vertAlign w:val="superscript"/>
                      <w14:textFill>
                        <w14:solidFill>
                          <w14:schemeClr w14:val="tx1"/>
                        </w14:solidFill>
                      </w14:textFill>
                    </w:rPr>
                    <w:t>3</w:t>
                  </w:r>
                  <w:r>
                    <w:rPr>
                      <w:rFonts w:ascii="Times New Roman"/>
                      <w:bCs/>
                      <w:color w:val="000000" w:themeColor="text1"/>
                      <w:sz w:val="21"/>
                      <w:szCs w:val="21"/>
                      <w14:textFill>
                        <w14:solidFill>
                          <w14:schemeClr w14:val="tx1"/>
                        </w14:solidFill>
                      </w14:textFill>
                    </w:rPr>
                    <w:t>/a</w:t>
                  </w:r>
                  <w:r>
                    <w:rPr>
                      <w:rFonts w:hint="eastAsia" w:ascii="Times New Roman"/>
                      <w:bCs/>
                      <w:color w:val="000000" w:themeColor="text1"/>
                      <w:sz w:val="21"/>
                      <w:szCs w:val="21"/>
                      <w14:textFill>
                        <w14:solidFill>
                          <w14:schemeClr w14:val="tx1"/>
                        </w14:solidFill>
                      </w14:textFill>
                    </w:rPr>
                    <w:t>)</w:t>
                  </w:r>
                </w:p>
              </w:tc>
              <w:tc>
                <w:tcPr>
                  <w:tcW w:w="433" w:type="pct"/>
                  <w:tcMar>
                    <w:top w:w="0" w:type="dxa"/>
                    <w:left w:w="0" w:type="dxa"/>
                    <w:bottom w:w="0" w:type="dxa"/>
                    <w:right w:w="0" w:type="dxa"/>
                  </w:tcMar>
                  <w:vAlign w:val="center"/>
                </w:tcPr>
                <w:p w14:paraId="0C122E64">
                  <w:pPr>
                    <w:widowControl/>
                    <w:jc w:val="center"/>
                    <w:rPr>
                      <w:color w:val="7030A0"/>
                      <w:szCs w:val="21"/>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p>
              </w:tc>
              <w:tc>
                <w:tcPr>
                  <w:tcW w:w="433" w:type="pct"/>
                  <w:tcMar>
                    <w:top w:w="0" w:type="dxa"/>
                    <w:left w:w="0" w:type="dxa"/>
                    <w:bottom w:w="0" w:type="dxa"/>
                    <w:right w:w="0" w:type="dxa"/>
                  </w:tcMar>
                  <w:vAlign w:val="center"/>
                </w:tcPr>
                <w:p w14:paraId="308A75B1">
                  <w:pPr>
                    <w:widowControl/>
                    <w:jc w:val="center"/>
                    <w:textAlignment w:val="center"/>
                    <w:rPr>
                      <w:color w:val="7030A0"/>
                      <w:szCs w:val="21"/>
                    </w:rPr>
                  </w:pPr>
                  <w:r>
                    <w:rPr>
                      <w:rFonts w:eastAsia="等线"/>
                      <w:color w:val="000000" w:themeColor="text1"/>
                      <w:szCs w:val="21"/>
                      <w14:textFill>
                        <w14:solidFill>
                          <w14:schemeClr w14:val="tx1"/>
                        </w14:solidFill>
                      </w14:textFill>
                    </w:rPr>
                    <w:t>0.174</w:t>
                  </w:r>
                </w:p>
              </w:tc>
              <w:tc>
                <w:tcPr>
                  <w:tcW w:w="520" w:type="pct"/>
                  <w:tcMar>
                    <w:top w:w="0" w:type="dxa"/>
                    <w:left w:w="0" w:type="dxa"/>
                    <w:bottom w:w="0" w:type="dxa"/>
                    <w:right w:w="0" w:type="dxa"/>
                  </w:tcMar>
                  <w:vAlign w:val="center"/>
                </w:tcPr>
                <w:p w14:paraId="4AD1C617">
                  <w:pPr>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250</w:t>
                  </w:r>
                </w:p>
              </w:tc>
              <w:tc>
                <w:tcPr>
                  <w:tcW w:w="434" w:type="pct"/>
                  <w:vMerge w:val="restart"/>
                  <w:tcMar>
                    <w:top w:w="0" w:type="dxa"/>
                    <w:left w:w="0" w:type="dxa"/>
                    <w:bottom w:w="0" w:type="dxa"/>
                    <w:right w:w="0" w:type="dxa"/>
                  </w:tcMar>
                  <w:vAlign w:val="center"/>
                </w:tcPr>
                <w:p w14:paraId="6CA9426F">
                  <w:pPr>
                    <w:pStyle w:val="49"/>
                    <w:jc w:val="center"/>
                    <w:rPr>
                      <w:rFonts w:ascii="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经“隔油隔渣</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三级化粪池”</w:t>
                  </w:r>
                </w:p>
              </w:tc>
              <w:tc>
                <w:tcPr>
                  <w:tcW w:w="434" w:type="pct"/>
                  <w:vMerge w:val="restart"/>
                  <w:tcMar>
                    <w:top w:w="0" w:type="dxa"/>
                    <w:left w:w="0" w:type="dxa"/>
                    <w:bottom w:w="0" w:type="dxa"/>
                    <w:right w:w="0" w:type="dxa"/>
                  </w:tcMar>
                  <w:vAlign w:val="center"/>
                </w:tcPr>
                <w:p w14:paraId="3466939C">
                  <w:pPr>
                    <w:pStyle w:val="49"/>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w:t>
                  </w:r>
                </w:p>
              </w:tc>
              <w:tc>
                <w:tcPr>
                  <w:tcW w:w="434" w:type="pct"/>
                  <w:vMerge w:val="restart"/>
                  <w:tcMar>
                    <w:top w:w="0" w:type="dxa"/>
                    <w:left w:w="0" w:type="dxa"/>
                    <w:bottom w:w="0" w:type="dxa"/>
                    <w:right w:w="0" w:type="dxa"/>
                  </w:tcMar>
                  <w:vAlign w:val="center"/>
                </w:tcPr>
                <w:p w14:paraId="5E39A81A">
                  <w:pPr>
                    <w:pStyle w:val="49"/>
                    <w:jc w:val="center"/>
                    <w:rPr>
                      <w:rFonts w:ascii="Times New Roman"/>
                      <w:color w:val="7030A0"/>
                      <w:sz w:val="21"/>
                      <w:szCs w:val="21"/>
                    </w:rPr>
                  </w:pPr>
                  <w:r>
                    <w:rPr>
                      <w:rFonts w:ascii="Times New Roman"/>
                      <w:color w:val="000000" w:themeColor="text1"/>
                      <w:sz w:val="21"/>
                      <w:szCs w:val="21"/>
                      <w14:textFill>
                        <w14:solidFill>
                          <w14:schemeClr w14:val="tx1"/>
                        </w14:solidFill>
                      </w14:textFill>
                    </w:rPr>
                    <w:t>是</w:t>
                  </w:r>
                </w:p>
              </w:tc>
              <w:tc>
                <w:tcPr>
                  <w:tcW w:w="433" w:type="pct"/>
                  <w:vMerge w:val="restart"/>
                  <w:tcMar>
                    <w:top w:w="0" w:type="dxa"/>
                    <w:left w:w="0" w:type="dxa"/>
                    <w:bottom w:w="0" w:type="dxa"/>
                    <w:right w:w="0" w:type="dxa"/>
                  </w:tcMar>
                  <w:vAlign w:val="center"/>
                </w:tcPr>
                <w:p w14:paraId="64F2E4E1">
                  <w:pPr>
                    <w:pStyle w:val="49"/>
                    <w:jc w:val="center"/>
                    <w:rPr>
                      <w:rFonts w:ascii="Times New Roman"/>
                      <w:color w:val="7030A0"/>
                      <w:sz w:val="21"/>
                      <w:szCs w:val="21"/>
                    </w:rPr>
                  </w:pPr>
                  <w:r>
                    <w:rPr>
                      <w:rFonts w:hint="eastAsia" w:ascii="Times New Roman"/>
                      <w:bCs/>
                      <w:color w:val="000000" w:themeColor="text1"/>
                      <w:sz w:val="21"/>
                      <w:szCs w:val="21"/>
                      <w14:textFill>
                        <w14:solidFill>
                          <w14:schemeClr w14:val="tx1"/>
                        </w14:solidFill>
                      </w14:textFill>
                    </w:rPr>
                    <w:t>697.20</w:t>
                  </w:r>
                </w:p>
              </w:tc>
              <w:tc>
                <w:tcPr>
                  <w:tcW w:w="369" w:type="pct"/>
                  <w:tcMar>
                    <w:top w:w="0" w:type="dxa"/>
                    <w:left w:w="0" w:type="dxa"/>
                    <w:bottom w:w="0" w:type="dxa"/>
                    <w:right w:w="0" w:type="dxa"/>
                  </w:tcMar>
                  <w:vAlign w:val="center"/>
                </w:tcPr>
                <w:p w14:paraId="55437A1B">
                  <w:pPr>
                    <w:widowControl/>
                    <w:jc w:val="center"/>
                    <w:textAlignment w:val="center"/>
                    <w:rPr>
                      <w:color w:val="7030A0"/>
                      <w:szCs w:val="21"/>
                    </w:rPr>
                  </w:pPr>
                  <w:r>
                    <w:rPr>
                      <w:rFonts w:eastAsia="等线"/>
                      <w:color w:val="000000" w:themeColor="text1"/>
                      <w:szCs w:val="21"/>
                      <w14:textFill>
                        <w14:solidFill>
                          <w14:schemeClr w14:val="tx1"/>
                        </w14:solidFill>
                      </w14:textFill>
                    </w:rPr>
                    <w:t>0.035</w:t>
                  </w:r>
                </w:p>
              </w:tc>
              <w:tc>
                <w:tcPr>
                  <w:tcW w:w="329" w:type="pct"/>
                  <w:tcMar>
                    <w:top w:w="0" w:type="dxa"/>
                    <w:left w:w="0" w:type="dxa"/>
                    <w:bottom w:w="0" w:type="dxa"/>
                    <w:right w:w="0" w:type="dxa"/>
                  </w:tcMar>
                  <w:vAlign w:val="center"/>
                </w:tcPr>
                <w:p w14:paraId="18B04D01">
                  <w:pPr>
                    <w:widowControl/>
                    <w:jc w:val="center"/>
                    <w:textAlignment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50</w:t>
                  </w:r>
                </w:p>
              </w:tc>
              <w:tc>
                <w:tcPr>
                  <w:tcW w:w="258" w:type="pct"/>
                  <w:vMerge w:val="restart"/>
                  <w:tcMar>
                    <w:top w:w="0" w:type="dxa"/>
                    <w:left w:w="0" w:type="dxa"/>
                    <w:bottom w:w="0" w:type="dxa"/>
                    <w:right w:w="0" w:type="dxa"/>
                  </w:tcMar>
                  <w:vAlign w:val="center"/>
                </w:tcPr>
                <w:p w14:paraId="3E86E81E">
                  <w:pPr>
                    <w:pStyle w:val="49"/>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间接排放</w:t>
                  </w:r>
                </w:p>
              </w:tc>
              <w:tc>
                <w:tcPr>
                  <w:tcW w:w="304" w:type="pct"/>
                  <w:vMerge w:val="restart"/>
                  <w:tcMar>
                    <w:top w:w="0" w:type="dxa"/>
                    <w:left w:w="0" w:type="dxa"/>
                    <w:bottom w:w="0" w:type="dxa"/>
                    <w:right w:w="0" w:type="dxa"/>
                  </w:tcMar>
                  <w:vAlign w:val="center"/>
                </w:tcPr>
                <w:p w14:paraId="5883AF0C">
                  <w:pPr>
                    <w:pStyle w:val="49"/>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进入城市污水处理厂</w:t>
                  </w:r>
                </w:p>
              </w:tc>
            </w:tr>
            <w:tr w14:paraId="18735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Merge w:val="continue"/>
                  <w:tcMar>
                    <w:top w:w="0" w:type="dxa"/>
                    <w:left w:w="0" w:type="dxa"/>
                    <w:bottom w:w="0" w:type="dxa"/>
                    <w:right w:w="0" w:type="dxa"/>
                  </w:tcMar>
                  <w:vAlign w:val="center"/>
                </w:tcPr>
                <w:p w14:paraId="67654B62">
                  <w:pPr>
                    <w:pStyle w:val="49"/>
                    <w:ind w:firstLine="422"/>
                    <w:jc w:val="center"/>
                    <w:rPr>
                      <w:rFonts w:ascii="Times New Roman"/>
                      <w:b/>
                      <w:color w:val="000000" w:themeColor="text1"/>
                      <w:sz w:val="21"/>
                      <w:szCs w:val="21"/>
                      <w14:textFill>
                        <w14:solidFill>
                          <w14:schemeClr w14:val="tx1"/>
                        </w14:solidFill>
                      </w14:textFill>
                    </w:rPr>
                  </w:pPr>
                </w:p>
              </w:tc>
              <w:tc>
                <w:tcPr>
                  <w:tcW w:w="433" w:type="pct"/>
                  <w:tcMar>
                    <w:top w:w="0" w:type="dxa"/>
                    <w:left w:w="0" w:type="dxa"/>
                    <w:bottom w:w="0" w:type="dxa"/>
                    <w:right w:w="0" w:type="dxa"/>
                  </w:tcMar>
                  <w:vAlign w:val="center"/>
                </w:tcPr>
                <w:p w14:paraId="3409DE05">
                  <w:pPr>
                    <w:widowControl/>
                    <w:jc w:val="center"/>
                    <w:rPr>
                      <w:color w:val="7030A0"/>
                      <w:szCs w:val="21"/>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433" w:type="pct"/>
                  <w:tcMar>
                    <w:top w:w="0" w:type="dxa"/>
                    <w:left w:w="0" w:type="dxa"/>
                    <w:bottom w:w="0" w:type="dxa"/>
                    <w:right w:w="0" w:type="dxa"/>
                  </w:tcMar>
                  <w:vAlign w:val="center"/>
                </w:tcPr>
                <w:p w14:paraId="79974379">
                  <w:pPr>
                    <w:widowControl/>
                    <w:jc w:val="center"/>
                    <w:textAlignment w:val="center"/>
                    <w:rPr>
                      <w:color w:val="7030A0"/>
                      <w:szCs w:val="21"/>
                    </w:rPr>
                  </w:pPr>
                  <w:r>
                    <w:rPr>
                      <w:rFonts w:eastAsia="等线"/>
                      <w:color w:val="000000" w:themeColor="text1"/>
                      <w:szCs w:val="21"/>
                      <w14:textFill>
                        <w14:solidFill>
                          <w14:schemeClr w14:val="tx1"/>
                        </w14:solidFill>
                      </w14:textFill>
                    </w:rPr>
                    <w:t>0.105</w:t>
                  </w:r>
                </w:p>
              </w:tc>
              <w:tc>
                <w:tcPr>
                  <w:tcW w:w="520" w:type="pct"/>
                  <w:tcMar>
                    <w:top w:w="0" w:type="dxa"/>
                    <w:left w:w="0" w:type="dxa"/>
                    <w:bottom w:w="0" w:type="dxa"/>
                    <w:right w:w="0" w:type="dxa"/>
                  </w:tcMar>
                  <w:vAlign w:val="center"/>
                </w:tcPr>
                <w:p w14:paraId="3B047B1C">
                  <w:pPr>
                    <w:jc w:val="center"/>
                    <w:rPr>
                      <w:color w:val="7030A0"/>
                      <w:szCs w:val="21"/>
                    </w:rPr>
                  </w:pPr>
                  <w:r>
                    <w:rPr>
                      <w:rFonts w:eastAsia="等线"/>
                      <w:color w:val="000000" w:themeColor="text1"/>
                      <w:szCs w:val="21"/>
                      <w14:textFill>
                        <w14:solidFill>
                          <w14:schemeClr w14:val="tx1"/>
                        </w14:solidFill>
                      </w14:textFill>
                    </w:rPr>
                    <w:t>150</w:t>
                  </w:r>
                </w:p>
              </w:tc>
              <w:tc>
                <w:tcPr>
                  <w:tcW w:w="434" w:type="pct"/>
                  <w:vMerge w:val="continue"/>
                  <w:tcMar>
                    <w:top w:w="0" w:type="dxa"/>
                    <w:left w:w="0" w:type="dxa"/>
                    <w:bottom w:w="0" w:type="dxa"/>
                    <w:right w:w="0" w:type="dxa"/>
                  </w:tcMar>
                  <w:vAlign w:val="center"/>
                </w:tcPr>
                <w:p w14:paraId="35F3A848">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5F8B9417">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08BD3091">
                  <w:pPr>
                    <w:pStyle w:val="49"/>
                    <w:rPr>
                      <w:rFonts w:ascii="Times New Roman"/>
                      <w:color w:val="7030A0"/>
                      <w:sz w:val="21"/>
                      <w:szCs w:val="21"/>
                    </w:rPr>
                  </w:pPr>
                </w:p>
              </w:tc>
              <w:tc>
                <w:tcPr>
                  <w:tcW w:w="433" w:type="pct"/>
                  <w:vMerge w:val="continue"/>
                  <w:tcMar>
                    <w:top w:w="0" w:type="dxa"/>
                    <w:left w:w="0" w:type="dxa"/>
                    <w:bottom w:w="0" w:type="dxa"/>
                    <w:right w:w="0" w:type="dxa"/>
                  </w:tcMar>
                  <w:vAlign w:val="center"/>
                </w:tcPr>
                <w:p w14:paraId="5CFCE7F7">
                  <w:pPr>
                    <w:pStyle w:val="49"/>
                    <w:rPr>
                      <w:rFonts w:ascii="Times New Roman"/>
                      <w:color w:val="7030A0"/>
                      <w:sz w:val="21"/>
                      <w:szCs w:val="21"/>
                    </w:rPr>
                  </w:pPr>
                </w:p>
              </w:tc>
              <w:tc>
                <w:tcPr>
                  <w:tcW w:w="369" w:type="pct"/>
                  <w:tcMar>
                    <w:top w:w="0" w:type="dxa"/>
                    <w:left w:w="0" w:type="dxa"/>
                    <w:bottom w:w="0" w:type="dxa"/>
                    <w:right w:w="0" w:type="dxa"/>
                  </w:tcMar>
                  <w:vAlign w:val="center"/>
                </w:tcPr>
                <w:p w14:paraId="6D5BDEE5">
                  <w:pPr>
                    <w:widowControl/>
                    <w:jc w:val="center"/>
                    <w:textAlignment w:val="center"/>
                    <w:rPr>
                      <w:color w:val="7030A0"/>
                      <w:szCs w:val="21"/>
                    </w:rPr>
                  </w:pPr>
                  <w:r>
                    <w:rPr>
                      <w:rFonts w:eastAsia="等线"/>
                      <w:color w:val="000000" w:themeColor="text1"/>
                      <w:szCs w:val="21"/>
                      <w14:textFill>
                        <w14:solidFill>
                          <w14:schemeClr w14:val="tx1"/>
                        </w14:solidFill>
                      </w14:textFill>
                    </w:rPr>
                    <w:t>0.007</w:t>
                  </w:r>
                </w:p>
              </w:tc>
              <w:tc>
                <w:tcPr>
                  <w:tcW w:w="329" w:type="pct"/>
                  <w:tcMar>
                    <w:top w:w="0" w:type="dxa"/>
                    <w:left w:w="0" w:type="dxa"/>
                    <w:bottom w:w="0" w:type="dxa"/>
                    <w:right w:w="0" w:type="dxa"/>
                  </w:tcMar>
                  <w:vAlign w:val="center"/>
                </w:tcPr>
                <w:p w14:paraId="7882F42B">
                  <w:pPr>
                    <w:widowControl/>
                    <w:jc w:val="center"/>
                    <w:textAlignment w:val="center"/>
                    <w:rPr>
                      <w:color w:val="7030A0"/>
                      <w:szCs w:val="21"/>
                    </w:rPr>
                  </w:pPr>
                  <w:r>
                    <w:rPr>
                      <w:rFonts w:eastAsia="等线"/>
                      <w:color w:val="000000" w:themeColor="text1"/>
                      <w:szCs w:val="21"/>
                      <w14:textFill>
                        <w14:solidFill>
                          <w14:schemeClr w14:val="tx1"/>
                        </w14:solidFill>
                      </w14:textFill>
                    </w:rPr>
                    <w:t>10</w:t>
                  </w:r>
                </w:p>
              </w:tc>
              <w:tc>
                <w:tcPr>
                  <w:tcW w:w="258" w:type="pct"/>
                  <w:vMerge w:val="continue"/>
                  <w:tcMar>
                    <w:top w:w="0" w:type="dxa"/>
                    <w:left w:w="0" w:type="dxa"/>
                    <w:bottom w:w="0" w:type="dxa"/>
                    <w:right w:w="0" w:type="dxa"/>
                  </w:tcMar>
                  <w:vAlign w:val="center"/>
                </w:tcPr>
                <w:p w14:paraId="52DE14EC">
                  <w:pPr>
                    <w:pStyle w:val="49"/>
                    <w:jc w:val="center"/>
                    <w:rPr>
                      <w:rFonts w:ascii="Times New Roman"/>
                      <w:color w:val="000000" w:themeColor="text1"/>
                      <w:sz w:val="21"/>
                      <w:szCs w:val="21"/>
                      <w14:textFill>
                        <w14:solidFill>
                          <w14:schemeClr w14:val="tx1"/>
                        </w14:solidFill>
                      </w14:textFill>
                    </w:rPr>
                  </w:pPr>
                </w:p>
              </w:tc>
              <w:tc>
                <w:tcPr>
                  <w:tcW w:w="304" w:type="pct"/>
                  <w:vMerge w:val="continue"/>
                  <w:tcMar>
                    <w:top w:w="0" w:type="dxa"/>
                    <w:left w:w="0" w:type="dxa"/>
                    <w:bottom w:w="0" w:type="dxa"/>
                    <w:right w:w="0" w:type="dxa"/>
                  </w:tcMar>
                  <w:vAlign w:val="center"/>
                </w:tcPr>
                <w:p w14:paraId="2CD592F4">
                  <w:pPr>
                    <w:pStyle w:val="49"/>
                    <w:jc w:val="center"/>
                    <w:rPr>
                      <w:rFonts w:ascii="Times New Roman"/>
                      <w:color w:val="000000" w:themeColor="text1"/>
                      <w:sz w:val="21"/>
                      <w:szCs w:val="21"/>
                      <w14:textFill>
                        <w14:solidFill>
                          <w14:schemeClr w14:val="tx1"/>
                        </w14:solidFill>
                      </w14:textFill>
                    </w:rPr>
                  </w:pPr>
                </w:p>
              </w:tc>
            </w:tr>
            <w:tr w14:paraId="6D07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Merge w:val="continue"/>
                  <w:tcMar>
                    <w:top w:w="0" w:type="dxa"/>
                    <w:left w:w="0" w:type="dxa"/>
                    <w:bottom w:w="0" w:type="dxa"/>
                    <w:right w:w="0" w:type="dxa"/>
                  </w:tcMar>
                  <w:vAlign w:val="center"/>
                </w:tcPr>
                <w:p w14:paraId="1D2C282E">
                  <w:pPr>
                    <w:pStyle w:val="49"/>
                    <w:ind w:firstLine="422"/>
                    <w:jc w:val="center"/>
                    <w:rPr>
                      <w:rFonts w:ascii="Times New Roman"/>
                      <w:b/>
                      <w:color w:val="000000" w:themeColor="text1"/>
                      <w:sz w:val="21"/>
                      <w:szCs w:val="21"/>
                      <w14:textFill>
                        <w14:solidFill>
                          <w14:schemeClr w14:val="tx1"/>
                        </w14:solidFill>
                      </w14:textFill>
                    </w:rPr>
                  </w:pPr>
                </w:p>
              </w:tc>
              <w:tc>
                <w:tcPr>
                  <w:tcW w:w="433" w:type="pct"/>
                  <w:tcMar>
                    <w:top w:w="0" w:type="dxa"/>
                    <w:left w:w="0" w:type="dxa"/>
                    <w:bottom w:w="0" w:type="dxa"/>
                    <w:right w:w="0" w:type="dxa"/>
                  </w:tcMar>
                  <w:vAlign w:val="center"/>
                </w:tcPr>
                <w:p w14:paraId="420E3CBC">
                  <w:pPr>
                    <w:widowControl/>
                    <w:jc w:val="center"/>
                    <w:rPr>
                      <w:color w:val="7030A0"/>
                      <w:szCs w:val="21"/>
                    </w:rPr>
                  </w:pPr>
                  <w:r>
                    <w:rPr>
                      <w:color w:val="000000" w:themeColor="text1"/>
                      <w:szCs w:val="21"/>
                      <w14:textFill>
                        <w14:solidFill>
                          <w14:schemeClr w14:val="tx1"/>
                        </w14:solidFill>
                      </w14:textFill>
                    </w:rPr>
                    <w:t>SS</w:t>
                  </w:r>
                </w:p>
              </w:tc>
              <w:tc>
                <w:tcPr>
                  <w:tcW w:w="433" w:type="pct"/>
                  <w:tcMar>
                    <w:top w:w="0" w:type="dxa"/>
                    <w:left w:w="0" w:type="dxa"/>
                    <w:bottom w:w="0" w:type="dxa"/>
                    <w:right w:w="0" w:type="dxa"/>
                  </w:tcMar>
                  <w:vAlign w:val="center"/>
                </w:tcPr>
                <w:p w14:paraId="373CD1D6">
                  <w:pPr>
                    <w:widowControl/>
                    <w:jc w:val="center"/>
                    <w:textAlignment w:val="center"/>
                    <w:rPr>
                      <w:color w:val="7030A0"/>
                      <w:szCs w:val="21"/>
                    </w:rPr>
                  </w:pPr>
                  <w:r>
                    <w:rPr>
                      <w:rFonts w:eastAsia="等线"/>
                      <w:color w:val="000000" w:themeColor="text1"/>
                      <w:szCs w:val="21"/>
                      <w14:textFill>
                        <w14:solidFill>
                          <w14:schemeClr w14:val="tx1"/>
                        </w14:solidFill>
                      </w14:textFill>
                    </w:rPr>
                    <w:t>0.105</w:t>
                  </w:r>
                </w:p>
              </w:tc>
              <w:tc>
                <w:tcPr>
                  <w:tcW w:w="520" w:type="pct"/>
                  <w:tcMar>
                    <w:top w:w="0" w:type="dxa"/>
                    <w:left w:w="0" w:type="dxa"/>
                    <w:bottom w:w="0" w:type="dxa"/>
                    <w:right w:w="0" w:type="dxa"/>
                  </w:tcMar>
                  <w:vAlign w:val="center"/>
                </w:tcPr>
                <w:p w14:paraId="334ADAE8">
                  <w:pPr>
                    <w:jc w:val="center"/>
                    <w:rPr>
                      <w:color w:val="7030A0"/>
                      <w:szCs w:val="21"/>
                    </w:rPr>
                  </w:pPr>
                  <w:r>
                    <w:rPr>
                      <w:rFonts w:eastAsia="等线"/>
                      <w:color w:val="000000" w:themeColor="text1"/>
                      <w:szCs w:val="21"/>
                      <w14:textFill>
                        <w14:solidFill>
                          <w14:schemeClr w14:val="tx1"/>
                        </w14:solidFill>
                      </w14:textFill>
                    </w:rPr>
                    <w:t>150</w:t>
                  </w:r>
                </w:p>
              </w:tc>
              <w:tc>
                <w:tcPr>
                  <w:tcW w:w="434" w:type="pct"/>
                  <w:vMerge w:val="continue"/>
                  <w:tcMar>
                    <w:top w:w="0" w:type="dxa"/>
                    <w:left w:w="0" w:type="dxa"/>
                    <w:bottom w:w="0" w:type="dxa"/>
                    <w:right w:w="0" w:type="dxa"/>
                  </w:tcMar>
                  <w:vAlign w:val="center"/>
                </w:tcPr>
                <w:p w14:paraId="59BCB9CA">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38306D79">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34E494CC">
                  <w:pPr>
                    <w:pStyle w:val="49"/>
                    <w:rPr>
                      <w:rFonts w:ascii="Times New Roman"/>
                      <w:color w:val="7030A0"/>
                      <w:sz w:val="21"/>
                      <w:szCs w:val="21"/>
                    </w:rPr>
                  </w:pPr>
                </w:p>
              </w:tc>
              <w:tc>
                <w:tcPr>
                  <w:tcW w:w="433" w:type="pct"/>
                  <w:vMerge w:val="continue"/>
                  <w:tcMar>
                    <w:top w:w="0" w:type="dxa"/>
                    <w:left w:w="0" w:type="dxa"/>
                    <w:bottom w:w="0" w:type="dxa"/>
                    <w:right w:w="0" w:type="dxa"/>
                  </w:tcMar>
                  <w:vAlign w:val="center"/>
                </w:tcPr>
                <w:p w14:paraId="402D27C8">
                  <w:pPr>
                    <w:pStyle w:val="49"/>
                    <w:rPr>
                      <w:rFonts w:ascii="Times New Roman"/>
                      <w:color w:val="7030A0"/>
                      <w:sz w:val="21"/>
                      <w:szCs w:val="21"/>
                    </w:rPr>
                  </w:pPr>
                </w:p>
              </w:tc>
              <w:tc>
                <w:tcPr>
                  <w:tcW w:w="369" w:type="pct"/>
                  <w:tcMar>
                    <w:top w:w="0" w:type="dxa"/>
                    <w:left w:w="0" w:type="dxa"/>
                    <w:bottom w:w="0" w:type="dxa"/>
                    <w:right w:w="0" w:type="dxa"/>
                  </w:tcMar>
                  <w:vAlign w:val="center"/>
                </w:tcPr>
                <w:p w14:paraId="1F5BFD0C">
                  <w:pPr>
                    <w:widowControl/>
                    <w:jc w:val="center"/>
                    <w:textAlignment w:val="center"/>
                    <w:rPr>
                      <w:color w:val="7030A0"/>
                      <w:szCs w:val="21"/>
                    </w:rPr>
                  </w:pPr>
                  <w:r>
                    <w:rPr>
                      <w:rFonts w:eastAsia="等线"/>
                      <w:color w:val="000000" w:themeColor="text1"/>
                      <w:szCs w:val="21"/>
                      <w14:textFill>
                        <w14:solidFill>
                          <w14:schemeClr w14:val="tx1"/>
                        </w14:solidFill>
                      </w14:textFill>
                    </w:rPr>
                    <w:t>0.007</w:t>
                  </w:r>
                </w:p>
              </w:tc>
              <w:tc>
                <w:tcPr>
                  <w:tcW w:w="329" w:type="pct"/>
                  <w:tcMar>
                    <w:top w:w="0" w:type="dxa"/>
                    <w:left w:w="0" w:type="dxa"/>
                    <w:bottom w:w="0" w:type="dxa"/>
                    <w:right w:w="0" w:type="dxa"/>
                  </w:tcMar>
                  <w:vAlign w:val="center"/>
                </w:tcPr>
                <w:p w14:paraId="27078396">
                  <w:pPr>
                    <w:widowControl/>
                    <w:jc w:val="center"/>
                    <w:textAlignment w:val="center"/>
                    <w:rPr>
                      <w:color w:val="7030A0"/>
                      <w:szCs w:val="21"/>
                    </w:rPr>
                  </w:pPr>
                  <w:r>
                    <w:rPr>
                      <w:rFonts w:eastAsia="等线"/>
                      <w:color w:val="000000" w:themeColor="text1"/>
                      <w:szCs w:val="21"/>
                      <w14:textFill>
                        <w14:solidFill>
                          <w14:schemeClr w14:val="tx1"/>
                        </w14:solidFill>
                      </w14:textFill>
                    </w:rPr>
                    <w:t>10</w:t>
                  </w:r>
                </w:p>
              </w:tc>
              <w:tc>
                <w:tcPr>
                  <w:tcW w:w="258" w:type="pct"/>
                  <w:vMerge w:val="continue"/>
                  <w:tcMar>
                    <w:top w:w="0" w:type="dxa"/>
                    <w:left w:w="0" w:type="dxa"/>
                    <w:bottom w:w="0" w:type="dxa"/>
                    <w:right w:w="0" w:type="dxa"/>
                  </w:tcMar>
                  <w:vAlign w:val="center"/>
                </w:tcPr>
                <w:p w14:paraId="664FDD3E">
                  <w:pPr>
                    <w:pStyle w:val="49"/>
                    <w:jc w:val="center"/>
                    <w:rPr>
                      <w:rFonts w:ascii="Times New Roman"/>
                      <w:color w:val="000000" w:themeColor="text1"/>
                      <w:sz w:val="21"/>
                      <w:szCs w:val="21"/>
                      <w14:textFill>
                        <w14:solidFill>
                          <w14:schemeClr w14:val="tx1"/>
                        </w14:solidFill>
                      </w14:textFill>
                    </w:rPr>
                  </w:pPr>
                </w:p>
              </w:tc>
              <w:tc>
                <w:tcPr>
                  <w:tcW w:w="304" w:type="pct"/>
                  <w:vMerge w:val="continue"/>
                  <w:tcMar>
                    <w:top w:w="0" w:type="dxa"/>
                    <w:left w:w="0" w:type="dxa"/>
                    <w:bottom w:w="0" w:type="dxa"/>
                    <w:right w:w="0" w:type="dxa"/>
                  </w:tcMar>
                  <w:vAlign w:val="center"/>
                </w:tcPr>
                <w:p w14:paraId="20E785DE">
                  <w:pPr>
                    <w:pStyle w:val="49"/>
                    <w:jc w:val="center"/>
                    <w:rPr>
                      <w:rFonts w:ascii="Times New Roman"/>
                      <w:color w:val="000000" w:themeColor="text1"/>
                      <w:sz w:val="21"/>
                      <w:szCs w:val="21"/>
                      <w14:textFill>
                        <w14:solidFill>
                          <w14:schemeClr w14:val="tx1"/>
                        </w14:solidFill>
                      </w14:textFill>
                    </w:rPr>
                  </w:pPr>
                </w:p>
              </w:tc>
            </w:tr>
            <w:tr w14:paraId="08161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Merge w:val="continue"/>
                  <w:tcMar>
                    <w:top w:w="0" w:type="dxa"/>
                    <w:left w:w="0" w:type="dxa"/>
                    <w:bottom w:w="0" w:type="dxa"/>
                    <w:right w:w="0" w:type="dxa"/>
                  </w:tcMar>
                  <w:vAlign w:val="center"/>
                </w:tcPr>
                <w:p w14:paraId="4C9B5624">
                  <w:pPr>
                    <w:pStyle w:val="49"/>
                    <w:ind w:firstLine="422"/>
                    <w:jc w:val="center"/>
                    <w:rPr>
                      <w:rFonts w:ascii="Times New Roman"/>
                      <w:b/>
                      <w:color w:val="000000" w:themeColor="text1"/>
                      <w:sz w:val="21"/>
                      <w:szCs w:val="21"/>
                      <w14:textFill>
                        <w14:solidFill>
                          <w14:schemeClr w14:val="tx1"/>
                        </w14:solidFill>
                      </w14:textFill>
                    </w:rPr>
                  </w:pPr>
                </w:p>
              </w:tc>
              <w:tc>
                <w:tcPr>
                  <w:tcW w:w="433" w:type="pct"/>
                  <w:tcMar>
                    <w:top w:w="0" w:type="dxa"/>
                    <w:left w:w="0" w:type="dxa"/>
                    <w:bottom w:w="0" w:type="dxa"/>
                    <w:right w:w="0" w:type="dxa"/>
                  </w:tcMar>
                  <w:vAlign w:val="center"/>
                </w:tcPr>
                <w:p w14:paraId="7E4478B8">
                  <w:pPr>
                    <w:widowControl/>
                    <w:jc w:val="center"/>
                    <w:rPr>
                      <w:color w:val="7030A0"/>
                      <w:szCs w:val="21"/>
                    </w:rPr>
                  </w:pPr>
                  <w:r>
                    <w:rPr>
                      <w:color w:val="000000" w:themeColor="text1"/>
                      <w:szCs w:val="21"/>
                      <w14:textFill>
                        <w14:solidFill>
                          <w14:schemeClr w14:val="tx1"/>
                        </w14:solidFill>
                      </w14:textFill>
                    </w:rPr>
                    <w:t>氨氮</w:t>
                  </w:r>
                </w:p>
              </w:tc>
              <w:tc>
                <w:tcPr>
                  <w:tcW w:w="433" w:type="pct"/>
                  <w:tcMar>
                    <w:top w:w="0" w:type="dxa"/>
                    <w:left w:w="0" w:type="dxa"/>
                    <w:bottom w:w="0" w:type="dxa"/>
                    <w:right w:w="0" w:type="dxa"/>
                  </w:tcMar>
                  <w:vAlign w:val="center"/>
                </w:tcPr>
                <w:p w14:paraId="23D81C4A">
                  <w:pPr>
                    <w:widowControl/>
                    <w:jc w:val="center"/>
                    <w:textAlignment w:val="center"/>
                    <w:rPr>
                      <w:color w:val="7030A0"/>
                      <w:szCs w:val="21"/>
                    </w:rPr>
                  </w:pPr>
                  <w:r>
                    <w:rPr>
                      <w:rFonts w:eastAsia="等线"/>
                      <w:color w:val="000000" w:themeColor="text1"/>
                      <w:szCs w:val="21"/>
                      <w14:textFill>
                        <w14:solidFill>
                          <w14:schemeClr w14:val="tx1"/>
                        </w14:solidFill>
                      </w14:textFill>
                    </w:rPr>
                    <w:t>0.021</w:t>
                  </w:r>
                </w:p>
              </w:tc>
              <w:tc>
                <w:tcPr>
                  <w:tcW w:w="520" w:type="pct"/>
                  <w:tcMar>
                    <w:top w:w="0" w:type="dxa"/>
                    <w:left w:w="0" w:type="dxa"/>
                    <w:bottom w:w="0" w:type="dxa"/>
                    <w:right w:w="0" w:type="dxa"/>
                  </w:tcMar>
                  <w:vAlign w:val="center"/>
                </w:tcPr>
                <w:p w14:paraId="34C1F6A9">
                  <w:pPr>
                    <w:jc w:val="center"/>
                    <w:rPr>
                      <w:color w:val="7030A0"/>
                      <w:szCs w:val="21"/>
                    </w:rPr>
                  </w:pPr>
                  <w:r>
                    <w:rPr>
                      <w:rFonts w:eastAsia="等线"/>
                      <w:color w:val="000000" w:themeColor="text1"/>
                      <w:szCs w:val="21"/>
                      <w14:textFill>
                        <w14:solidFill>
                          <w14:schemeClr w14:val="tx1"/>
                        </w14:solidFill>
                      </w14:textFill>
                    </w:rPr>
                    <w:t>30</w:t>
                  </w:r>
                </w:p>
              </w:tc>
              <w:tc>
                <w:tcPr>
                  <w:tcW w:w="434" w:type="pct"/>
                  <w:vMerge w:val="continue"/>
                  <w:tcMar>
                    <w:top w:w="0" w:type="dxa"/>
                    <w:left w:w="0" w:type="dxa"/>
                    <w:bottom w:w="0" w:type="dxa"/>
                    <w:right w:w="0" w:type="dxa"/>
                  </w:tcMar>
                  <w:vAlign w:val="center"/>
                </w:tcPr>
                <w:p w14:paraId="10207894">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48BE8EAC">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51742C35">
                  <w:pPr>
                    <w:pStyle w:val="49"/>
                    <w:rPr>
                      <w:rFonts w:ascii="Times New Roman"/>
                      <w:color w:val="7030A0"/>
                      <w:sz w:val="21"/>
                      <w:szCs w:val="21"/>
                    </w:rPr>
                  </w:pPr>
                </w:p>
              </w:tc>
              <w:tc>
                <w:tcPr>
                  <w:tcW w:w="433" w:type="pct"/>
                  <w:vMerge w:val="continue"/>
                  <w:tcMar>
                    <w:top w:w="0" w:type="dxa"/>
                    <w:left w:w="0" w:type="dxa"/>
                    <w:bottom w:w="0" w:type="dxa"/>
                    <w:right w:w="0" w:type="dxa"/>
                  </w:tcMar>
                  <w:vAlign w:val="center"/>
                </w:tcPr>
                <w:p w14:paraId="70D0D148">
                  <w:pPr>
                    <w:pStyle w:val="49"/>
                    <w:rPr>
                      <w:rFonts w:ascii="Times New Roman"/>
                      <w:color w:val="7030A0"/>
                      <w:sz w:val="21"/>
                      <w:szCs w:val="21"/>
                    </w:rPr>
                  </w:pPr>
                </w:p>
              </w:tc>
              <w:tc>
                <w:tcPr>
                  <w:tcW w:w="369" w:type="pct"/>
                  <w:tcMar>
                    <w:top w:w="0" w:type="dxa"/>
                    <w:left w:w="0" w:type="dxa"/>
                    <w:bottom w:w="0" w:type="dxa"/>
                    <w:right w:w="0" w:type="dxa"/>
                  </w:tcMar>
                  <w:vAlign w:val="center"/>
                </w:tcPr>
                <w:p w14:paraId="15F9A3CE">
                  <w:pPr>
                    <w:widowControl/>
                    <w:jc w:val="center"/>
                    <w:textAlignment w:val="center"/>
                    <w:rPr>
                      <w:color w:val="7030A0"/>
                      <w:szCs w:val="21"/>
                    </w:rPr>
                  </w:pPr>
                  <w:r>
                    <w:rPr>
                      <w:rFonts w:eastAsia="等线"/>
                      <w:color w:val="000000" w:themeColor="text1"/>
                      <w:szCs w:val="21"/>
                      <w14:textFill>
                        <w14:solidFill>
                          <w14:schemeClr w14:val="tx1"/>
                        </w14:solidFill>
                      </w14:textFill>
                    </w:rPr>
                    <w:t>0.0014</w:t>
                  </w:r>
                </w:p>
              </w:tc>
              <w:tc>
                <w:tcPr>
                  <w:tcW w:w="329" w:type="pct"/>
                  <w:tcMar>
                    <w:top w:w="0" w:type="dxa"/>
                    <w:left w:w="0" w:type="dxa"/>
                    <w:bottom w:w="0" w:type="dxa"/>
                    <w:right w:w="0" w:type="dxa"/>
                  </w:tcMar>
                  <w:vAlign w:val="center"/>
                </w:tcPr>
                <w:p w14:paraId="250DD800">
                  <w:pPr>
                    <w:widowControl/>
                    <w:jc w:val="center"/>
                    <w:textAlignment w:val="center"/>
                    <w:rPr>
                      <w:color w:val="7030A0"/>
                      <w:szCs w:val="21"/>
                    </w:rPr>
                  </w:pPr>
                  <w:r>
                    <w:rPr>
                      <w:rFonts w:eastAsia="等线"/>
                      <w:color w:val="000000" w:themeColor="text1"/>
                      <w:szCs w:val="21"/>
                      <w14:textFill>
                        <w14:solidFill>
                          <w14:schemeClr w14:val="tx1"/>
                        </w14:solidFill>
                      </w14:textFill>
                    </w:rPr>
                    <w:t>2</w:t>
                  </w:r>
                </w:p>
              </w:tc>
              <w:tc>
                <w:tcPr>
                  <w:tcW w:w="258" w:type="pct"/>
                  <w:vMerge w:val="continue"/>
                  <w:tcMar>
                    <w:top w:w="0" w:type="dxa"/>
                    <w:left w:w="0" w:type="dxa"/>
                    <w:bottom w:w="0" w:type="dxa"/>
                    <w:right w:w="0" w:type="dxa"/>
                  </w:tcMar>
                  <w:vAlign w:val="center"/>
                </w:tcPr>
                <w:p w14:paraId="1F243A64">
                  <w:pPr>
                    <w:pStyle w:val="49"/>
                    <w:jc w:val="center"/>
                    <w:rPr>
                      <w:rFonts w:ascii="Times New Roman"/>
                      <w:color w:val="000000" w:themeColor="text1"/>
                      <w:sz w:val="21"/>
                      <w:szCs w:val="21"/>
                      <w14:textFill>
                        <w14:solidFill>
                          <w14:schemeClr w14:val="tx1"/>
                        </w14:solidFill>
                      </w14:textFill>
                    </w:rPr>
                  </w:pPr>
                </w:p>
              </w:tc>
              <w:tc>
                <w:tcPr>
                  <w:tcW w:w="304" w:type="pct"/>
                  <w:vMerge w:val="continue"/>
                  <w:tcMar>
                    <w:top w:w="0" w:type="dxa"/>
                    <w:left w:w="0" w:type="dxa"/>
                    <w:bottom w:w="0" w:type="dxa"/>
                    <w:right w:w="0" w:type="dxa"/>
                  </w:tcMar>
                  <w:vAlign w:val="center"/>
                </w:tcPr>
                <w:p w14:paraId="4BE0BF42">
                  <w:pPr>
                    <w:pStyle w:val="49"/>
                    <w:jc w:val="center"/>
                    <w:rPr>
                      <w:rFonts w:ascii="Times New Roman"/>
                      <w:color w:val="000000" w:themeColor="text1"/>
                      <w:sz w:val="21"/>
                      <w:szCs w:val="21"/>
                      <w14:textFill>
                        <w14:solidFill>
                          <w14:schemeClr w14:val="tx1"/>
                        </w14:solidFill>
                      </w14:textFill>
                    </w:rPr>
                  </w:pPr>
                </w:p>
              </w:tc>
            </w:tr>
            <w:tr w14:paraId="50E41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Merge w:val="continue"/>
                  <w:tcMar>
                    <w:top w:w="0" w:type="dxa"/>
                    <w:left w:w="0" w:type="dxa"/>
                    <w:bottom w:w="0" w:type="dxa"/>
                    <w:right w:w="0" w:type="dxa"/>
                  </w:tcMar>
                  <w:vAlign w:val="center"/>
                </w:tcPr>
                <w:p w14:paraId="51B9BD55">
                  <w:pPr>
                    <w:pStyle w:val="49"/>
                    <w:ind w:firstLine="422"/>
                    <w:jc w:val="center"/>
                    <w:rPr>
                      <w:rFonts w:ascii="Times New Roman"/>
                      <w:b/>
                      <w:color w:val="000000" w:themeColor="text1"/>
                      <w:sz w:val="21"/>
                      <w:szCs w:val="21"/>
                      <w14:textFill>
                        <w14:solidFill>
                          <w14:schemeClr w14:val="tx1"/>
                        </w14:solidFill>
                      </w14:textFill>
                    </w:rPr>
                  </w:pPr>
                </w:p>
              </w:tc>
              <w:tc>
                <w:tcPr>
                  <w:tcW w:w="433" w:type="pct"/>
                  <w:tcMar>
                    <w:top w:w="0" w:type="dxa"/>
                    <w:left w:w="0" w:type="dxa"/>
                    <w:bottom w:w="0" w:type="dxa"/>
                    <w:right w:w="0" w:type="dxa"/>
                  </w:tcMar>
                  <w:vAlign w:val="center"/>
                </w:tcPr>
                <w:p w14:paraId="5DA14DBA">
                  <w:pPr>
                    <w:widowControl/>
                    <w:jc w:val="center"/>
                    <w:rPr>
                      <w:color w:val="7030A0"/>
                      <w:szCs w:val="21"/>
                    </w:rPr>
                  </w:pPr>
                  <w:r>
                    <w:rPr>
                      <w:rFonts w:hint="eastAsia"/>
                      <w:color w:val="000000" w:themeColor="text1"/>
                      <w:szCs w:val="21"/>
                      <w14:textFill>
                        <w14:solidFill>
                          <w14:schemeClr w14:val="tx1"/>
                        </w14:solidFill>
                      </w14:textFill>
                    </w:rPr>
                    <w:t>总磷</w:t>
                  </w:r>
                </w:p>
              </w:tc>
              <w:tc>
                <w:tcPr>
                  <w:tcW w:w="433" w:type="pct"/>
                  <w:tcMar>
                    <w:top w:w="0" w:type="dxa"/>
                    <w:left w:w="0" w:type="dxa"/>
                    <w:bottom w:w="0" w:type="dxa"/>
                    <w:right w:w="0" w:type="dxa"/>
                  </w:tcMar>
                  <w:vAlign w:val="center"/>
                </w:tcPr>
                <w:p w14:paraId="102FCF56">
                  <w:pPr>
                    <w:widowControl/>
                    <w:jc w:val="center"/>
                    <w:textAlignment w:val="center"/>
                    <w:rPr>
                      <w:color w:val="7030A0"/>
                      <w:szCs w:val="21"/>
                    </w:rPr>
                  </w:pPr>
                  <w:r>
                    <w:rPr>
                      <w:rFonts w:eastAsia="等线"/>
                      <w:color w:val="000000" w:themeColor="text1"/>
                      <w:szCs w:val="21"/>
                      <w14:textFill>
                        <w14:solidFill>
                          <w14:schemeClr w14:val="tx1"/>
                        </w14:solidFill>
                      </w14:textFill>
                    </w:rPr>
                    <w:t>0.003</w:t>
                  </w:r>
                </w:p>
              </w:tc>
              <w:tc>
                <w:tcPr>
                  <w:tcW w:w="520" w:type="pct"/>
                  <w:tcMar>
                    <w:top w:w="0" w:type="dxa"/>
                    <w:left w:w="0" w:type="dxa"/>
                    <w:bottom w:w="0" w:type="dxa"/>
                    <w:right w:w="0" w:type="dxa"/>
                  </w:tcMar>
                  <w:vAlign w:val="center"/>
                </w:tcPr>
                <w:p w14:paraId="1531C5E6">
                  <w:pPr>
                    <w:jc w:val="center"/>
                    <w:rPr>
                      <w:color w:val="7030A0"/>
                      <w:szCs w:val="21"/>
                    </w:rPr>
                  </w:pPr>
                  <w:r>
                    <w:rPr>
                      <w:rFonts w:eastAsia="等线"/>
                      <w:color w:val="000000" w:themeColor="text1"/>
                      <w:szCs w:val="21"/>
                      <w14:textFill>
                        <w14:solidFill>
                          <w14:schemeClr w14:val="tx1"/>
                        </w14:solidFill>
                      </w14:textFill>
                    </w:rPr>
                    <w:t>5</w:t>
                  </w:r>
                </w:p>
              </w:tc>
              <w:tc>
                <w:tcPr>
                  <w:tcW w:w="434" w:type="pct"/>
                  <w:vMerge w:val="continue"/>
                  <w:tcMar>
                    <w:top w:w="0" w:type="dxa"/>
                    <w:left w:w="0" w:type="dxa"/>
                    <w:bottom w:w="0" w:type="dxa"/>
                    <w:right w:w="0" w:type="dxa"/>
                  </w:tcMar>
                  <w:vAlign w:val="center"/>
                </w:tcPr>
                <w:p w14:paraId="3181D01D">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5C19ADEB">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6031F1DA">
                  <w:pPr>
                    <w:pStyle w:val="49"/>
                    <w:rPr>
                      <w:rFonts w:ascii="Times New Roman"/>
                      <w:color w:val="7030A0"/>
                      <w:sz w:val="21"/>
                      <w:szCs w:val="21"/>
                    </w:rPr>
                  </w:pPr>
                </w:p>
              </w:tc>
              <w:tc>
                <w:tcPr>
                  <w:tcW w:w="433" w:type="pct"/>
                  <w:vMerge w:val="continue"/>
                  <w:tcMar>
                    <w:top w:w="0" w:type="dxa"/>
                    <w:left w:w="0" w:type="dxa"/>
                    <w:bottom w:w="0" w:type="dxa"/>
                    <w:right w:w="0" w:type="dxa"/>
                  </w:tcMar>
                  <w:vAlign w:val="center"/>
                </w:tcPr>
                <w:p w14:paraId="77181E18">
                  <w:pPr>
                    <w:pStyle w:val="49"/>
                    <w:rPr>
                      <w:rFonts w:ascii="Times New Roman"/>
                      <w:color w:val="7030A0"/>
                      <w:sz w:val="21"/>
                      <w:szCs w:val="21"/>
                    </w:rPr>
                  </w:pPr>
                </w:p>
              </w:tc>
              <w:tc>
                <w:tcPr>
                  <w:tcW w:w="369" w:type="pct"/>
                  <w:tcMar>
                    <w:top w:w="0" w:type="dxa"/>
                    <w:left w:w="0" w:type="dxa"/>
                    <w:bottom w:w="0" w:type="dxa"/>
                    <w:right w:w="0" w:type="dxa"/>
                  </w:tcMar>
                  <w:vAlign w:val="center"/>
                </w:tcPr>
                <w:p w14:paraId="7347801E">
                  <w:pPr>
                    <w:widowControl/>
                    <w:jc w:val="center"/>
                    <w:textAlignment w:val="center"/>
                    <w:rPr>
                      <w:color w:val="7030A0"/>
                      <w:szCs w:val="21"/>
                    </w:rPr>
                  </w:pPr>
                  <w:r>
                    <w:rPr>
                      <w:rFonts w:eastAsia="等线"/>
                      <w:color w:val="000000" w:themeColor="text1"/>
                      <w:szCs w:val="21"/>
                      <w14:textFill>
                        <w14:solidFill>
                          <w14:schemeClr w14:val="tx1"/>
                        </w14:solidFill>
                      </w14:textFill>
                    </w:rPr>
                    <w:t>0.0003</w:t>
                  </w:r>
                </w:p>
              </w:tc>
              <w:tc>
                <w:tcPr>
                  <w:tcW w:w="329" w:type="pct"/>
                  <w:tcMar>
                    <w:top w:w="0" w:type="dxa"/>
                    <w:left w:w="0" w:type="dxa"/>
                    <w:bottom w:w="0" w:type="dxa"/>
                    <w:right w:w="0" w:type="dxa"/>
                  </w:tcMar>
                  <w:vAlign w:val="center"/>
                </w:tcPr>
                <w:p w14:paraId="190AF36A">
                  <w:pPr>
                    <w:widowControl/>
                    <w:jc w:val="center"/>
                    <w:textAlignment w:val="center"/>
                    <w:rPr>
                      <w:color w:val="7030A0"/>
                      <w:szCs w:val="21"/>
                    </w:rPr>
                  </w:pPr>
                  <w:r>
                    <w:rPr>
                      <w:rFonts w:eastAsia="等线"/>
                      <w:color w:val="000000" w:themeColor="text1"/>
                      <w:szCs w:val="21"/>
                      <w14:textFill>
                        <w14:solidFill>
                          <w14:schemeClr w14:val="tx1"/>
                        </w14:solidFill>
                      </w14:textFill>
                    </w:rPr>
                    <w:t>0.4</w:t>
                  </w:r>
                </w:p>
              </w:tc>
              <w:tc>
                <w:tcPr>
                  <w:tcW w:w="258" w:type="pct"/>
                  <w:vMerge w:val="continue"/>
                  <w:tcMar>
                    <w:top w:w="0" w:type="dxa"/>
                    <w:left w:w="0" w:type="dxa"/>
                    <w:bottom w:w="0" w:type="dxa"/>
                    <w:right w:w="0" w:type="dxa"/>
                  </w:tcMar>
                  <w:vAlign w:val="center"/>
                </w:tcPr>
                <w:p w14:paraId="5428EE5E">
                  <w:pPr>
                    <w:pStyle w:val="49"/>
                    <w:jc w:val="center"/>
                    <w:rPr>
                      <w:rFonts w:ascii="Times New Roman"/>
                      <w:color w:val="000000" w:themeColor="text1"/>
                      <w:sz w:val="21"/>
                      <w:szCs w:val="21"/>
                      <w14:textFill>
                        <w14:solidFill>
                          <w14:schemeClr w14:val="tx1"/>
                        </w14:solidFill>
                      </w14:textFill>
                    </w:rPr>
                  </w:pPr>
                </w:p>
              </w:tc>
              <w:tc>
                <w:tcPr>
                  <w:tcW w:w="304" w:type="pct"/>
                  <w:vMerge w:val="continue"/>
                  <w:tcMar>
                    <w:top w:w="0" w:type="dxa"/>
                    <w:left w:w="0" w:type="dxa"/>
                    <w:bottom w:w="0" w:type="dxa"/>
                    <w:right w:w="0" w:type="dxa"/>
                  </w:tcMar>
                  <w:vAlign w:val="center"/>
                </w:tcPr>
                <w:p w14:paraId="414D6337">
                  <w:pPr>
                    <w:pStyle w:val="49"/>
                    <w:jc w:val="center"/>
                    <w:rPr>
                      <w:rFonts w:ascii="Times New Roman"/>
                      <w:color w:val="000000" w:themeColor="text1"/>
                      <w:sz w:val="21"/>
                      <w:szCs w:val="21"/>
                      <w14:textFill>
                        <w14:solidFill>
                          <w14:schemeClr w14:val="tx1"/>
                        </w14:solidFill>
                      </w14:textFill>
                    </w:rPr>
                  </w:pPr>
                </w:p>
              </w:tc>
            </w:tr>
            <w:tr w14:paraId="6427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Merge w:val="continue"/>
                  <w:tcMar>
                    <w:top w:w="0" w:type="dxa"/>
                    <w:left w:w="0" w:type="dxa"/>
                    <w:bottom w:w="0" w:type="dxa"/>
                    <w:right w:w="0" w:type="dxa"/>
                  </w:tcMar>
                  <w:vAlign w:val="center"/>
                </w:tcPr>
                <w:p w14:paraId="587B1B90">
                  <w:pPr>
                    <w:pStyle w:val="49"/>
                    <w:ind w:firstLine="422"/>
                    <w:jc w:val="center"/>
                    <w:rPr>
                      <w:rFonts w:ascii="Times New Roman"/>
                      <w:b/>
                      <w:color w:val="000000" w:themeColor="text1"/>
                      <w:sz w:val="21"/>
                      <w:szCs w:val="21"/>
                      <w14:textFill>
                        <w14:solidFill>
                          <w14:schemeClr w14:val="tx1"/>
                        </w14:solidFill>
                      </w14:textFill>
                    </w:rPr>
                  </w:pPr>
                </w:p>
              </w:tc>
              <w:tc>
                <w:tcPr>
                  <w:tcW w:w="433" w:type="pct"/>
                  <w:tcMar>
                    <w:top w:w="0" w:type="dxa"/>
                    <w:left w:w="0" w:type="dxa"/>
                    <w:bottom w:w="0" w:type="dxa"/>
                    <w:right w:w="0" w:type="dxa"/>
                  </w:tcMar>
                  <w:vAlign w:val="center"/>
                </w:tcPr>
                <w:p w14:paraId="05DD4A0B">
                  <w:pPr>
                    <w:widowControl/>
                    <w:jc w:val="center"/>
                    <w:rPr>
                      <w:color w:val="7030A0"/>
                      <w:szCs w:val="21"/>
                    </w:rPr>
                  </w:pPr>
                  <w:r>
                    <w:rPr>
                      <w:rFonts w:hint="eastAsia"/>
                      <w:color w:val="000000" w:themeColor="text1"/>
                      <w:szCs w:val="21"/>
                      <w14:textFill>
                        <w14:solidFill>
                          <w14:schemeClr w14:val="tx1"/>
                        </w14:solidFill>
                      </w14:textFill>
                    </w:rPr>
                    <w:t>动植物油</w:t>
                  </w:r>
                </w:p>
              </w:tc>
              <w:tc>
                <w:tcPr>
                  <w:tcW w:w="433" w:type="pct"/>
                  <w:tcMar>
                    <w:top w:w="0" w:type="dxa"/>
                    <w:left w:w="0" w:type="dxa"/>
                    <w:bottom w:w="0" w:type="dxa"/>
                    <w:right w:w="0" w:type="dxa"/>
                  </w:tcMar>
                  <w:vAlign w:val="center"/>
                </w:tcPr>
                <w:p w14:paraId="156E3C99">
                  <w:pPr>
                    <w:widowControl/>
                    <w:jc w:val="center"/>
                    <w:textAlignment w:val="center"/>
                    <w:rPr>
                      <w:rFonts w:eastAsia="等线"/>
                      <w:color w:val="7030A0"/>
                      <w:szCs w:val="21"/>
                    </w:rPr>
                  </w:pPr>
                  <w:r>
                    <w:rPr>
                      <w:rFonts w:eastAsia="等线"/>
                      <w:color w:val="000000" w:themeColor="text1"/>
                      <w:szCs w:val="21"/>
                      <w14:textFill>
                        <w14:solidFill>
                          <w14:schemeClr w14:val="tx1"/>
                        </w14:solidFill>
                      </w14:textFill>
                    </w:rPr>
                    <w:t>0.014</w:t>
                  </w:r>
                </w:p>
              </w:tc>
              <w:tc>
                <w:tcPr>
                  <w:tcW w:w="520" w:type="pct"/>
                  <w:tcMar>
                    <w:top w:w="0" w:type="dxa"/>
                    <w:left w:w="0" w:type="dxa"/>
                    <w:bottom w:w="0" w:type="dxa"/>
                    <w:right w:w="0" w:type="dxa"/>
                  </w:tcMar>
                  <w:vAlign w:val="center"/>
                </w:tcPr>
                <w:p w14:paraId="411780B0">
                  <w:pPr>
                    <w:jc w:val="center"/>
                    <w:rPr>
                      <w:color w:val="7030A0"/>
                      <w:szCs w:val="21"/>
                    </w:rPr>
                  </w:pPr>
                  <w:r>
                    <w:rPr>
                      <w:rFonts w:eastAsia="等线"/>
                      <w:color w:val="000000" w:themeColor="text1"/>
                      <w:szCs w:val="21"/>
                      <w14:textFill>
                        <w14:solidFill>
                          <w14:schemeClr w14:val="tx1"/>
                        </w14:solidFill>
                      </w14:textFill>
                    </w:rPr>
                    <w:t>20</w:t>
                  </w:r>
                </w:p>
              </w:tc>
              <w:tc>
                <w:tcPr>
                  <w:tcW w:w="434" w:type="pct"/>
                  <w:vMerge w:val="continue"/>
                  <w:tcMar>
                    <w:top w:w="0" w:type="dxa"/>
                    <w:left w:w="0" w:type="dxa"/>
                    <w:bottom w:w="0" w:type="dxa"/>
                    <w:right w:w="0" w:type="dxa"/>
                  </w:tcMar>
                  <w:vAlign w:val="center"/>
                </w:tcPr>
                <w:p w14:paraId="3DB0C83D">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41FEA001">
                  <w:pPr>
                    <w:pStyle w:val="49"/>
                    <w:rPr>
                      <w:rFonts w:ascii="Times New Roman"/>
                      <w:color w:val="7030A0"/>
                      <w:sz w:val="21"/>
                      <w:szCs w:val="21"/>
                    </w:rPr>
                  </w:pPr>
                </w:p>
              </w:tc>
              <w:tc>
                <w:tcPr>
                  <w:tcW w:w="434" w:type="pct"/>
                  <w:vMerge w:val="continue"/>
                  <w:tcMar>
                    <w:top w:w="0" w:type="dxa"/>
                    <w:left w:w="0" w:type="dxa"/>
                    <w:bottom w:w="0" w:type="dxa"/>
                    <w:right w:w="0" w:type="dxa"/>
                  </w:tcMar>
                  <w:vAlign w:val="center"/>
                </w:tcPr>
                <w:p w14:paraId="604D2A04">
                  <w:pPr>
                    <w:pStyle w:val="49"/>
                    <w:rPr>
                      <w:rFonts w:ascii="Times New Roman"/>
                      <w:color w:val="7030A0"/>
                      <w:sz w:val="21"/>
                      <w:szCs w:val="21"/>
                    </w:rPr>
                  </w:pPr>
                </w:p>
              </w:tc>
              <w:tc>
                <w:tcPr>
                  <w:tcW w:w="433" w:type="pct"/>
                  <w:vMerge w:val="continue"/>
                  <w:tcMar>
                    <w:top w:w="0" w:type="dxa"/>
                    <w:left w:w="0" w:type="dxa"/>
                    <w:bottom w:w="0" w:type="dxa"/>
                    <w:right w:w="0" w:type="dxa"/>
                  </w:tcMar>
                  <w:vAlign w:val="center"/>
                </w:tcPr>
                <w:p w14:paraId="0B51CBA0">
                  <w:pPr>
                    <w:pStyle w:val="49"/>
                    <w:rPr>
                      <w:rFonts w:ascii="Times New Roman"/>
                      <w:color w:val="7030A0"/>
                      <w:sz w:val="21"/>
                      <w:szCs w:val="21"/>
                    </w:rPr>
                  </w:pPr>
                </w:p>
              </w:tc>
              <w:tc>
                <w:tcPr>
                  <w:tcW w:w="369" w:type="pct"/>
                  <w:tcMar>
                    <w:top w:w="0" w:type="dxa"/>
                    <w:left w:w="0" w:type="dxa"/>
                    <w:bottom w:w="0" w:type="dxa"/>
                    <w:right w:w="0" w:type="dxa"/>
                  </w:tcMar>
                  <w:vAlign w:val="center"/>
                </w:tcPr>
                <w:p w14:paraId="5BFD6961">
                  <w:pPr>
                    <w:widowControl/>
                    <w:jc w:val="center"/>
                    <w:textAlignment w:val="center"/>
                    <w:rPr>
                      <w:rFonts w:eastAsia="等线"/>
                      <w:color w:val="7030A0"/>
                      <w:szCs w:val="21"/>
                    </w:rPr>
                  </w:pPr>
                  <w:r>
                    <w:rPr>
                      <w:rFonts w:eastAsia="等线"/>
                      <w:color w:val="000000" w:themeColor="text1"/>
                      <w:szCs w:val="21"/>
                      <w14:textFill>
                        <w14:solidFill>
                          <w14:schemeClr w14:val="tx1"/>
                        </w14:solidFill>
                      </w14:textFill>
                    </w:rPr>
                    <w:t>0.0007</w:t>
                  </w:r>
                </w:p>
              </w:tc>
              <w:tc>
                <w:tcPr>
                  <w:tcW w:w="329" w:type="pct"/>
                  <w:tcMar>
                    <w:top w:w="0" w:type="dxa"/>
                    <w:left w:w="0" w:type="dxa"/>
                    <w:bottom w:w="0" w:type="dxa"/>
                    <w:right w:w="0" w:type="dxa"/>
                  </w:tcMar>
                  <w:vAlign w:val="center"/>
                </w:tcPr>
                <w:p w14:paraId="23C0872E">
                  <w:pPr>
                    <w:widowControl/>
                    <w:jc w:val="center"/>
                    <w:textAlignment w:val="center"/>
                    <w:rPr>
                      <w:color w:val="7030A0"/>
                      <w:szCs w:val="21"/>
                    </w:rPr>
                  </w:pPr>
                  <w:r>
                    <w:rPr>
                      <w:rFonts w:eastAsia="等线"/>
                      <w:color w:val="000000" w:themeColor="text1"/>
                      <w:szCs w:val="21"/>
                      <w14:textFill>
                        <w14:solidFill>
                          <w14:schemeClr w14:val="tx1"/>
                        </w14:solidFill>
                      </w14:textFill>
                    </w:rPr>
                    <w:t>1</w:t>
                  </w:r>
                </w:p>
              </w:tc>
              <w:tc>
                <w:tcPr>
                  <w:tcW w:w="258" w:type="pct"/>
                  <w:vMerge w:val="continue"/>
                  <w:tcMar>
                    <w:top w:w="0" w:type="dxa"/>
                    <w:left w:w="0" w:type="dxa"/>
                    <w:bottom w:w="0" w:type="dxa"/>
                    <w:right w:w="0" w:type="dxa"/>
                  </w:tcMar>
                  <w:vAlign w:val="center"/>
                </w:tcPr>
                <w:p w14:paraId="2C0EBA7E">
                  <w:pPr>
                    <w:pStyle w:val="49"/>
                    <w:jc w:val="center"/>
                    <w:rPr>
                      <w:rFonts w:ascii="Times New Roman"/>
                      <w:color w:val="000000" w:themeColor="text1"/>
                      <w:sz w:val="21"/>
                      <w:szCs w:val="21"/>
                      <w14:textFill>
                        <w14:solidFill>
                          <w14:schemeClr w14:val="tx1"/>
                        </w14:solidFill>
                      </w14:textFill>
                    </w:rPr>
                  </w:pPr>
                </w:p>
              </w:tc>
              <w:tc>
                <w:tcPr>
                  <w:tcW w:w="304" w:type="pct"/>
                  <w:vMerge w:val="continue"/>
                  <w:tcMar>
                    <w:top w:w="0" w:type="dxa"/>
                    <w:left w:w="0" w:type="dxa"/>
                    <w:bottom w:w="0" w:type="dxa"/>
                    <w:right w:w="0" w:type="dxa"/>
                  </w:tcMar>
                  <w:vAlign w:val="center"/>
                </w:tcPr>
                <w:p w14:paraId="4C1531E3">
                  <w:pPr>
                    <w:pStyle w:val="49"/>
                    <w:jc w:val="center"/>
                    <w:rPr>
                      <w:rFonts w:ascii="Times New Roman"/>
                      <w:color w:val="000000" w:themeColor="text1"/>
                      <w:sz w:val="21"/>
                      <w:szCs w:val="21"/>
                      <w14:textFill>
                        <w14:solidFill>
                          <w14:schemeClr w14:val="tx1"/>
                        </w14:solidFill>
                      </w14:textFill>
                    </w:rPr>
                  </w:pPr>
                </w:p>
              </w:tc>
            </w:tr>
          </w:tbl>
          <w:p w14:paraId="64395A99">
            <w:pPr>
              <w:spacing w:before="156" w:beforeLines="50"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2、污染</w:t>
            </w:r>
            <w:r>
              <w:rPr>
                <w:rFonts w:hint="eastAsia"/>
                <w:b/>
                <w:color w:val="000000" w:themeColor="text1"/>
                <w:sz w:val="24"/>
                <w14:textFill>
                  <w14:solidFill>
                    <w14:schemeClr w14:val="tx1"/>
                  </w14:solidFill>
                </w14:textFill>
              </w:rPr>
              <w:t>物源强</w:t>
            </w:r>
            <w:r>
              <w:rPr>
                <w:b/>
                <w:color w:val="000000" w:themeColor="text1"/>
                <w:sz w:val="24"/>
                <w14:textFill>
                  <w14:solidFill>
                    <w14:schemeClr w14:val="tx1"/>
                  </w14:solidFill>
                </w14:textFill>
              </w:rPr>
              <w:t>核算</w:t>
            </w:r>
          </w:p>
          <w:p w14:paraId="07557CA6">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本项目的废水主要包括喷淋塔废水</w:t>
            </w:r>
            <w:r>
              <w:rPr>
                <w:rFonts w:hint="eastAsia"/>
                <w:color w:val="000000" w:themeColor="text1"/>
                <w:sz w:val="24"/>
                <w14:textFill>
                  <w14:solidFill>
                    <w14:schemeClr w14:val="tx1"/>
                  </w14:solidFill>
                </w14:textFill>
              </w:rPr>
              <w:t>、水帘柜废水、</w:t>
            </w:r>
            <w:r>
              <w:rPr>
                <w:color w:val="000000" w:themeColor="text1"/>
                <w:sz w:val="24"/>
                <w14:textFill>
                  <w14:solidFill>
                    <w14:schemeClr w14:val="tx1"/>
                  </w14:solidFill>
                </w14:textFill>
              </w:rPr>
              <w:t>喷枪清洗废水以及员工生活污水。</w:t>
            </w:r>
          </w:p>
          <w:p w14:paraId="759B9058">
            <w:pPr>
              <w:spacing w:line="360" w:lineRule="auto"/>
              <w:ind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1</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生产废水</w:t>
            </w:r>
          </w:p>
          <w:p w14:paraId="6BFD67F8">
            <w:pPr>
              <w:adjustRightInd w:val="0"/>
              <w:snapToGrid w:val="0"/>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①</w:t>
            </w:r>
            <w:r>
              <w:rPr>
                <w:rFonts w:hint="eastAsia"/>
                <w:b/>
                <w:bCs/>
                <w:color w:val="000000" w:themeColor="text1"/>
                <w:sz w:val="24"/>
                <w14:textFill>
                  <w14:solidFill>
                    <w14:schemeClr w14:val="tx1"/>
                  </w14:solidFill>
                </w14:textFill>
              </w:rPr>
              <w:t>喷漆、晾干废气处理装置</w:t>
            </w:r>
            <w:r>
              <w:rPr>
                <w:b/>
                <w:bCs/>
                <w:color w:val="000000" w:themeColor="text1"/>
                <w:sz w:val="24"/>
                <w14:textFill>
                  <w14:solidFill>
                    <w14:schemeClr w14:val="tx1"/>
                  </w14:solidFill>
                </w14:textFill>
              </w:rPr>
              <w:t>喷淋塔</w:t>
            </w:r>
            <w:r>
              <w:rPr>
                <w:rFonts w:hint="eastAsia"/>
                <w:b/>
                <w:bCs/>
                <w:color w:val="000000" w:themeColor="text1"/>
                <w:sz w:val="24"/>
                <w14:textFill>
                  <w14:solidFill>
                    <w14:schemeClr w14:val="tx1"/>
                  </w14:solidFill>
                </w14:textFill>
              </w:rPr>
              <w:t>废水</w:t>
            </w:r>
          </w:p>
          <w:p w14:paraId="738A736D">
            <w:pPr>
              <w:wordWrap w:val="0"/>
              <w:adjustRightInd w:val="0"/>
              <w:snapToGrid w:val="0"/>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喷漆</w:t>
            </w:r>
            <w:r>
              <w:rPr>
                <w:bCs/>
                <w:color w:val="000000" w:themeColor="text1"/>
                <w:sz w:val="24"/>
                <w14:textFill>
                  <w14:solidFill>
                    <w14:schemeClr w14:val="tx1"/>
                  </w14:solidFill>
                </w14:textFill>
              </w:rPr>
              <w:t>工序喷淋塔喷淋水循环使用一定时间后会浓度饱和，影响喷淋效果，因此喷淋塔配套水箱中的水需要定期更换，以确保处理效率。本项目</w:t>
            </w:r>
            <w:r>
              <w:rPr>
                <w:rFonts w:hint="eastAsia"/>
                <w:color w:val="000000" w:themeColor="text1"/>
                <w:sz w:val="24"/>
                <w14:textFill>
                  <w14:solidFill>
                    <w14:schemeClr w14:val="tx1"/>
                  </w14:solidFill>
                </w14:textFill>
              </w:rPr>
              <w:t>喷漆、晾干废气处理装置</w:t>
            </w:r>
            <w:r>
              <w:rPr>
                <w:bCs/>
                <w:color w:val="000000" w:themeColor="text1"/>
                <w:sz w:val="24"/>
                <w14:textFill>
                  <w14:solidFill>
                    <w14:schemeClr w14:val="tx1"/>
                  </w14:solidFill>
                </w14:textFill>
              </w:rPr>
              <w:t>设置1个喷淋塔，</w:t>
            </w:r>
            <w:r>
              <w:rPr>
                <w:rFonts w:hint="eastAsia"/>
                <w:bCs/>
                <w:color w:val="000000" w:themeColor="text1"/>
                <w:sz w:val="24"/>
                <w14:textFill>
                  <w14:solidFill>
                    <w14:schemeClr w14:val="tx1"/>
                  </w14:solidFill>
                </w14:textFill>
              </w:rPr>
              <w:t>根据工程分析结果，喷淋塔循环用水量均为280</w:t>
            </w:r>
            <w:r>
              <w:rPr>
                <w:bCs/>
                <w:color w:val="000000" w:themeColor="text1"/>
                <w:sz w:val="24"/>
                <w14:textFill>
                  <w14:solidFill>
                    <w14:schemeClr w14:val="tx1"/>
                  </w14:solidFill>
                </w14:textFill>
              </w:rPr>
              <w:t>.00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/d，需补充新鲜量为4.24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/d，即1271.68</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/a。喷淋塔尺寸为W1500×L2000×H2200mm，喷淋塔自带水箱，水箱有效容积为</w:t>
            </w:r>
            <w:r>
              <w:rPr>
                <w:rFonts w:hint="eastAsia"/>
                <w:bCs/>
                <w:color w:val="000000" w:themeColor="text1"/>
                <w:sz w:val="24"/>
                <w14:textFill>
                  <w14:solidFill>
                    <w14:schemeClr w14:val="tx1"/>
                  </w14:solidFill>
                </w14:textFill>
              </w:rPr>
              <w:t>3.4</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，喷淋塔水箱中储水量均为</w:t>
            </w:r>
            <w:r>
              <w:rPr>
                <w:rFonts w:hint="eastAsia"/>
                <w:bCs/>
                <w:color w:val="000000" w:themeColor="text1"/>
                <w:sz w:val="24"/>
                <w14:textFill>
                  <w14:solidFill>
                    <w14:schemeClr w14:val="tx1"/>
                  </w14:solidFill>
                </w14:textFill>
              </w:rPr>
              <w:t>2.92</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，循环水箱中的水平均一年更换</w:t>
            </w:r>
            <w:r>
              <w:rPr>
                <w:rFonts w:hint="eastAsia"/>
                <w:bCs/>
                <w:color w:val="000000" w:themeColor="text1"/>
                <w:sz w:val="24"/>
                <w14:textFill>
                  <w14:solidFill>
                    <w14:schemeClr w14:val="tx1"/>
                  </w14:solidFill>
                </w14:textFill>
              </w:rPr>
              <w:t>4</w:t>
            </w:r>
            <w:r>
              <w:rPr>
                <w:bCs/>
                <w:color w:val="000000" w:themeColor="text1"/>
                <w:sz w:val="24"/>
                <w14:textFill>
                  <w14:solidFill>
                    <w14:schemeClr w14:val="tx1"/>
                  </w14:solidFill>
                </w14:textFill>
              </w:rPr>
              <w:t>次，产生的喷淋</w:t>
            </w:r>
            <w:r>
              <w:rPr>
                <w:rFonts w:hint="eastAsia"/>
                <w:bCs/>
                <w:color w:val="000000" w:themeColor="text1"/>
                <w:sz w:val="24"/>
                <w14:textFill>
                  <w14:solidFill>
                    <w14:schemeClr w14:val="tx1"/>
                  </w14:solidFill>
                </w14:textFill>
              </w:rPr>
              <w:t>更换</w:t>
            </w:r>
            <w:r>
              <w:rPr>
                <w:bCs/>
                <w:color w:val="000000" w:themeColor="text1"/>
                <w:sz w:val="24"/>
                <w14:textFill>
                  <w14:solidFill>
                    <w14:schemeClr w14:val="tx1"/>
                  </w14:solidFill>
                </w14:textFill>
              </w:rPr>
              <w:t>废水</w:t>
            </w:r>
            <w:r>
              <w:rPr>
                <w:rFonts w:hint="eastAsia"/>
                <w:bCs/>
                <w:color w:val="000000" w:themeColor="text1"/>
                <w:sz w:val="24"/>
                <w14:textFill>
                  <w14:solidFill>
                    <w14:schemeClr w14:val="tx1"/>
                  </w14:solidFill>
                </w14:textFill>
              </w:rPr>
              <w:t>2.92t</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次</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即11.68</w:t>
            </w:r>
            <w:r>
              <w:rPr>
                <w:rFonts w:hint="eastAsia"/>
                <w:color w:val="000000" w:themeColor="text1"/>
                <w:sz w:val="24"/>
                <w14:textFill>
                  <w14:solidFill>
                    <w14:schemeClr w14:val="tx1"/>
                  </w14:solidFill>
                </w14:textFill>
              </w:rPr>
              <w:t>t</w:t>
            </w:r>
            <w:r>
              <w:rPr>
                <w:bCs/>
                <w:color w:val="000000" w:themeColor="text1"/>
                <w:sz w:val="24"/>
                <w14:textFill>
                  <w14:solidFill>
                    <w14:schemeClr w14:val="tx1"/>
                  </w14:solidFill>
                </w14:textFill>
              </w:rPr>
              <w:t>/a。更换的喷淋废水属于</w:t>
            </w:r>
            <w:r>
              <w:rPr>
                <w:rFonts w:hint="eastAsia"/>
                <w:bCs/>
                <w:color w:val="000000" w:themeColor="text1"/>
                <w:sz w:val="24"/>
                <w14:textFill>
                  <w14:solidFill>
                    <w14:schemeClr w14:val="tx1"/>
                  </w14:solidFill>
                </w14:textFill>
              </w:rPr>
              <w:t>《国家危险废物名录</w:t>
            </w:r>
            <w:r>
              <w:rPr>
                <w:rFonts w:hint="eastAsia"/>
                <w:color w:val="000000" w:themeColor="text1"/>
                <w:sz w:val="24"/>
                <w14:textFill>
                  <w14:solidFill>
                    <w14:schemeClr w14:val="tx1"/>
                  </w14:solidFill>
                </w14:textFill>
              </w:rPr>
              <w:t>（2025年版）</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中编号为HW12危险废物，委托有资质单位处理</w:t>
            </w:r>
            <w:r>
              <w:rPr>
                <w:rFonts w:hint="eastAsia"/>
                <w:color w:val="000000" w:themeColor="text1"/>
                <w:sz w:val="24"/>
                <w14:textFill>
                  <w14:solidFill>
                    <w14:schemeClr w14:val="tx1"/>
                  </w14:solidFill>
                </w14:textFill>
              </w:rPr>
              <w:t>，不外排。</w:t>
            </w:r>
          </w:p>
          <w:p w14:paraId="217B10D0">
            <w:pPr>
              <w:pStyle w:val="2"/>
              <w:spacing w:line="360" w:lineRule="auto"/>
              <w:ind w:firstLine="482" w:firstLineChars="200"/>
              <w:rPr>
                <w:rFonts w:eastAsia="宋体"/>
                <w:b/>
                <w:bCs/>
                <w:color w:val="000000" w:themeColor="text1"/>
                <w:sz w:val="24"/>
                <w:szCs w:val="24"/>
                <w14:textFill>
                  <w14:solidFill>
                    <w14:schemeClr w14:val="tx1"/>
                  </w14:solidFill>
                </w14:textFill>
              </w:rPr>
            </w:pPr>
            <w:r>
              <w:rPr>
                <w:rFonts w:hint="eastAsia" w:eastAsia="宋体"/>
                <w:b/>
                <w:bCs/>
                <w:color w:val="000000" w:themeColor="text1"/>
                <w:sz w:val="24"/>
                <w:szCs w:val="24"/>
                <w14:textFill>
                  <w14:solidFill>
                    <w14:schemeClr w14:val="tx1"/>
                  </w14:solidFill>
                </w14:textFill>
              </w:rPr>
              <w:t>②水帘柜废水</w:t>
            </w:r>
          </w:p>
          <w:p w14:paraId="0940CAEA">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设有3个水帘柜，水帘柜内用水循环使用，循环水量为280.00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r>
              <w:rPr>
                <w:rFonts w:hint="eastAsia"/>
                <w:bCs/>
                <w:color w:val="000000" w:themeColor="text1"/>
                <w:sz w:val="24"/>
                <w14:textFill>
                  <w14:solidFill>
                    <w14:schemeClr w14:val="tx1"/>
                  </w14:solidFill>
                </w14:textFill>
              </w:rPr>
              <w:t>需补充新鲜量为4.28</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/d，即1283.04</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根据企业提供的资料，项目设置两个水帘柜，更换周期为每3个月一次，水帘柜废水的产生量为23.04t/a（</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8t/d），水帘柜</w:t>
            </w:r>
            <w:r>
              <w:rPr>
                <w:color w:val="000000" w:themeColor="text1"/>
                <w:sz w:val="24"/>
                <w14:textFill>
                  <w14:solidFill>
                    <w14:schemeClr w14:val="tx1"/>
                  </w14:solidFill>
                </w14:textFill>
              </w:rPr>
              <w:t>废水属于</w:t>
            </w:r>
            <w:r>
              <w:rPr>
                <w:rFonts w:hint="eastAsia"/>
                <w:color w:val="000000" w:themeColor="text1"/>
                <w:sz w:val="24"/>
                <w14:textFill>
                  <w14:solidFill>
                    <w14:schemeClr w14:val="tx1"/>
                  </w14:solidFill>
                </w14:textFill>
              </w:rPr>
              <w:t>《国家危险废物名录（2025年版）》</w:t>
            </w:r>
            <w:r>
              <w:rPr>
                <w:color w:val="000000" w:themeColor="text1"/>
                <w:sz w:val="24"/>
                <w14:textFill>
                  <w14:solidFill>
                    <w14:schemeClr w14:val="tx1"/>
                  </w14:solidFill>
                </w14:textFill>
              </w:rPr>
              <w:t>中编号为HW12危险废物，委托有资质单位处理</w:t>
            </w:r>
            <w:r>
              <w:rPr>
                <w:rFonts w:hint="eastAsia"/>
                <w:color w:val="000000" w:themeColor="text1"/>
                <w:sz w:val="24"/>
                <w14:textFill>
                  <w14:solidFill>
                    <w14:schemeClr w14:val="tx1"/>
                  </w14:solidFill>
                </w14:textFill>
              </w:rPr>
              <w:t>，不外排。</w:t>
            </w:r>
          </w:p>
          <w:p w14:paraId="15B53433">
            <w:pPr>
              <w:adjustRightInd w:val="0"/>
              <w:snapToGrid w:val="0"/>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③ 喷</w:t>
            </w:r>
            <w:r>
              <w:rPr>
                <w:b/>
                <w:color w:val="000000" w:themeColor="text1"/>
                <w:sz w:val="24"/>
                <w14:textFill>
                  <w14:solidFill>
                    <w14:schemeClr w14:val="tx1"/>
                  </w14:solidFill>
                </w14:textFill>
              </w:rPr>
              <w:t>枪清洗废水</w:t>
            </w:r>
          </w:p>
          <w:p w14:paraId="63A03D0D">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本项目使用</w:t>
            </w:r>
            <w:r>
              <w:rPr>
                <w:rFonts w:hint="eastAsia"/>
                <w:color w:val="000000" w:themeColor="text1"/>
                <w:sz w:val="24"/>
                <w14:textFill>
                  <w14:solidFill>
                    <w14:schemeClr w14:val="tx1"/>
                  </w14:solidFill>
                </w14:textFill>
              </w:rPr>
              <w:t>水性油漆</w:t>
            </w:r>
            <w:r>
              <w:rPr>
                <w:color w:val="000000" w:themeColor="text1"/>
                <w:sz w:val="24"/>
                <w14:textFill>
                  <w14:solidFill>
                    <w14:schemeClr w14:val="tx1"/>
                  </w14:solidFill>
                </w14:textFill>
              </w:rPr>
              <w:t>的喷枪在使用后，需要用清水清洗，喷枪每</w:t>
            </w:r>
            <w:r>
              <w:rPr>
                <w:rFonts w:hint="eastAsia"/>
                <w:color w:val="000000" w:themeColor="text1"/>
                <w:sz w:val="24"/>
                <w14:textFill>
                  <w14:solidFill>
                    <w14:schemeClr w14:val="tx1"/>
                  </w14:solidFill>
                </w14:textFill>
              </w:rPr>
              <w:t>天</w:t>
            </w:r>
            <w:r>
              <w:rPr>
                <w:color w:val="000000" w:themeColor="text1"/>
                <w:sz w:val="24"/>
                <w14:textFill>
                  <w14:solidFill>
                    <w14:schemeClr w14:val="tx1"/>
                  </w14:solidFill>
                </w14:textFill>
              </w:rPr>
              <w:t>清漆，清洗用水量约为</w:t>
            </w:r>
            <w:r>
              <w:rPr>
                <w:rFonts w:hint="eastAsia"/>
                <w:color w:val="000000" w:themeColor="text1"/>
                <w:sz w:val="24"/>
                <w14:textFill>
                  <w14:solidFill>
                    <w14:schemeClr w14:val="tx1"/>
                  </w14:solidFill>
                </w14:textFill>
              </w:rPr>
              <w:t>2.40</w:t>
            </w:r>
            <w:r>
              <w:rPr>
                <w:color w:val="000000" w:themeColor="text1"/>
                <w:sz w:val="24"/>
                <w14:textFill>
                  <w14:solidFill>
                    <w14:schemeClr w14:val="tx1"/>
                  </w14:solidFill>
                </w14:textFill>
              </w:rPr>
              <w:t>kg/</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，则喷枪清洗</w:t>
            </w:r>
            <w:r>
              <w:rPr>
                <w:rFonts w:hint="eastAsia"/>
                <w:color w:val="000000" w:themeColor="text1"/>
                <w:sz w:val="24"/>
                <w14:textFill>
                  <w14:solidFill>
                    <w14:schemeClr w14:val="tx1"/>
                  </w14:solidFill>
                </w14:textFill>
              </w:rPr>
              <w:t>用水</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0.72t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项目废水排污系数为0.9，则喷枪清洗废水产生量约为2.16kg/d（0.65 t/a），</w:t>
            </w:r>
            <w:r>
              <w:rPr>
                <w:color w:val="000000" w:themeColor="text1"/>
                <w:sz w:val="24"/>
                <w14:textFill>
                  <w14:solidFill>
                    <w14:schemeClr w14:val="tx1"/>
                  </w14:solidFill>
                </w14:textFill>
              </w:rPr>
              <w:t>喷枪清洗废水属于</w:t>
            </w:r>
            <w:r>
              <w:rPr>
                <w:rFonts w:hint="eastAsia"/>
                <w:color w:val="000000" w:themeColor="text1"/>
                <w:sz w:val="24"/>
                <w14:textFill>
                  <w14:solidFill>
                    <w14:schemeClr w14:val="tx1"/>
                  </w14:solidFill>
                </w14:textFill>
              </w:rPr>
              <w:t>《国家危险废物名录（2025年版）》</w:t>
            </w:r>
            <w:r>
              <w:rPr>
                <w:color w:val="000000" w:themeColor="text1"/>
                <w:sz w:val="24"/>
                <w14:textFill>
                  <w14:solidFill>
                    <w14:schemeClr w14:val="tx1"/>
                  </w14:solidFill>
                </w14:textFill>
              </w:rPr>
              <w:t>中编号为HW12危险废物，委托有资质单位处理</w:t>
            </w:r>
            <w:r>
              <w:rPr>
                <w:rFonts w:hint="eastAsia"/>
                <w:color w:val="000000" w:themeColor="text1"/>
                <w:sz w:val="24"/>
                <w14:textFill>
                  <w14:solidFill>
                    <w14:schemeClr w14:val="tx1"/>
                  </w14:solidFill>
                </w14:textFill>
              </w:rPr>
              <w:t>，不外排。</w:t>
            </w:r>
          </w:p>
          <w:p w14:paraId="1553023A">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2）生活污水</w:t>
            </w:r>
          </w:p>
          <w:p w14:paraId="2C893121">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本项目员工</w:t>
            </w:r>
            <w:r>
              <w:rPr>
                <w:rFonts w:hint="eastAsia"/>
                <w:color w:val="000000" w:themeColor="text1"/>
                <w:sz w:val="24"/>
                <w14:textFill>
                  <w14:solidFill>
                    <w14:schemeClr w14:val="tx1"/>
                  </w14:solidFill>
                </w14:textFill>
              </w:rPr>
              <w:t>16</w:t>
            </w:r>
            <w:r>
              <w:rPr>
                <w:color w:val="000000" w:themeColor="text1"/>
                <w:sz w:val="24"/>
                <w14:textFill>
                  <w14:solidFill>
                    <w14:schemeClr w14:val="tx1"/>
                  </w14:solidFill>
                </w14:textFill>
              </w:rPr>
              <w:t>人，</w:t>
            </w:r>
            <w:r>
              <w:rPr>
                <w:rFonts w:hint="eastAsia"/>
                <w:color w:val="000000" w:themeColor="text1"/>
                <w:sz w:val="24"/>
                <w14:textFill>
                  <w14:solidFill>
                    <w14:schemeClr w14:val="tx1"/>
                  </w14:solidFill>
                </w14:textFill>
              </w:rPr>
              <w:t>厂区内设宿舍和食堂，</w:t>
            </w:r>
            <w:r>
              <w:rPr>
                <w:color w:val="000000" w:themeColor="text1"/>
                <w:sz w:val="24"/>
                <w14:textFill>
                  <w14:solidFill>
                    <w14:schemeClr w14:val="tx1"/>
                  </w14:solidFill>
                </w14:textFill>
              </w:rPr>
              <w:t>年工作300天。</w:t>
            </w:r>
            <w:r>
              <w:rPr>
                <w:rFonts w:hint="eastAsia"/>
                <w:color w:val="000000" w:themeColor="text1"/>
                <w:sz w:val="24"/>
                <w14:textFill>
                  <w14:solidFill>
                    <w14:schemeClr w14:val="tx1"/>
                  </w14:solidFill>
                </w14:textFill>
              </w:rPr>
              <w:t>参照广东省《用水定额 第3部分：生活》（DB44/T1461.3-2021）中“居民生活用水定额表-特大城镇”用水定额为 175L/（人·d），</w:t>
            </w:r>
            <w:r>
              <w:rPr>
                <w:color w:val="000000" w:themeColor="text1"/>
                <w:sz w:val="24"/>
                <w14:textFill>
                  <w14:solidFill>
                    <w14:schemeClr w14:val="tx1"/>
                  </w14:solidFill>
                </w14:textFill>
              </w:rPr>
              <w:t>则员工生活用水量为</w:t>
            </w:r>
            <w:r>
              <w:rPr>
                <w:rFonts w:hint="eastAsia"/>
                <w:color w:val="000000" w:themeColor="text1"/>
                <w:sz w:val="24"/>
                <w14:textFill>
                  <w14:solidFill>
                    <w14:schemeClr w14:val="tx1"/>
                  </w14:solidFill>
                </w14:textFill>
              </w:rPr>
              <w:t>2.80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d，即840.00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，根据《排放源统计调查产排污核算方法和系数手册》中生活源产排污系数手册</w:t>
            </w:r>
            <w:r>
              <w:rPr>
                <w:rFonts w:hint="eastAsia"/>
                <w:color w:val="000000" w:themeColor="text1"/>
                <w:sz w:val="24"/>
                <w14:textFill>
                  <w14:solidFill>
                    <w14:schemeClr w14:val="tx1"/>
                  </w14:solidFill>
                </w14:textFill>
              </w:rPr>
              <w:t>：人均日生活用水量介于</w:t>
            </w:r>
            <w:r>
              <w:rPr>
                <w:color w:val="000000" w:themeColor="text1"/>
                <w:sz w:val="24"/>
                <w14:textFill>
                  <w14:solidFill>
                    <w14:schemeClr w14:val="tx1"/>
                  </w14:solidFill>
                </w14:textFill>
              </w:rPr>
              <w:t>150</w:t>
            </w:r>
            <w:r>
              <w:rPr>
                <w:rFonts w:hint="eastAsia"/>
                <w:color w:val="000000" w:themeColor="text1"/>
                <w:sz w:val="24"/>
                <w14:textFill>
                  <w14:solidFill>
                    <w14:schemeClr w14:val="tx1"/>
                  </w14:solidFill>
                </w14:textFill>
              </w:rPr>
              <w:t>升</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人</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天和</w:t>
            </w:r>
            <w:r>
              <w:rPr>
                <w:color w:val="000000" w:themeColor="text1"/>
                <w:sz w:val="24"/>
                <w14:textFill>
                  <w14:solidFill>
                    <w14:schemeClr w14:val="tx1"/>
                  </w14:solidFill>
                </w14:textFill>
              </w:rPr>
              <w:t>250</w:t>
            </w:r>
            <w:r>
              <w:rPr>
                <w:rFonts w:hint="eastAsia"/>
                <w:color w:val="000000" w:themeColor="text1"/>
                <w:sz w:val="24"/>
                <w14:textFill>
                  <w14:solidFill>
                    <w14:schemeClr w14:val="tx1"/>
                  </w14:solidFill>
                </w14:textFill>
              </w:rPr>
              <w:t>升</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人</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天间时，采用插值法确定，</w:t>
            </w:r>
            <w:r>
              <w:rPr>
                <w:rFonts w:hint="eastAsia"/>
                <w:snapToGrid w:val="0"/>
                <w:color w:val="000000" w:themeColor="text1"/>
                <w:sz w:val="24"/>
                <w14:textFill>
                  <w14:solidFill>
                    <w14:schemeClr w14:val="tx1"/>
                  </w14:solidFill>
                </w14:textFill>
              </w:rPr>
              <w:t>折污系数取0.83，</w:t>
            </w:r>
            <w:r>
              <w:rPr>
                <w:color w:val="000000" w:themeColor="text1"/>
                <w:sz w:val="24"/>
                <w14:textFill>
                  <w14:solidFill>
                    <w14:schemeClr w14:val="tx1"/>
                  </w14:solidFill>
                </w14:textFill>
              </w:rPr>
              <w:t>则项目员工生活污水排放量</w:t>
            </w:r>
            <w:r>
              <w:rPr>
                <w:rFonts w:hint="eastAsia"/>
                <w:color w:val="000000" w:themeColor="text1"/>
                <w:sz w:val="24"/>
                <w14:textFill>
                  <w14:solidFill>
                    <w14:schemeClr w14:val="tx1"/>
                  </w14:solidFill>
                </w14:textFill>
              </w:rPr>
              <w:t>约</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697.20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，即</w:t>
            </w:r>
            <w:r>
              <w:rPr>
                <w:rFonts w:hint="eastAsia"/>
                <w:color w:val="000000" w:themeColor="text1"/>
                <w:sz w:val="24"/>
                <w14:textFill>
                  <w14:solidFill>
                    <w14:schemeClr w14:val="tx1"/>
                  </w14:solidFill>
                </w14:textFill>
              </w:rPr>
              <w:t>2.32</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。该类污水的主要污染物为COD</w:t>
            </w:r>
            <w:r>
              <w:rPr>
                <w:color w:val="000000" w:themeColor="text1"/>
                <w:sz w:val="24"/>
                <w:vertAlign w:val="subscript"/>
                <w14:textFill>
                  <w14:solidFill>
                    <w14:schemeClr w14:val="tx1"/>
                  </w14:solidFill>
                </w14:textFill>
              </w:rPr>
              <w:t>Cr</w:t>
            </w:r>
            <w:r>
              <w:rPr>
                <w:color w:val="000000" w:themeColor="text1"/>
                <w:sz w:val="24"/>
                <w14:textFill>
                  <w14:solidFill>
                    <w14:schemeClr w14:val="tx1"/>
                  </w14:solidFill>
                </w14:textFill>
              </w:rPr>
              <w:t>（250mg/l）、BOD</w:t>
            </w:r>
            <w:r>
              <w:rPr>
                <w:color w:val="000000" w:themeColor="text1"/>
                <w:sz w:val="24"/>
                <w:vertAlign w:val="subscript"/>
                <w14:textFill>
                  <w14:solidFill>
                    <w14:schemeClr w14:val="tx1"/>
                  </w14:solidFill>
                </w14:textFill>
              </w:rPr>
              <w:t>5</w:t>
            </w:r>
            <w:r>
              <w:rPr>
                <w:color w:val="000000" w:themeColor="text1"/>
                <w:sz w:val="24"/>
                <w14:textFill>
                  <w14:solidFill>
                    <w14:schemeClr w14:val="tx1"/>
                  </w14:solidFill>
                </w14:textFill>
              </w:rPr>
              <w:t>（150mg/l）、SS（150mg/l）、NH</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-N（30mg/l）</w:t>
            </w:r>
            <w:r>
              <w:rPr>
                <w:rFonts w:hint="eastAsia"/>
                <w:color w:val="000000" w:themeColor="text1"/>
                <w:sz w:val="24"/>
                <w14:textFill>
                  <w14:solidFill>
                    <w14:schemeClr w14:val="tx1"/>
                  </w14:solidFill>
                </w14:textFill>
              </w:rPr>
              <w:t>、总磷（5mg</w:t>
            </w: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）、动植物油（2</w:t>
            </w:r>
            <w:r>
              <w:rPr>
                <w:color w:val="000000" w:themeColor="text1"/>
                <w:sz w:val="24"/>
                <w14:textFill>
                  <w14:solidFill>
                    <w14:schemeClr w14:val="tx1"/>
                  </w14:solidFill>
                </w14:textFill>
              </w:rPr>
              <w:t>0 mg/l</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14:paraId="262E9276">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员工生活污水经“隔油隔渣</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三级化粪池”处理达到广东省《水污染物排放限值》（</w:t>
            </w:r>
            <w:r>
              <w:rPr>
                <w:bCs/>
                <w:color w:val="000000" w:themeColor="text1"/>
                <w:sz w:val="24"/>
                <w14:textFill>
                  <w14:solidFill>
                    <w14:schemeClr w14:val="tx1"/>
                  </w14:solidFill>
                </w14:textFill>
              </w:rPr>
              <w:t>DB44/26-2001</w:t>
            </w:r>
            <w:r>
              <w:rPr>
                <w:rFonts w:hint="eastAsia"/>
                <w:bCs/>
                <w:color w:val="000000" w:themeColor="text1"/>
                <w:sz w:val="24"/>
                <w14:textFill>
                  <w14:solidFill>
                    <w14:schemeClr w14:val="tx1"/>
                  </w14:solidFill>
                </w14:textFill>
              </w:rPr>
              <w:t>）第二时段三级标准后经市政污水管网排入博罗县福田镇生活污水处理厂进行深度处理，最终排入福田河。</w:t>
            </w:r>
          </w:p>
          <w:p w14:paraId="63B579AE">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3、达标排放情况</w:t>
            </w:r>
          </w:p>
          <w:p w14:paraId="4409E69F">
            <w:pPr>
              <w:spacing w:line="46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项目生产废水主要为</w:t>
            </w:r>
            <w:r>
              <w:rPr>
                <w:rFonts w:hint="eastAsia"/>
                <w:bCs/>
                <w:color w:val="000000" w:themeColor="text1"/>
                <w:sz w:val="24"/>
                <w14:textFill>
                  <w14:solidFill>
                    <w14:schemeClr w14:val="tx1"/>
                  </w14:solidFill>
                </w14:textFill>
              </w:rPr>
              <w:t>喷漆、晾干废气处理装置</w:t>
            </w:r>
            <w:r>
              <w:rPr>
                <w:bCs/>
                <w:color w:val="000000" w:themeColor="text1"/>
                <w:sz w:val="24"/>
                <w14:textFill>
                  <w14:solidFill>
                    <w14:schemeClr w14:val="tx1"/>
                  </w14:solidFill>
                </w14:textFill>
              </w:rPr>
              <w:t>喷淋塔废水</w:t>
            </w:r>
            <w:r>
              <w:rPr>
                <w:rFonts w:hint="eastAsia"/>
                <w:bCs/>
                <w:color w:val="000000" w:themeColor="text1"/>
                <w:sz w:val="24"/>
                <w14:textFill>
                  <w14:solidFill>
                    <w14:schemeClr w14:val="tx1"/>
                  </w14:solidFill>
                </w14:textFill>
              </w:rPr>
              <w:t>、水帘柜废水及</w:t>
            </w:r>
            <w:r>
              <w:rPr>
                <w:bCs/>
                <w:color w:val="000000" w:themeColor="text1"/>
                <w:sz w:val="24"/>
                <w14:textFill>
                  <w14:solidFill>
                    <w14:schemeClr w14:val="tx1"/>
                  </w14:solidFill>
                </w14:textFill>
              </w:rPr>
              <w:t>喷枪清洗废水</w:t>
            </w:r>
            <w:r>
              <w:rPr>
                <w:rFonts w:hint="eastAsia"/>
                <w:bCs/>
                <w:color w:val="000000" w:themeColor="text1"/>
                <w:sz w:val="24"/>
                <w14:textFill>
                  <w14:solidFill>
                    <w14:schemeClr w14:val="tx1"/>
                  </w14:solidFill>
                </w14:textFill>
              </w:rPr>
              <w:t>，均</w:t>
            </w:r>
            <w:r>
              <w:rPr>
                <w:bCs/>
                <w:color w:val="000000" w:themeColor="text1"/>
                <w:sz w:val="24"/>
                <w14:textFill>
                  <w14:solidFill>
                    <w14:schemeClr w14:val="tx1"/>
                  </w14:solidFill>
                </w14:textFill>
              </w:rPr>
              <w:t>作为危险废物，交由有资质的单位回收处理</w:t>
            </w:r>
            <w:r>
              <w:rPr>
                <w:rFonts w:hint="eastAsia"/>
                <w:bCs/>
                <w:color w:val="000000" w:themeColor="text1"/>
                <w:sz w:val="24"/>
                <w14:textFill>
                  <w14:solidFill>
                    <w14:schemeClr w14:val="tx1"/>
                  </w14:solidFill>
                </w14:textFill>
              </w:rPr>
              <w:t>，不外排。</w:t>
            </w:r>
          </w:p>
          <w:p w14:paraId="4AE13681">
            <w:pPr>
              <w:spacing w:line="46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项目外排废水主要为生活污水。项目生活污水排放量为</w:t>
            </w:r>
            <w:r>
              <w:rPr>
                <w:rFonts w:hint="eastAsia"/>
                <w:bCs/>
                <w:color w:val="000000" w:themeColor="text1"/>
                <w:sz w:val="24"/>
                <w14:textFill>
                  <w14:solidFill>
                    <w14:schemeClr w14:val="tx1"/>
                  </w14:solidFill>
                </w14:textFill>
              </w:rPr>
              <w:t>180.00</w:t>
            </w:r>
            <w:r>
              <w:rPr>
                <w:rFonts w:hint="eastAsia"/>
                <w:color w:val="000000" w:themeColor="text1"/>
                <w:sz w:val="24"/>
                <w14:textFill>
                  <w14:solidFill>
                    <w14:schemeClr w14:val="tx1"/>
                  </w14:solidFill>
                </w14:textFill>
              </w:rPr>
              <w:t xml:space="preserve"> m</w:t>
            </w:r>
            <w:r>
              <w:rPr>
                <w:rFonts w:hint="eastAsia"/>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/a，</w:t>
            </w:r>
            <w:r>
              <w:rPr>
                <w:rFonts w:hint="eastAsia"/>
                <w:bCs/>
                <w:color w:val="000000" w:themeColor="text1"/>
                <w:sz w:val="24"/>
                <w14:textFill>
                  <w14:solidFill>
                    <w14:schemeClr w14:val="tx1"/>
                  </w14:solidFill>
                </w14:textFill>
              </w:rPr>
              <w:t>员工生活污水经“隔油隔渣</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三级化粪池”处理达到广东省《水污染物排放限值》（</w:t>
            </w:r>
            <w:r>
              <w:rPr>
                <w:bCs/>
                <w:color w:val="000000" w:themeColor="text1"/>
                <w:sz w:val="24"/>
                <w14:textFill>
                  <w14:solidFill>
                    <w14:schemeClr w14:val="tx1"/>
                  </w14:solidFill>
                </w14:textFill>
              </w:rPr>
              <w:t>DB44/26-2001</w:t>
            </w:r>
            <w:r>
              <w:rPr>
                <w:rFonts w:hint="eastAsia"/>
                <w:bCs/>
                <w:color w:val="000000" w:themeColor="text1"/>
                <w:sz w:val="24"/>
                <w14:textFill>
                  <w14:solidFill>
                    <w14:schemeClr w14:val="tx1"/>
                  </w14:solidFill>
                </w14:textFill>
              </w:rPr>
              <w:t>）第二时段三级标准后经市政污水管网排入博罗县福田镇生活污水处理厂进行深度处理，最终排入福田河。</w:t>
            </w:r>
          </w:p>
          <w:p w14:paraId="3CF4DD69">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4、排放口基本情况</w:t>
            </w:r>
          </w:p>
          <w:p w14:paraId="43EF9D1B">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表4-1</w:t>
            </w:r>
            <w:r>
              <w:rPr>
                <w:rFonts w:hint="eastAsia" w:ascii="Times New Roman" w:hAnsi="Times New Roman" w:eastAsia="宋体"/>
                <w:color w:val="000000" w:themeColor="text1"/>
                <w:sz w:val="21"/>
                <w:szCs w:val="21"/>
                <w14:textFill>
                  <w14:solidFill>
                    <w14:schemeClr w14:val="tx1"/>
                  </w14:solidFill>
                </w14:textFill>
              </w:rPr>
              <w:t>1</w:t>
            </w:r>
            <w:r>
              <w:rPr>
                <w:rFonts w:ascii="Times New Roman" w:hAnsi="Times New Roman" w:eastAsia="宋体"/>
                <w:color w:val="000000" w:themeColor="text1"/>
                <w:sz w:val="21"/>
                <w:szCs w:val="21"/>
                <w14:textFill>
                  <w14:solidFill>
                    <w14:schemeClr w14:val="tx1"/>
                  </w14:solidFill>
                </w14:textFill>
              </w:rPr>
              <w:t xml:space="preserve">  废水间接排放口基本情况表</w:t>
            </w:r>
          </w:p>
          <w:tbl>
            <w:tblPr>
              <w:tblStyle w:val="40"/>
              <w:tblW w:w="4998"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1" w:type="dxa"/>
                <w:bottom w:w="0" w:type="dxa"/>
                <w:right w:w="51" w:type="dxa"/>
              </w:tblCellMar>
            </w:tblPr>
            <w:tblGrid>
              <w:gridCol w:w="767"/>
              <w:gridCol w:w="671"/>
              <w:gridCol w:w="708"/>
              <w:gridCol w:w="852"/>
              <w:gridCol w:w="842"/>
              <w:gridCol w:w="1134"/>
              <w:gridCol w:w="566"/>
              <w:gridCol w:w="852"/>
              <w:gridCol w:w="1767"/>
            </w:tblGrid>
            <w:tr w14:paraId="303FB6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restart"/>
                  <w:vAlign w:val="center"/>
                </w:tcPr>
                <w:p w14:paraId="5A6AEE7F">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排放口编号</w:t>
                  </w:r>
                </w:p>
              </w:tc>
              <w:tc>
                <w:tcPr>
                  <w:tcW w:w="845" w:type="pct"/>
                  <w:gridSpan w:val="2"/>
                  <w:vAlign w:val="center"/>
                </w:tcPr>
                <w:p w14:paraId="534C683C">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排放口地理坐标</w:t>
                  </w:r>
                </w:p>
              </w:tc>
              <w:tc>
                <w:tcPr>
                  <w:tcW w:w="522" w:type="pct"/>
                  <w:vMerge w:val="restart"/>
                  <w:vAlign w:val="center"/>
                </w:tcPr>
                <w:p w14:paraId="3547A76E">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废水排放量/（万t/a）</w:t>
                  </w:r>
                </w:p>
              </w:tc>
              <w:tc>
                <w:tcPr>
                  <w:tcW w:w="516" w:type="pct"/>
                  <w:vMerge w:val="restart"/>
                  <w:vAlign w:val="center"/>
                </w:tcPr>
                <w:p w14:paraId="18EEF471">
                  <w:pPr>
                    <w:pStyle w:val="145"/>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排放去向</w:t>
                  </w:r>
                </w:p>
              </w:tc>
              <w:tc>
                <w:tcPr>
                  <w:tcW w:w="695" w:type="pct"/>
                  <w:vMerge w:val="restart"/>
                  <w:vAlign w:val="center"/>
                </w:tcPr>
                <w:p w14:paraId="22243F7C">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排放规律</w:t>
                  </w:r>
                </w:p>
              </w:tc>
              <w:tc>
                <w:tcPr>
                  <w:tcW w:w="1952" w:type="pct"/>
                  <w:gridSpan w:val="3"/>
                  <w:vAlign w:val="center"/>
                </w:tcPr>
                <w:p w14:paraId="63A446DF">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受纳污水处理厂信息</w:t>
                  </w:r>
                </w:p>
              </w:tc>
            </w:tr>
            <w:tr w14:paraId="53312C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continue"/>
                  <w:vAlign w:val="center"/>
                </w:tcPr>
                <w:p w14:paraId="173BA12E">
                  <w:pPr>
                    <w:pStyle w:val="145"/>
                    <w:spacing w:line="240" w:lineRule="auto"/>
                    <w:jc w:val="center"/>
                    <w:rPr>
                      <w:rFonts w:ascii="Times New Roman" w:hAnsi="Times New Roman"/>
                      <w:b/>
                      <w:bCs/>
                      <w:color w:val="000000" w:themeColor="text1"/>
                      <w:sz w:val="21"/>
                      <w:szCs w:val="21"/>
                      <w14:textFill>
                        <w14:solidFill>
                          <w14:schemeClr w14:val="tx1"/>
                        </w14:solidFill>
                      </w14:textFill>
                    </w:rPr>
                  </w:pPr>
                </w:p>
              </w:tc>
              <w:tc>
                <w:tcPr>
                  <w:tcW w:w="411" w:type="pct"/>
                  <w:vAlign w:val="center"/>
                </w:tcPr>
                <w:p w14:paraId="65A31F3A">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经度</w:t>
                  </w:r>
                </w:p>
              </w:tc>
              <w:tc>
                <w:tcPr>
                  <w:tcW w:w="434" w:type="pct"/>
                  <w:vAlign w:val="center"/>
                </w:tcPr>
                <w:p w14:paraId="3DF1D2C8">
                  <w:pPr>
                    <w:pStyle w:val="145"/>
                    <w:spacing w:line="240" w:lineRule="auto"/>
                    <w:jc w:val="center"/>
                    <w:rPr>
                      <w:rFonts w:ascii="Times New Roman" w:hAnsi="Times New Roman"/>
                      <w:b/>
                      <w:bCs/>
                      <w:color w:val="7030A0"/>
                      <w:sz w:val="21"/>
                      <w:szCs w:val="21"/>
                    </w:rPr>
                  </w:pPr>
                  <w:r>
                    <w:rPr>
                      <w:rFonts w:ascii="Times New Roman" w:hAnsi="Times New Roman"/>
                      <w:b/>
                      <w:bCs/>
                      <w:color w:val="000000" w:themeColor="text1"/>
                      <w:sz w:val="21"/>
                      <w:szCs w:val="21"/>
                      <w14:textFill>
                        <w14:solidFill>
                          <w14:schemeClr w14:val="tx1"/>
                        </w14:solidFill>
                      </w14:textFill>
                    </w:rPr>
                    <w:t>纬度</w:t>
                  </w:r>
                </w:p>
              </w:tc>
              <w:tc>
                <w:tcPr>
                  <w:tcW w:w="522" w:type="pct"/>
                  <w:vMerge w:val="continue"/>
                  <w:vAlign w:val="center"/>
                </w:tcPr>
                <w:p w14:paraId="01300CEA">
                  <w:pPr>
                    <w:pStyle w:val="145"/>
                    <w:spacing w:line="240" w:lineRule="auto"/>
                    <w:jc w:val="center"/>
                    <w:rPr>
                      <w:rFonts w:ascii="Times New Roman" w:hAnsi="Times New Roman"/>
                      <w:b/>
                      <w:bCs/>
                      <w:color w:val="7030A0"/>
                      <w:sz w:val="21"/>
                      <w:szCs w:val="21"/>
                    </w:rPr>
                  </w:pPr>
                </w:p>
              </w:tc>
              <w:tc>
                <w:tcPr>
                  <w:tcW w:w="516" w:type="pct"/>
                  <w:vMerge w:val="continue"/>
                  <w:vAlign w:val="center"/>
                </w:tcPr>
                <w:p w14:paraId="2B6C20B6">
                  <w:pPr>
                    <w:pStyle w:val="145"/>
                    <w:spacing w:line="240" w:lineRule="auto"/>
                    <w:jc w:val="center"/>
                    <w:rPr>
                      <w:rFonts w:ascii="Times New Roman" w:hAnsi="Times New Roman"/>
                      <w:b/>
                      <w:bCs/>
                      <w:color w:val="7030A0"/>
                      <w:sz w:val="21"/>
                      <w:szCs w:val="21"/>
                    </w:rPr>
                  </w:pPr>
                </w:p>
              </w:tc>
              <w:tc>
                <w:tcPr>
                  <w:tcW w:w="695" w:type="pct"/>
                  <w:vMerge w:val="continue"/>
                  <w:vAlign w:val="center"/>
                </w:tcPr>
                <w:p w14:paraId="6E2FA654">
                  <w:pPr>
                    <w:pStyle w:val="145"/>
                    <w:spacing w:line="240" w:lineRule="auto"/>
                    <w:jc w:val="center"/>
                    <w:rPr>
                      <w:rFonts w:ascii="Times New Roman" w:hAnsi="Times New Roman"/>
                      <w:b/>
                      <w:bCs/>
                      <w:color w:val="000000" w:themeColor="text1"/>
                      <w:sz w:val="21"/>
                      <w:szCs w:val="21"/>
                      <w14:textFill>
                        <w14:solidFill>
                          <w14:schemeClr w14:val="tx1"/>
                        </w14:solidFill>
                      </w14:textFill>
                    </w:rPr>
                  </w:pPr>
                </w:p>
              </w:tc>
              <w:tc>
                <w:tcPr>
                  <w:tcW w:w="347" w:type="pct"/>
                  <w:vAlign w:val="center"/>
                </w:tcPr>
                <w:p w14:paraId="350CE368">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名称</w:t>
                  </w:r>
                </w:p>
              </w:tc>
              <w:tc>
                <w:tcPr>
                  <w:tcW w:w="522" w:type="pct"/>
                  <w:vAlign w:val="center"/>
                </w:tcPr>
                <w:p w14:paraId="4A7CEAD1">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污染物种类</w:t>
                  </w:r>
                </w:p>
              </w:tc>
              <w:tc>
                <w:tcPr>
                  <w:tcW w:w="1083" w:type="pct"/>
                  <w:vAlign w:val="center"/>
                </w:tcPr>
                <w:p w14:paraId="35492C31">
                  <w:pPr>
                    <w:pStyle w:val="145"/>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国家或地方污染物排放标准浓度限值/（mg/L）</w:t>
                  </w:r>
                </w:p>
              </w:tc>
            </w:tr>
            <w:tr w14:paraId="3BDB81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restart"/>
                  <w:vAlign w:val="center"/>
                </w:tcPr>
                <w:p w14:paraId="20888010">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DW001</w:t>
                  </w:r>
                </w:p>
              </w:tc>
              <w:tc>
                <w:tcPr>
                  <w:tcW w:w="411" w:type="pct"/>
                  <w:vMerge w:val="restart"/>
                  <w:vAlign w:val="center"/>
                </w:tcPr>
                <w:p w14:paraId="65D501E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E</w:t>
                  </w:r>
                  <w:r>
                    <w:rPr>
                      <w:color w:val="000000" w:themeColor="text1"/>
                      <w:szCs w:val="21"/>
                      <w14:textFill>
                        <w14:solidFill>
                          <w14:schemeClr w14:val="tx1"/>
                        </w14:solidFill>
                      </w14:textFill>
                    </w:rPr>
                    <w:t>113°</w:t>
                  </w:r>
                </w:p>
                <w:p w14:paraId="2855EA1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58′</w:t>
                  </w:r>
                </w:p>
                <w:p w14:paraId="2FA5AC2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42.88″</w:t>
                  </w:r>
                </w:p>
              </w:tc>
              <w:tc>
                <w:tcPr>
                  <w:tcW w:w="434" w:type="pct"/>
                  <w:vMerge w:val="restart"/>
                  <w:vAlign w:val="center"/>
                </w:tcPr>
                <w:p w14:paraId="7A15A2F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N</w:t>
                  </w:r>
                  <w:r>
                    <w:rPr>
                      <w:color w:val="000000" w:themeColor="text1"/>
                      <w:szCs w:val="21"/>
                      <w14:textFill>
                        <w14:solidFill>
                          <w14:schemeClr w14:val="tx1"/>
                        </w14:solidFill>
                      </w14:textFill>
                    </w:rPr>
                    <w:t>23°</w:t>
                  </w:r>
                </w:p>
                <w:p w14:paraId="037353B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p>
                <w:p w14:paraId="01CADCF8">
                  <w:pPr>
                    <w:jc w:val="center"/>
                    <w:rPr>
                      <w:color w:val="7030A0"/>
                      <w:szCs w:val="21"/>
                    </w:rPr>
                  </w:pPr>
                  <w:r>
                    <w:rPr>
                      <w:color w:val="000000" w:themeColor="text1"/>
                      <w:szCs w:val="21"/>
                      <w14:textFill>
                        <w14:solidFill>
                          <w14:schemeClr w14:val="tx1"/>
                        </w14:solidFill>
                      </w14:textFill>
                    </w:rPr>
                    <w:t>3.51″</w:t>
                  </w:r>
                </w:p>
              </w:tc>
              <w:tc>
                <w:tcPr>
                  <w:tcW w:w="522" w:type="pct"/>
                  <w:vMerge w:val="restart"/>
                  <w:vAlign w:val="center"/>
                </w:tcPr>
                <w:p w14:paraId="5E8BC66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w:t>
                  </w:r>
                  <w:r>
                    <w:rPr>
                      <w:rFonts w:hint="eastAsia" w:ascii="Times New Roman" w:hAnsi="Times New Roman"/>
                      <w:color w:val="000000" w:themeColor="text1"/>
                      <w:sz w:val="21"/>
                      <w:szCs w:val="21"/>
                      <w14:textFill>
                        <w14:solidFill>
                          <w14:schemeClr w14:val="tx1"/>
                        </w14:solidFill>
                      </w14:textFill>
                    </w:rPr>
                    <w:t>840</w:t>
                  </w:r>
                </w:p>
              </w:tc>
              <w:tc>
                <w:tcPr>
                  <w:tcW w:w="516" w:type="pct"/>
                  <w:vMerge w:val="restart"/>
                  <w:vAlign w:val="center"/>
                </w:tcPr>
                <w:p w14:paraId="3347FD25">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进入城市污水处理厂</w:t>
                  </w:r>
                </w:p>
              </w:tc>
              <w:tc>
                <w:tcPr>
                  <w:tcW w:w="695" w:type="pct"/>
                  <w:vMerge w:val="restart"/>
                  <w:vAlign w:val="center"/>
                </w:tcPr>
                <w:p w14:paraId="6BC75219">
                  <w:pPr>
                    <w:pStyle w:val="145"/>
                    <w:spacing w:line="240" w:lineRule="auto"/>
                    <w:jc w:val="center"/>
                    <w:rPr>
                      <w:rFonts w:ascii="Times New Roman" w:hAnsi="Times New Roman"/>
                      <w:color w:val="7030A0"/>
                      <w:sz w:val="21"/>
                      <w:szCs w:val="21"/>
                    </w:rPr>
                  </w:pPr>
                  <w:r>
                    <w:rPr>
                      <w:rFonts w:ascii="Times New Roman" w:hAnsi="Times New Roman"/>
                      <w:color w:val="000000" w:themeColor="text1"/>
                      <w:sz w:val="21"/>
                      <w:szCs w:val="21"/>
                      <w14:textFill>
                        <w14:solidFill>
                          <w14:schemeClr w14:val="tx1"/>
                        </w14:solidFill>
                      </w14:textFill>
                    </w:rPr>
                    <w:t>间断排放，流量不稳定且无规律，但不属于冲击型排放</w:t>
                  </w:r>
                </w:p>
              </w:tc>
              <w:tc>
                <w:tcPr>
                  <w:tcW w:w="347" w:type="pct"/>
                  <w:vMerge w:val="restart"/>
                  <w:vAlign w:val="center"/>
                </w:tcPr>
                <w:p w14:paraId="58A58B3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博罗县福田镇生活污水处理厂</w:t>
                  </w:r>
                </w:p>
              </w:tc>
              <w:tc>
                <w:tcPr>
                  <w:tcW w:w="522" w:type="pct"/>
                  <w:vAlign w:val="center"/>
                </w:tcPr>
                <w:p w14:paraId="61DB43E7">
                  <w:pPr>
                    <w:pStyle w:val="145"/>
                    <w:spacing w:line="240"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CODcr</w:t>
                  </w:r>
                </w:p>
              </w:tc>
              <w:tc>
                <w:tcPr>
                  <w:tcW w:w="1083" w:type="pct"/>
                  <w:vAlign w:val="center"/>
                </w:tcPr>
                <w:p w14:paraId="33C8DD38">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w:t>
                  </w:r>
                </w:p>
              </w:tc>
            </w:tr>
            <w:tr w14:paraId="32EB36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continue"/>
                  <w:vAlign w:val="center"/>
                </w:tcPr>
                <w:p w14:paraId="6EF7F217">
                  <w:pPr>
                    <w:pStyle w:val="145"/>
                    <w:spacing w:line="240" w:lineRule="auto"/>
                    <w:jc w:val="center"/>
                    <w:rPr>
                      <w:rFonts w:ascii="Times New Roman" w:hAnsi="Times New Roman"/>
                      <w:color w:val="7030A0"/>
                      <w:sz w:val="21"/>
                      <w:szCs w:val="21"/>
                    </w:rPr>
                  </w:pPr>
                </w:p>
              </w:tc>
              <w:tc>
                <w:tcPr>
                  <w:tcW w:w="411" w:type="pct"/>
                  <w:vMerge w:val="continue"/>
                  <w:vAlign w:val="center"/>
                </w:tcPr>
                <w:p w14:paraId="390F4C86">
                  <w:pPr>
                    <w:pStyle w:val="145"/>
                    <w:spacing w:line="240" w:lineRule="auto"/>
                    <w:jc w:val="center"/>
                    <w:rPr>
                      <w:rFonts w:ascii="Times New Roman" w:hAnsi="Times New Roman"/>
                      <w:color w:val="7030A0"/>
                      <w:sz w:val="21"/>
                      <w:szCs w:val="21"/>
                    </w:rPr>
                  </w:pPr>
                </w:p>
              </w:tc>
              <w:tc>
                <w:tcPr>
                  <w:tcW w:w="434" w:type="pct"/>
                  <w:vMerge w:val="continue"/>
                  <w:vAlign w:val="center"/>
                </w:tcPr>
                <w:p w14:paraId="1AF78760">
                  <w:pPr>
                    <w:pStyle w:val="145"/>
                    <w:spacing w:line="240" w:lineRule="auto"/>
                    <w:jc w:val="center"/>
                    <w:rPr>
                      <w:rFonts w:ascii="Times New Roman" w:hAnsi="Times New Roman"/>
                      <w:color w:val="7030A0"/>
                      <w:sz w:val="21"/>
                      <w:szCs w:val="21"/>
                    </w:rPr>
                  </w:pPr>
                </w:p>
              </w:tc>
              <w:tc>
                <w:tcPr>
                  <w:tcW w:w="522" w:type="pct"/>
                  <w:vMerge w:val="continue"/>
                  <w:vAlign w:val="center"/>
                </w:tcPr>
                <w:p w14:paraId="2511276C">
                  <w:pPr>
                    <w:pStyle w:val="145"/>
                    <w:spacing w:line="240" w:lineRule="auto"/>
                    <w:jc w:val="center"/>
                    <w:rPr>
                      <w:rFonts w:ascii="Times New Roman" w:hAnsi="Times New Roman"/>
                      <w:color w:val="7030A0"/>
                      <w:sz w:val="21"/>
                      <w:szCs w:val="21"/>
                    </w:rPr>
                  </w:pPr>
                </w:p>
              </w:tc>
              <w:tc>
                <w:tcPr>
                  <w:tcW w:w="516" w:type="pct"/>
                  <w:vMerge w:val="continue"/>
                  <w:vAlign w:val="center"/>
                </w:tcPr>
                <w:p w14:paraId="1E2220E5">
                  <w:pPr>
                    <w:pStyle w:val="145"/>
                    <w:spacing w:line="240" w:lineRule="auto"/>
                    <w:jc w:val="center"/>
                    <w:rPr>
                      <w:rFonts w:ascii="Times New Roman" w:hAnsi="Times New Roman"/>
                      <w:color w:val="7030A0"/>
                      <w:sz w:val="21"/>
                      <w:szCs w:val="21"/>
                    </w:rPr>
                  </w:pPr>
                </w:p>
              </w:tc>
              <w:tc>
                <w:tcPr>
                  <w:tcW w:w="695" w:type="pct"/>
                  <w:vMerge w:val="continue"/>
                  <w:vAlign w:val="center"/>
                </w:tcPr>
                <w:p w14:paraId="1E54AFAF">
                  <w:pPr>
                    <w:pStyle w:val="145"/>
                    <w:spacing w:line="240" w:lineRule="auto"/>
                    <w:jc w:val="center"/>
                    <w:rPr>
                      <w:rFonts w:ascii="Times New Roman" w:hAnsi="Times New Roman"/>
                      <w:color w:val="7030A0"/>
                      <w:sz w:val="21"/>
                      <w:szCs w:val="21"/>
                    </w:rPr>
                  </w:pPr>
                </w:p>
              </w:tc>
              <w:tc>
                <w:tcPr>
                  <w:tcW w:w="347" w:type="pct"/>
                  <w:vMerge w:val="continue"/>
                  <w:vAlign w:val="center"/>
                </w:tcPr>
                <w:p w14:paraId="31E492C9">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522" w:type="pct"/>
                  <w:vAlign w:val="center"/>
                </w:tcPr>
                <w:p w14:paraId="28DFE41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BOD</w:t>
                  </w:r>
                  <w:r>
                    <w:rPr>
                      <w:rFonts w:ascii="Times New Roman" w:hAnsi="Times New Roman"/>
                      <w:color w:val="000000" w:themeColor="text1"/>
                      <w:kern w:val="2"/>
                      <w:sz w:val="21"/>
                      <w:szCs w:val="21"/>
                      <w:vertAlign w:val="subscript"/>
                      <w14:textFill>
                        <w14:solidFill>
                          <w14:schemeClr w14:val="tx1"/>
                        </w14:solidFill>
                      </w14:textFill>
                    </w:rPr>
                    <w:t>5</w:t>
                  </w:r>
                </w:p>
              </w:tc>
              <w:tc>
                <w:tcPr>
                  <w:tcW w:w="1083" w:type="pct"/>
                  <w:vAlign w:val="center"/>
                </w:tcPr>
                <w:p w14:paraId="303D18BF">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0</w:t>
                  </w:r>
                </w:p>
              </w:tc>
            </w:tr>
            <w:tr w14:paraId="0E8239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continue"/>
                  <w:vAlign w:val="center"/>
                </w:tcPr>
                <w:p w14:paraId="04986690">
                  <w:pPr>
                    <w:pStyle w:val="145"/>
                    <w:spacing w:line="240" w:lineRule="auto"/>
                    <w:jc w:val="center"/>
                    <w:rPr>
                      <w:rFonts w:ascii="Times New Roman" w:hAnsi="Times New Roman"/>
                      <w:color w:val="7030A0"/>
                      <w:sz w:val="21"/>
                      <w:szCs w:val="21"/>
                    </w:rPr>
                  </w:pPr>
                </w:p>
              </w:tc>
              <w:tc>
                <w:tcPr>
                  <w:tcW w:w="411" w:type="pct"/>
                  <w:vMerge w:val="continue"/>
                  <w:vAlign w:val="center"/>
                </w:tcPr>
                <w:p w14:paraId="65A363A6">
                  <w:pPr>
                    <w:pStyle w:val="145"/>
                    <w:spacing w:line="240" w:lineRule="auto"/>
                    <w:jc w:val="center"/>
                    <w:rPr>
                      <w:rFonts w:ascii="Times New Roman" w:hAnsi="Times New Roman"/>
                      <w:color w:val="7030A0"/>
                      <w:sz w:val="21"/>
                      <w:szCs w:val="21"/>
                    </w:rPr>
                  </w:pPr>
                </w:p>
              </w:tc>
              <w:tc>
                <w:tcPr>
                  <w:tcW w:w="434" w:type="pct"/>
                  <w:vMerge w:val="continue"/>
                  <w:vAlign w:val="center"/>
                </w:tcPr>
                <w:p w14:paraId="4832C021">
                  <w:pPr>
                    <w:pStyle w:val="145"/>
                    <w:spacing w:line="240" w:lineRule="auto"/>
                    <w:jc w:val="center"/>
                    <w:rPr>
                      <w:rFonts w:ascii="Times New Roman" w:hAnsi="Times New Roman"/>
                      <w:color w:val="7030A0"/>
                      <w:sz w:val="21"/>
                      <w:szCs w:val="21"/>
                    </w:rPr>
                  </w:pPr>
                </w:p>
              </w:tc>
              <w:tc>
                <w:tcPr>
                  <w:tcW w:w="522" w:type="pct"/>
                  <w:vMerge w:val="continue"/>
                  <w:vAlign w:val="center"/>
                </w:tcPr>
                <w:p w14:paraId="5E01903F">
                  <w:pPr>
                    <w:pStyle w:val="145"/>
                    <w:spacing w:line="240" w:lineRule="auto"/>
                    <w:jc w:val="center"/>
                    <w:rPr>
                      <w:rFonts w:ascii="Times New Roman" w:hAnsi="Times New Roman"/>
                      <w:color w:val="7030A0"/>
                      <w:sz w:val="21"/>
                      <w:szCs w:val="21"/>
                    </w:rPr>
                  </w:pPr>
                </w:p>
              </w:tc>
              <w:tc>
                <w:tcPr>
                  <w:tcW w:w="516" w:type="pct"/>
                  <w:vMerge w:val="continue"/>
                  <w:vAlign w:val="center"/>
                </w:tcPr>
                <w:p w14:paraId="7D07AE0E">
                  <w:pPr>
                    <w:pStyle w:val="145"/>
                    <w:spacing w:line="240" w:lineRule="auto"/>
                    <w:jc w:val="center"/>
                    <w:rPr>
                      <w:rFonts w:ascii="Times New Roman" w:hAnsi="Times New Roman"/>
                      <w:color w:val="7030A0"/>
                      <w:sz w:val="21"/>
                      <w:szCs w:val="21"/>
                    </w:rPr>
                  </w:pPr>
                </w:p>
              </w:tc>
              <w:tc>
                <w:tcPr>
                  <w:tcW w:w="695" w:type="pct"/>
                  <w:vMerge w:val="continue"/>
                  <w:vAlign w:val="center"/>
                </w:tcPr>
                <w:p w14:paraId="2AAD41E1">
                  <w:pPr>
                    <w:pStyle w:val="145"/>
                    <w:spacing w:line="240" w:lineRule="auto"/>
                    <w:jc w:val="center"/>
                    <w:rPr>
                      <w:rFonts w:ascii="Times New Roman" w:hAnsi="Times New Roman"/>
                      <w:color w:val="7030A0"/>
                      <w:sz w:val="21"/>
                      <w:szCs w:val="21"/>
                    </w:rPr>
                  </w:pPr>
                </w:p>
              </w:tc>
              <w:tc>
                <w:tcPr>
                  <w:tcW w:w="347" w:type="pct"/>
                  <w:vMerge w:val="continue"/>
                  <w:vAlign w:val="center"/>
                </w:tcPr>
                <w:p w14:paraId="53C512B4">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522" w:type="pct"/>
                  <w:vAlign w:val="center"/>
                </w:tcPr>
                <w:p w14:paraId="4A6B658C">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SS</w:t>
                  </w:r>
                </w:p>
              </w:tc>
              <w:tc>
                <w:tcPr>
                  <w:tcW w:w="1083" w:type="pct"/>
                  <w:vAlign w:val="center"/>
                </w:tcPr>
                <w:p w14:paraId="152383C1">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0</w:t>
                  </w:r>
                </w:p>
              </w:tc>
            </w:tr>
            <w:tr w14:paraId="355128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continue"/>
                  <w:vAlign w:val="center"/>
                </w:tcPr>
                <w:p w14:paraId="34D3EC43">
                  <w:pPr>
                    <w:pStyle w:val="145"/>
                    <w:spacing w:line="240" w:lineRule="auto"/>
                    <w:jc w:val="center"/>
                    <w:rPr>
                      <w:rFonts w:ascii="Times New Roman" w:hAnsi="Times New Roman"/>
                      <w:color w:val="7030A0"/>
                      <w:sz w:val="21"/>
                      <w:szCs w:val="21"/>
                    </w:rPr>
                  </w:pPr>
                </w:p>
              </w:tc>
              <w:tc>
                <w:tcPr>
                  <w:tcW w:w="411" w:type="pct"/>
                  <w:vMerge w:val="continue"/>
                  <w:vAlign w:val="center"/>
                </w:tcPr>
                <w:p w14:paraId="411B8AD3">
                  <w:pPr>
                    <w:pStyle w:val="145"/>
                    <w:spacing w:line="240" w:lineRule="auto"/>
                    <w:jc w:val="center"/>
                    <w:rPr>
                      <w:rFonts w:ascii="Times New Roman" w:hAnsi="Times New Roman"/>
                      <w:color w:val="7030A0"/>
                      <w:sz w:val="21"/>
                      <w:szCs w:val="21"/>
                    </w:rPr>
                  </w:pPr>
                </w:p>
              </w:tc>
              <w:tc>
                <w:tcPr>
                  <w:tcW w:w="434" w:type="pct"/>
                  <w:vMerge w:val="continue"/>
                  <w:vAlign w:val="center"/>
                </w:tcPr>
                <w:p w14:paraId="58A99B3D">
                  <w:pPr>
                    <w:pStyle w:val="145"/>
                    <w:spacing w:line="240" w:lineRule="auto"/>
                    <w:jc w:val="center"/>
                    <w:rPr>
                      <w:rFonts w:ascii="Times New Roman" w:hAnsi="Times New Roman"/>
                      <w:color w:val="7030A0"/>
                      <w:sz w:val="21"/>
                      <w:szCs w:val="21"/>
                    </w:rPr>
                  </w:pPr>
                </w:p>
              </w:tc>
              <w:tc>
                <w:tcPr>
                  <w:tcW w:w="522" w:type="pct"/>
                  <w:vMerge w:val="continue"/>
                  <w:vAlign w:val="center"/>
                </w:tcPr>
                <w:p w14:paraId="7DB56426">
                  <w:pPr>
                    <w:pStyle w:val="145"/>
                    <w:spacing w:line="240" w:lineRule="auto"/>
                    <w:jc w:val="center"/>
                    <w:rPr>
                      <w:rFonts w:ascii="Times New Roman" w:hAnsi="Times New Roman"/>
                      <w:color w:val="7030A0"/>
                      <w:sz w:val="21"/>
                      <w:szCs w:val="21"/>
                    </w:rPr>
                  </w:pPr>
                </w:p>
              </w:tc>
              <w:tc>
                <w:tcPr>
                  <w:tcW w:w="516" w:type="pct"/>
                  <w:vMerge w:val="continue"/>
                  <w:vAlign w:val="center"/>
                </w:tcPr>
                <w:p w14:paraId="32D002B6">
                  <w:pPr>
                    <w:pStyle w:val="145"/>
                    <w:spacing w:line="240" w:lineRule="auto"/>
                    <w:jc w:val="center"/>
                    <w:rPr>
                      <w:rFonts w:ascii="Times New Roman" w:hAnsi="Times New Roman"/>
                      <w:color w:val="7030A0"/>
                      <w:sz w:val="21"/>
                      <w:szCs w:val="21"/>
                    </w:rPr>
                  </w:pPr>
                </w:p>
              </w:tc>
              <w:tc>
                <w:tcPr>
                  <w:tcW w:w="695" w:type="pct"/>
                  <w:vMerge w:val="continue"/>
                  <w:vAlign w:val="center"/>
                </w:tcPr>
                <w:p w14:paraId="7104D229">
                  <w:pPr>
                    <w:pStyle w:val="145"/>
                    <w:spacing w:line="240" w:lineRule="auto"/>
                    <w:jc w:val="center"/>
                    <w:rPr>
                      <w:rFonts w:ascii="Times New Roman" w:hAnsi="Times New Roman"/>
                      <w:color w:val="7030A0"/>
                      <w:sz w:val="21"/>
                      <w:szCs w:val="21"/>
                    </w:rPr>
                  </w:pPr>
                </w:p>
              </w:tc>
              <w:tc>
                <w:tcPr>
                  <w:tcW w:w="347" w:type="pct"/>
                  <w:vMerge w:val="continue"/>
                  <w:vAlign w:val="center"/>
                </w:tcPr>
                <w:p w14:paraId="60FF6B20">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522" w:type="pct"/>
                  <w:vAlign w:val="center"/>
                </w:tcPr>
                <w:p w14:paraId="41BD8AC2">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氨氮</w:t>
                  </w:r>
                </w:p>
              </w:tc>
              <w:tc>
                <w:tcPr>
                  <w:tcW w:w="1083" w:type="pct"/>
                  <w:vAlign w:val="center"/>
                </w:tcPr>
                <w:p w14:paraId="1F81100B">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p>
              </w:tc>
            </w:tr>
            <w:tr w14:paraId="2286E6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continue"/>
                  <w:vAlign w:val="center"/>
                </w:tcPr>
                <w:p w14:paraId="057D1AF6">
                  <w:pPr>
                    <w:pStyle w:val="145"/>
                    <w:spacing w:line="240" w:lineRule="auto"/>
                    <w:jc w:val="center"/>
                    <w:rPr>
                      <w:rFonts w:ascii="Times New Roman" w:hAnsi="Times New Roman"/>
                      <w:color w:val="7030A0"/>
                      <w:sz w:val="21"/>
                      <w:szCs w:val="21"/>
                    </w:rPr>
                  </w:pPr>
                </w:p>
              </w:tc>
              <w:tc>
                <w:tcPr>
                  <w:tcW w:w="411" w:type="pct"/>
                  <w:vMerge w:val="continue"/>
                  <w:vAlign w:val="center"/>
                </w:tcPr>
                <w:p w14:paraId="2B7FFFD9">
                  <w:pPr>
                    <w:pStyle w:val="145"/>
                    <w:spacing w:line="240" w:lineRule="auto"/>
                    <w:jc w:val="center"/>
                    <w:rPr>
                      <w:rFonts w:ascii="Times New Roman" w:hAnsi="Times New Roman"/>
                      <w:color w:val="7030A0"/>
                      <w:sz w:val="21"/>
                      <w:szCs w:val="21"/>
                    </w:rPr>
                  </w:pPr>
                </w:p>
              </w:tc>
              <w:tc>
                <w:tcPr>
                  <w:tcW w:w="434" w:type="pct"/>
                  <w:vMerge w:val="continue"/>
                  <w:vAlign w:val="center"/>
                </w:tcPr>
                <w:p w14:paraId="6886EF50">
                  <w:pPr>
                    <w:pStyle w:val="145"/>
                    <w:spacing w:line="240" w:lineRule="auto"/>
                    <w:jc w:val="center"/>
                    <w:rPr>
                      <w:rFonts w:ascii="Times New Roman" w:hAnsi="Times New Roman"/>
                      <w:color w:val="7030A0"/>
                      <w:sz w:val="21"/>
                      <w:szCs w:val="21"/>
                    </w:rPr>
                  </w:pPr>
                </w:p>
              </w:tc>
              <w:tc>
                <w:tcPr>
                  <w:tcW w:w="522" w:type="pct"/>
                  <w:vMerge w:val="continue"/>
                  <w:vAlign w:val="center"/>
                </w:tcPr>
                <w:p w14:paraId="1B97B4D8">
                  <w:pPr>
                    <w:pStyle w:val="145"/>
                    <w:spacing w:line="240" w:lineRule="auto"/>
                    <w:jc w:val="center"/>
                    <w:rPr>
                      <w:rFonts w:ascii="Times New Roman" w:hAnsi="Times New Roman"/>
                      <w:color w:val="7030A0"/>
                      <w:sz w:val="21"/>
                      <w:szCs w:val="21"/>
                    </w:rPr>
                  </w:pPr>
                </w:p>
              </w:tc>
              <w:tc>
                <w:tcPr>
                  <w:tcW w:w="516" w:type="pct"/>
                  <w:vMerge w:val="continue"/>
                  <w:vAlign w:val="center"/>
                </w:tcPr>
                <w:p w14:paraId="260181B6">
                  <w:pPr>
                    <w:pStyle w:val="145"/>
                    <w:spacing w:line="240" w:lineRule="auto"/>
                    <w:jc w:val="center"/>
                    <w:rPr>
                      <w:rFonts w:ascii="Times New Roman" w:hAnsi="Times New Roman"/>
                      <w:color w:val="7030A0"/>
                      <w:sz w:val="21"/>
                      <w:szCs w:val="21"/>
                    </w:rPr>
                  </w:pPr>
                </w:p>
              </w:tc>
              <w:tc>
                <w:tcPr>
                  <w:tcW w:w="695" w:type="pct"/>
                  <w:vMerge w:val="continue"/>
                  <w:vAlign w:val="center"/>
                </w:tcPr>
                <w:p w14:paraId="22D9E249">
                  <w:pPr>
                    <w:pStyle w:val="145"/>
                    <w:spacing w:line="240" w:lineRule="auto"/>
                    <w:jc w:val="center"/>
                    <w:rPr>
                      <w:rFonts w:ascii="Times New Roman" w:hAnsi="Times New Roman"/>
                      <w:color w:val="7030A0"/>
                      <w:sz w:val="21"/>
                      <w:szCs w:val="21"/>
                    </w:rPr>
                  </w:pPr>
                </w:p>
              </w:tc>
              <w:tc>
                <w:tcPr>
                  <w:tcW w:w="347" w:type="pct"/>
                  <w:vMerge w:val="continue"/>
                  <w:vAlign w:val="center"/>
                </w:tcPr>
                <w:p w14:paraId="1BCAC2B8">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522" w:type="pct"/>
                  <w:vAlign w:val="center"/>
                </w:tcPr>
                <w:p w14:paraId="4C9CC929">
                  <w:pPr>
                    <w:pStyle w:val="145"/>
                    <w:spacing w:line="240" w:lineRule="auto"/>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总磷</w:t>
                  </w:r>
                </w:p>
              </w:tc>
              <w:tc>
                <w:tcPr>
                  <w:tcW w:w="1083" w:type="pct"/>
                  <w:vAlign w:val="center"/>
                </w:tcPr>
                <w:p w14:paraId="35DE0C34">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r>
                    <w:rPr>
                      <w:rFonts w:ascii="Times New Roman" w:hAnsi="Times New Roman"/>
                      <w:color w:val="000000" w:themeColor="text1"/>
                      <w:sz w:val="21"/>
                      <w:szCs w:val="21"/>
                      <w14:textFill>
                        <w14:solidFill>
                          <w14:schemeClr w14:val="tx1"/>
                        </w14:solidFill>
                      </w14:textFill>
                    </w:rPr>
                    <w:t>.4</w:t>
                  </w:r>
                </w:p>
              </w:tc>
            </w:tr>
            <w:tr w14:paraId="59BDA5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283" w:hRule="atLeast"/>
              </w:trPr>
              <w:tc>
                <w:tcPr>
                  <w:tcW w:w="470" w:type="pct"/>
                  <w:vMerge w:val="continue"/>
                  <w:vAlign w:val="center"/>
                </w:tcPr>
                <w:p w14:paraId="2C400521">
                  <w:pPr>
                    <w:pStyle w:val="145"/>
                    <w:spacing w:line="240" w:lineRule="auto"/>
                    <w:jc w:val="center"/>
                    <w:rPr>
                      <w:rFonts w:ascii="Times New Roman" w:hAnsi="Times New Roman"/>
                      <w:color w:val="7030A0"/>
                      <w:sz w:val="21"/>
                      <w:szCs w:val="21"/>
                    </w:rPr>
                  </w:pPr>
                </w:p>
              </w:tc>
              <w:tc>
                <w:tcPr>
                  <w:tcW w:w="411" w:type="pct"/>
                  <w:vMerge w:val="continue"/>
                  <w:vAlign w:val="center"/>
                </w:tcPr>
                <w:p w14:paraId="2F119530">
                  <w:pPr>
                    <w:pStyle w:val="145"/>
                    <w:spacing w:line="240" w:lineRule="auto"/>
                    <w:jc w:val="center"/>
                    <w:rPr>
                      <w:rFonts w:ascii="Times New Roman" w:hAnsi="Times New Roman"/>
                      <w:color w:val="7030A0"/>
                      <w:sz w:val="21"/>
                      <w:szCs w:val="21"/>
                    </w:rPr>
                  </w:pPr>
                </w:p>
              </w:tc>
              <w:tc>
                <w:tcPr>
                  <w:tcW w:w="434" w:type="pct"/>
                  <w:vMerge w:val="continue"/>
                  <w:vAlign w:val="center"/>
                </w:tcPr>
                <w:p w14:paraId="50950FE1">
                  <w:pPr>
                    <w:pStyle w:val="145"/>
                    <w:spacing w:line="240" w:lineRule="auto"/>
                    <w:jc w:val="center"/>
                    <w:rPr>
                      <w:rFonts w:ascii="Times New Roman" w:hAnsi="Times New Roman"/>
                      <w:color w:val="7030A0"/>
                      <w:sz w:val="21"/>
                      <w:szCs w:val="21"/>
                    </w:rPr>
                  </w:pPr>
                </w:p>
              </w:tc>
              <w:tc>
                <w:tcPr>
                  <w:tcW w:w="522" w:type="pct"/>
                  <w:vMerge w:val="continue"/>
                  <w:vAlign w:val="center"/>
                </w:tcPr>
                <w:p w14:paraId="018F027C">
                  <w:pPr>
                    <w:pStyle w:val="145"/>
                    <w:spacing w:line="240" w:lineRule="auto"/>
                    <w:jc w:val="center"/>
                    <w:rPr>
                      <w:rFonts w:ascii="Times New Roman" w:hAnsi="Times New Roman"/>
                      <w:color w:val="7030A0"/>
                      <w:sz w:val="21"/>
                      <w:szCs w:val="21"/>
                    </w:rPr>
                  </w:pPr>
                </w:p>
              </w:tc>
              <w:tc>
                <w:tcPr>
                  <w:tcW w:w="516" w:type="pct"/>
                  <w:vMerge w:val="continue"/>
                  <w:vAlign w:val="center"/>
                </w:tcPr>
                <w:p w14:paraId="665EF70E">
                  <w:pPr>
                    <w:pStyle w:val="145"/>
                    <w:spacing w:line="240" w:lineRule="auto"/>
                    <w:jc w:val="center"/>
                    <w:rPr>
                      <w:rFonts w:ascii="Times New Roman" w:hAnsi="Times New Roman"/>
                      <w:color w:val="7030A0"/>
                      <w:sz w:val="21"/>
                      <w:szCs w:val="21"/>
                    </w:rPr>
                  </w:pPr>
                </w:p>
              </w:tc>
              <w:tc>
                <w:tcPr>
                  <w:tcW w:w="695" w:type="pct"/>
                  <w:vMerge w:val="continue"/>
                  <w:vAlign w:val="center"/>
                </w:tcPr>
                <w:p w14:paraId="6438D423">
                  <w:pPr>
                    <w:pStyle w:val="145"/>
                    <w:spacing w:line="240" w:lineRule="auto"/>
                    <w:jc w:val="center"/>
                    <w:rPr>
                      <w:rFonts w:ascii="Times New Roman" w:hAnsi="Times New Roman"/>
                      <w:color w:val="7030A0"/>
                      <w:sz w:val="21"/>
                      <w:szCs w:val="21"/>
                    </w:rPr>
                  </w:pPr>
                </w:p>
              </w:tc>
              <w:tc>
                <w:tcPr>
                  <w:tcW w:w="347" w:type="pct"/>
                  <w:vMerge w:val="continue"/>
                  <w:vAlign w:val="center"/>
                </w:tcPr>
                <w:p w14:paraId="732F3846">
                  <w:pPr>
                    <w:pStyle w:val="145"/>
                    <w:spacing w:line="240" w:lineRule="auto"/>
                    <w:jc w:val="center"/>
                    <w:rPr>
                      <w:rFonts w:ascii="Times New Roman" w:hAnsi="Times New Roman"/>
                      <w:color w:val="000000" w:themeColor="text1"/>
                      <w:sz w:val="21"/>
                      <w:szCs w:val="21"/>
                      <w14:textFill>
                        <w14:solidFill>
                          <w14:schemeClr w14:val="tx1"/>
                        </w14:solidFill>
                      </w14:textFill>
                    </w:rPr>
                  </w:pPr>
                </w:p>
              </w:tc>
              <w:tc>
                <w:tcPr>
                  <w:tcW w:w="522" w:type="pct"/>
                  <w:vAlign w:val="center"/>
                </w:tcPr>
                <w:p w14:paraId="758ED567">
                  <w:pPr>
                    <w:pStyle w:val="145"/>
                    <w:spacing w:line="240" w:lineRule="auto"/>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动植物油</w:t>
                  </w:r>
                </w:p>
              </w:tc>
              <w:tc>
                <w:tcPr>
                  <w:tcW w:w="1083" w:type="pct"/>
                  <w:vAlign w:val="center"/>
                </w:tcPr>
                <w:p w14:paraId="039DD9EA">
                  <w:pPr>
                    <w:pStyle w:val="145"/>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p>
              </w:tc>
            </w:tr>
          </w:tbl>
          <w:p w14:paraId="30420119">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表4-1</w:t>
            </w:r>
            <w:r>
              <w:rPr>
                <w:rFonts w:hint="eastAsia" w:ascii="Times New Roman" w:hAnsi="Times New Roman" w:eastAsia="宋体"/>
                <w:color w:val="000000" w:themeColor="text1"/>
                <w:sz w:val="21"/>
                <w:szCs w:val="21"/>
                <w14:textFill>
                  <w14:solidFill>
                    <w14:schemeClr w14:val="tx1"/>
                  </w14:solidFill>
                </w14:textFill>
              </w:rPr>
              <w:t>2</w:t>
            </w:r>
            <w:r>
              <w:rPr>
                <w:rFonts w:ascii="Times New Roman" w:hAnsi="Times New Roman" w:eastAsia="宋体"/>
                <w:color w:val="000000" w:themeColor="text1"/>
                <w:sz w:val="21"/>
                <w:szCs w:val="21"/>
                <w14:textFill>
                  <w14:solidFill>
                    <w14:schemeClr w14:val="tx1"/>
                  </w14:solidFill>
                </w14:textFill>
              </w:rPr>
              <w:t xml:space="preserve"> 废水污染物排放执行标准表</w:t>
            </w:r>
          </w:p>
          <w:tbl>
            <w:tblPr>
              <w:tblStyle w:val="40"/>
              <w:tblW w:w="8093" w:type="dxa"/>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79"/>
              <w:gridCol w:w="1334"/>
              <w:gridCol w:w="1632"/>
              <w:gridCol w:w="3166"/>
              <w:gridCol w:w="1182"/>
            </w:tblGrid>
            <w:tr w14:paraId="6993F7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restart"/>
                  <w:vAlign w:val="center"/>
                </w:tcPr>
                <w:p w14:paraId="6F30E343">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824" w:type="pct"/>
                  <w:vMerge w:val="restart"/>
                  <w:vAlign w:val="center"/>
                </w:tcPr>
                <w:p w14:paraId="418B709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w:t>
                  </w:r>
                </w:p>
              </w:tc>
              <w:tc>
                <w:tcPr>
                  <w:tcW w:w="1008" w:type="pct"/>
                  <w:vMerge w:val="restart"/>
                  <w:vAlign w:val="center"/>
                </w:tcPr>
                <w:p w14:paraId="1D6BE079">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污染物种类</w:t>
                  </w:r>
                </w:p>
              </w:tc>
              <w:tc>
                <w:tcPr>
                  <w:tcW w:w="2686" w:type="pct"/>
                  <w:gridSpan w:val="2"/>
                  <w:vAlign w:val="center"/>
                </w:tcPr>
                <w:p w14:paraId="4E8F469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国家或地方污染物排放标准及其他按规定商定的排放协议</w:t>
                  </w:r>
                </w:p>
              </w:tc>
            </w:tr>
            <w:tr w14:paraId="12453A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continue"/>
                  <w:vAlign w:val="center"/>
                </w:tcPr>
                <w:p w14:paraId="6C862CFC">
                  <w:pPr>
                    <w:jc w:val="center"/>
                    <w:rPr>
                      <w:b/>
                      <w:bCs/>
                      <w:color w:val="7030A0"/>
                      <w:szCs w:val="21"/>
                    </w:rPr>
                  </w:pPr>
                </w:p>
              </w:tc>
              <w:tc>
                <w:tcPr>
                  <w:tcW w:w="824" w:type="pct"/>
                  <w:vMerge w:val="continue"/>
                  <w:vAlign w:val="center"/>
                </w:tcPr>
                <w:p w14:paraId="7278BD33">
                  <w:pPr>
                    <w:jc w:val="center"/>
                    <w:rPr>
                      <w:b/>
                      <w:bCs/>
                      <w:color w:val="7030A0"/>
                      <w:szCs w:val="21"/>
                    </w:rPr>
                  </w:pPr>
                </w:p>
              </w:tc>
              <w:tc>
                <w:tcPr>
                  <w:tcW w:w="1008" w:type="pct"/>
                  <w:vMerge w:val="continue"/>
                  <w:vAlign w:val="center"/>
                </w:tcPr>
                <w:p w14:paraId="1CFF3EE5">
                  <w:pPr>
                    <w:jc w:val="center"/>
                    <w:rPr>
                      <w:b/>
                      <w:bCs/>
                      <w:color w:val="000000" w:themeColor="text1"/>
                      <w:szCs w:val="21"/>
                      <w14:textFill>
                        <w14:solidFill>
                          <w14:schemeClr w14:val="tx1"/>
                        </w14:solidFill>
                      </w14:textFill>
                    </w:rPr>
                  </w:pPr>
                </w:p>
              </w:tc>
              <w:tc>
                <w:tcPr>
                  <w:tcW w:w="1956" w:type="pct"/>
                  <w:vAlign w:val="center"/>
                </w:tcPr>
                <w:p w14:paraId="071CAA4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730" w:type="pct"/>
                  <w:vAlign w:val="center"/>
                </w:tcPr>
                <w:p w14:paraId="71BD9D3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浓度限值（mg/L）</w:t>
                  </w:r>
                </w:p>
              </w:tc>
            </w:tr>
            <w:tr w14:paraId="57FA53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restart"/>
                  <w:vAlign w:val="center"/>
                </w:tcPr>
                <w:p w14:paraId="04CEBE9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24" w:type="pct"/>
                  <w:vMerge w:val="restart"/>
                  <w:vAlign w:val="center"/>
                </w:tcPr>
                <w:p w14:paraId="0A7236E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DW001</w:t>
                  </w:r>
                </w:p>
              </w:tc>
              <w:tc>
                <w:tcPr>
                  <w:tcW w:w="1008" w:type="pct"/>
                  <w:vAlign w:val="center"/>
                </w:tcPr>
                <w:p w14:paraId="5AB09DB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CODcr</w:t>
                  </w:r>
                </w:p>
              </w:tc>
              <w:tc>
                <w:tcPr>
                  <w:tcW w:w="1956" w:type="pct"/>
                  <w:vMerge w:val="restart"/>
                  <w:vAlign w:val="center"/>
                </w:tcPr>
                <w:p w14:paraId="449F945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广东省《水污染物排放限值》（DB44/26-2001）第二时段三级标准</w:t>
                  </w:r>
                </w:p>
              </w:tc>
              <w:tc>
                <w:tcPr>
                  <w:tcW w:w="730" w:type="pct"/>
                  <w:vAlign w:val="center"/>
                </w:tcPr>
                <w:p w14:paraId="390A375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r>
            <w:tr w14:paraId="28E192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continue"/>
                  <w:vAlign w:val="center"/>
                </w:tcPr>
                <w:p w14:paraId="396462F3">
                  <w:pPr>
                    <w:jc w:val="center"/>
                    <w:rPr>
                      <w:color w:val="7030A0"/>
                      <w:szCs w:val="21"/>
                    </w:rPr>
                  </w:pPr>
                </w:p>
              </w:tc>
              <w:tc>
                <w:tcPr>
                  <w:tcW w:w="824" w:type="pct"/>
                  <w:vMerge w:val="continue"/>
                  <w:vAlign w:val="center"/>
                </w:tcPr>
                <w:p w14:paraId="5B34E17D">
                  <w:pPr>
                    <w:jc w:val="center"/>
                    <w:rPr>
                      <w:color w:val="000000" w:themeColor="text1"/>
                      <w:szCs w:val="21"/>
                      <w14:textFill>
                        <w14:solidFill>
                          <w14:schemeClr w14:val="tx1"/>
                        </w14:solidFill>
                      </w14:textFill>
                    </w:rPr>
                  </w:pPr>
                </w:p>
              </w:tc>
              <w:tc>
                <w:tcPr>
                  <w:tcW w:w="1008" w:type="pct"/>
                  <w:vAlign w:val="center"/>
                </w:tcPr>
                <w:p w14:paraId="16BB50C1">
                  <w:pPr>
                    <w:jc w:val="center"/>
                    <w:rPr>
                      <w:color w:val="7030A0"/>
                      <w:szCs w:val="21"/>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1956" w:type="pct"/>
                  <w:vMerge w:val="continue"/>
                  <w:vAlign w:val="center"/>
                </w:tcPr>
                <w:p w14:paraId="2B15B583">
                  <w:pPr>
                    <w:jc w:val="center"/>
                    <w:rPr>
                      <w:color w:val="000000" w:themeColor="text1"/>
                      <w:szCs w:val="21"/>
                      <w14:textFill>
                        <w14:solidFill>
                          <w14:schemeClr w14:val="tx1"/>
                        </w14:solidFill>
                      </w14:textFill>
                    </w:rPr>
                  </w:pPr>
                </w:p>
              </w:tc>
              <w:tc>
                <w:tcPr>
                  <w:tcW w:w="730" w:type="pct"/>
                  <w:vAlign w:val="center"/>
                </w:tcPr>
                <w:p w14:paraId="7AE11B4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14:paraId="20DE8E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continue"/>
                  <w:vAlign w:val="center"/>
                </w:tcPr>
                <w:p w14:paraId="70C96191">
                  <w:pPr>
                    <w:jc w:val="center"/>
                    <w:rPr>
                      <w:color w:val="7030A0"/>
                      <w:szCs w:val="21"/>
                    </w:rPr>
                  </w:pPr>
                </w:p>
              </w:tc>
              <w:tc>
                <w:tcPr>
                  <w:tcW w:w="824" w:type="pct"/>
                  <w:vMerge w:val="continue"/>
                  <w:vAlign w:val="center"/>
                </w:tcPr>
                <w:p w14:paraId="78B0E01F">
                  <w:pPr>
                    <w:jc w:val="center"/>
                    <w:rPr>
                      <w:color w:val="000000" w:themeColor="text1"/>
                      <w:szCs w:val="21"/>
                      <w14:textFill>
                        <w14:solidFill>
                          <w14:schemeClr w14:val="tx1"/>
                        </w14:solidFill>
                      </w14:textFill>
                    </w:rPr>
                  </w:pPr>
                </w:p>
              </w:tc>
              <w:tc>
                <w:tcPr>
                  <w:tcW w:w="1008" w:type="pct"/>
                  <w:vAlign w:val="center"/>
                </w:tcPr>
                <w:p w14:paraId="34930D8F">
                  <w:pPr>
                    <w:jc w:val="center"/>
                    <w:rPr>
                      <w:color w:val="7030A0"/>
                      <w:szCs w:val="21"/>
                    </w:rPr>
                  </w:pPr>
                  <w:r>
                    <w:rPr>
                      <w:color w:val="000000" w:themeColor="text1"/>
                      <w:szCs w:val="21"/>
                      <w14:textFill>
                        <w14:solidFill>
                          <w14:schemeClr w14:val="tx1"/>
                        </w14:solidFill>
                      </w14:textFill>
                    </w:rPr>
                    <w:t>SS</w:t>
                  </w:r>
                </w:p>
              </w:tc>
              <w:tc>
                <w:tcPr>
                  <w:tcW w:w="1956" w:type="pct"/>
                  <w:vMerge w:val="continue"/>
                  <w:vAlign w:val="center"/>
                </w:tcPr>
                <w:p w14:paraId="087BEA04">
                  <w:pPr>
                    <w:jc w:val="center"/>
                    <w:rPr>
                      <w:color w:val="000000" w:themeColor="text1"/>
                      <w:szCs w:val="21"/>
                      <w14:textFill>
                        <w14:solidFill>
                          <w14:schemeClr w14:val="tx1"/>
                        </w14:solidFill>
                      </w14:textFill>
                    </w:rPr>
                  </w:pPr>
                </w:p>
              </w:tc>
              <w:tc>
                <w:tcPr>
                  <w:tcW w:w="730" w:type="pct"/>
                  <w:vAlign w:val="center"/>
                </w:tcPr>
                <w:p w14:paraId="14CD3E5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400</w:t>
                  </w:r>
                </w:p>
              </w:tc>
            </w:tr>
            <w:tr w14:paraId="34540D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continue"/>
                  <w:vAlign w:val="center"/>
                </w:tcPr>
                <w:p w14:paraId="1515D1E8">
                  <w:pPr>
                    <w:jc w:val="center"/>
                    <w:rPr>
                      <w:color w:val="7030A0"/>
                      <w:szCs w:val="21"/>
                    </w:rPr>
                  </w:pPr>
                </w:p>
              </w:tc>
              <w:tc>
                <w:tcPr>
                  <w:tcW w:w="824" w:type="pct"/>
                  <w:vMerge w:val="continue"/>
                  <w:vAlign w:val="center"/>
                </w:tcPr>
                <w:p w14:paraId="01227971">
                  <w:pPr>
                    <w:jc w:val="center"/>
                    <w:rPr>
                      <w:color w:val="000000" w:themeColor="text1"/>
                      <w:szCs w:val="21"/>
                      <w14:textFill>
                        <w14:solidFill>
                          <w14:schemeClr w14:val="tx1"/>
                        </w14:solidFill>
                      </w14:textFill>
                    </w:rPr>
                  </w:pPr>
                </w:p>
              </w:tc>
              <w:tc>
                <w:tcPr>
                  <w:tcW w:w="1008" w:type="pct"/>
                  <w:vAlign w:val="center"/>
                </w:tcPr>
                <w:p w14:paraId="22999475">
                  <w:pPr>
                    <w:jc w:val="center"/>
                    <w:rPr>
                      <w:color w:val="7030A0"/>
                      <w:szCs w:val="21"/>
                    </w:rPr>
                  </w:pPr>
                  <w:r>
                    <w:rPr>
                      <w:rFonts w:hint="eastAsia"/>
                      <w:color w:val="000000" w:themeColor="text1"/>
                      <w:szCs w:val="21"/>
                      <w14:textFill>
                        <w14:solidFill>
                          <w14:schemeClr w14:val="tx1"/>
                        </w14:solidFill>
                      </w14:textFill>
                    </w:rPr>
                    <w:t>氨氮</w:t>
                  </w:r>
                </w:p>
              </w:tc>
              <w:tc>
                <w:tcPr>
                  <w:tcW w:w="1956" w:type="pct"/>
                  <w:vMerge w:val="continue"/>
                  <w:vAlign w:val="center"/>
                </w:tcPr>
                <w:p w14:paraId="78E10D04">
                  <w:pPr>
                    <w:jc w:val="center"/>
                    <w:rPr>
                      <w:color w:val="000000" w:themeColor="text1"/>
                      <w:szCs w:val="21"/>
                      <w14:textFill>
                        <w14:solidFill>
                          <w14:schemeClr w14:val="tx1"/>
                        </w14:solidFill>
                      </w14:textFill>
                    </w:rPr>
                  </w:pPr>
                </w:p>
              </w:tc>
              <w:tc>
                <w:tcPr>
                  <w:tcW w:w="730" w:type="pct"/>
                  <w:vAlign w:val="center"/>
                </w:tcPr>
                <w:p w14:paraId="6CBD46D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05C58C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continue"/>
                  <w:vAlign w:val="center"/>
                </w:tcPr>
                <w:p w14:paraId="1787C504">
                  <w:pPr>
                    <w:jc w:val="center"/>
                    <w:rPr>
                      <w:color w:val="7030A0"/>
                      <w:szCs w:val="21"/>
                    </w:rPr>
                  </w:pPr>
                </w:p>
              </w:tc>
              <w:tc>
                <w:tcPr>
                  <w:tcW w:w="824" w:type="pct"/>
                  <w:vMerge w:val="continue"/>
                  <w:vAlign w:val="center"/>
                </w:tcPr>
                <w:p w14:paraId="4E9DD5C3">
                  <w:pPr>
                    <w:jc w:val="center"/>
                    <w:rPr>
                      <w:color w:val="000000" w:themeColor="text1"/>
                      <w:szCs w:val="21"/>
                      <w14:textFill>
                        <w14:solidFill>
                          <w14:schemeClr w14:val="tx1"/>
                        </w14:solidFill>
                      </w14:textFill>
                    </w:rPr>
                  </w:pPr>
                </w:p>
              </w:tc>
              <w:tc>
                <w:tcPr>
                  <w:tcW w:w="1008" w:type="pct"/>
                  <w:vAlign w:val="center"/>
                </w:tcPr>
                <w:p w14:paraId="181E733B">
                  <w:pPr>
                    <w:jc w:val="center"/>
                    <w:rPr>
                      <w:color w:val="7030A0"/>
                      <w:szCs w:val="21"/>
                    </w:rPr>
                  </w:pPr>
                  <w:r>
                    <w:rPr>
                      <w:rFonts w:hint="eastAsia"/>
                      <w:color w:val="000000" w:themeColor="text1"/>
                      <w:szCs w:val="21"/>
                      <w14:textFill>
                        <w14:solidFill>
                          <w14:schemeClr w14:val="tx1"/>
                        </w14:solidFill>
                      </w14:textFill>
                    </w:rPr>
                    <w:t>总磷</w:t>
                  </w:r>
                </w:p>
              </w:tc>
              <w:tc>
                <w:tcPr>
                  <w:tcW w:w="1956" w:type="pct"/>
                  <w:vMerge w:val="continue"/>
                  <w:vAlign w:val="center"/>
                </w:tcPr>
                <w:p w14:paraId="63376CA8">
                  <w:pPr>
                    <w:jc w:val="center"/>
                    <w:rPr>
                      <w:color w:val="000000" w:themeColor="text1"/>
                      <w:szCs w:val="21"/>
                      <w14:textFill>
                        <w14:solidFill>
                          <w14:schemeClr w14:val="tx1"/>
                        </w14:solidFill>
                      </w14:textFill>
                    </w:rPr>
                  </w:pPr>
                </w:p>
              </w:tc>
              <w:tc>
                <w:tcPr>
                  <w:tcW w:w="730" w:type="pct"/>
                  <w:vAlign w:val="center"/>
                </w:tcPr>
                <w:p w14:paraId="60505B2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2B7F55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81" w:type="pct"/>
                  <w:vMerge w:val="continue"/>
                  <w:vAlign w:val="center"/>
                </w:tcPr>
                <w:p w14:paraId="06B6B58B">
                  <w:pPr>
                    <w:jc w:val="center"/>
                    <w:rPr>
                      <w:color w:val="7030A0"/>
                      <w:szCs w:val="21"/>
                    </w:rPr>
                  </w:pPr>
                </w:p>
              </w:tc>
              <w:tc>
                <w:tcPr>
                  <w:tcW w:w="824" w:type="pct"/>
                  <w:vMerge w:val="continue"/>
                  <w:vAlign w:val="center"/>
                </w:tcPr>
                <w:p w14:paraId="2A5F43A7">
                  <w:pPr>
                    <w:jc w:val="center"/>
                    <w:rPr>
                      <w:color w:val="000000" w:themeColor="text1"/>
                      <w:szCs w:val="21"/>
                      <w14:textFill>
                        <w14:solidFill>
                          <w14:schemeClr w14:val="tx1"/>
                        </w14:solidFill>
                      </w14:textFill>
                    </w:rPr>
                  </w:pPr>
                </w:p>
              </w:tc>
              <w:tc>
                <w:tcPr>
                  <w:tcW w:w="1008" w:type="pct"/>
                  <w:vAlign w:val="center"/>
                </w:tcPr>
                <w:p w14:paraId="23B33350">
                  <w:pPr>
                    <w:jc w:val="center"/>
                    <w:rPr>
                      <w:color w:val="7030A0"/>
                      <w:szCs w:val="21"/>
                    </w:rPr>
                  </w:pPr>
                  <w:r>
                    <w:rPr>
                      <w:rFonts w:hint="eastAsia"/>
                      <w:color w:val="000000" w:themeColor="text1"/>
                      <w:szCs w:val="21"/>
                      <w14:textFill>
                        <w14:solidFill>
                          <w14:schemeClr w14:val="tx1"/>
                        </w14:solidFill>
                      </w14:textFill>
                    </w:rPr>
                    <w:t>动植物油</w:t>
                  </w:r>
                </w:p>
              </w:tc>
              <w:tc>
                <w:tcPr>
                  <w:tcW w:w="1956" w:type="pct"/>
                  <w:vMerge w:val="continue"/>
                  <w:vAlign w:val="center"/>
                </w:tcPr>
                <w:p w14:paraId="2CC44F24">
                  <w:pPr>
                    <w:jc w:val="center"/>
                    <w:rPr>
                      <w:color w:val="000000" w:themeColor="text1"/>
                      <w:szCs w:val="21"/>
                      <w14:textFill>
                        <w14:solidFill>
                          <w14:schemeClr w14:val="tx1"/>
                        </w14:solidFill>
                      </w14:textFill>
                    </w:rPr>
                  </w:pPr>
                </w:p>
              </w:tc>
              <w:tc>
                <w:tcPr>
                  <w:tcW w:w="730" w:type="pct"/>
                  <w:vAlign w:val="center"/>
                </w:tcPr>
                <w:p w14:paraId="021CF21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r>
          </w:tbl>
          <w:p w14:paraId="4F0AD12B">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5、监测要求</w:t>
            </w:r>
          </w:p>
          <w:p w14:paraId="6D074499">
            <w:pPr>
              <w:pStyle w:val="49"/>
              <w:spacing w:line="360" w:lineRule="auto"/>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项目员工生活污水经“隔油隔渣+三级化粪池”处理达到广东省《水污染物排放限值》（DB44/26-2001）第二时段三级标准后经市政污水管网排入博罗县福田镇生活污水处理厂进行深度处理，最终排入福田河。</w:t>
            </w:r>
          </w:p>
          <w:p w14:paraId="4ADF8397">
            <w:pPr>
              <w:pStyle w:val="49"/>
              <w:spacing w:line="360" w:lineRule="auto"/>
              <w:ind w:firstLine="480" w:firstLineChars="200"/>
              <w:rPr>
                <w:rFonts w:ascii="Times New Roman"/>
                <w:color w:val="000000" w:themeColor="text1"/>
                <w:sz w:val="21"/>
                <w:szCs w:val="21"/>
                <w14:textFill>
                  <w14:solidFill>
                    <w14:schemeClr w14:val="tx1"/>
                  </w14:solidFill>
                </w14:textFill>
              </w:rPr>
            </w:pPr>
            <w:r>
              <w:rPr>
                <w:rFonts w:ascii="Times New Roman"/>
                <w:color w:val="000000" w:themeColor="text1"/>
                <w14:textFill>
                  <w14:solidFill>
                    <w14:schemeClr w14:val="tx1"/>
                  </w14:solidFill>
                </w14:textFill>
              </w:rPr>
              <w:t>本项目涉及</w:t>
            </w:r>
            <w:r>
              <w:rPr>
                <w:rFonts w:hint="eastAsia" w:ascii="Times New Roman"/>
                <w:color w:val="000000" w:themeColor="text1"/>
                <w14:textFill>
                  <w14:solidFill>
                    <w14:schemeClr w14:val="tx1"/>
                  </w14:solidFill>
                </w14:textFill>
              </w:rPr>
              <w:t>喷涂</w:t>
            </w:r>
            <w:r>
              <w:rPr>
                <w:rFonts w:ascii="Times New Roman"/>
                <w:color w:val="000000" w:themeColor="text1"/>
                <w14:textFill>
                  <w14:solidFill>
                    <w14:schemeClr w14:val="tx1"/>
                  </w14:solidFill>
                </w14:textFill>
              </w:rPr>
              <w:t>工序，自行监测计划参考</w:t>
            </w:r>
            <w:r>
              <w:rPr>
                <w:rFonts w:ascii="Times New Roman"/>
                <w:color w:val="000000" w:themeColor="text1"/>
                <w:shd w:val="clear" w:color="auto" w:fill="FFFFFF"/>
                <w14:textFill>
                  <w14:solidFill>
                    <w14:schemeClr w14:val="tx1"/>
                  </w14:solidFill>
                </w14:textFill>
              </w:rPr>
              <w:t>《排污单位自行监测技术指南 涂装》（HJ 1086）执行</w:t>
            </w:r>
            <w:r>
              <w:rPr>
                <w:rFonts w:ascii="Times New Roman"/>
                <w:color w:val="000000" w:themeColor="text1"/>
                <w14:textFill>
                  <w14:solidFill>
                    <w14:schemeClr w14:val="tx1"/>
                  </w14:solidFill>
                </w14:textFill>
              </w:rPr>
              <w:t>，根据</w:t>
            </w:r>
            <w:r>
              <w:rPr>
                <w:rFonts w:ascii="Times New Roman"/>
                <w:color w:val="000000" w:themeColor="text1"/>
                <w:shd w:val="clear" w:color="auto" w:fill="FFFFFF"/>
                <w14:textFill>
                  <w14:solidFill>
                    <w14:schemeClr w14:val="tx1"/>
                  </w14:solidFill>
                </w14:textFill>
              </w:rPr>
              <w:t>《排污单位自行监测技术指南 涂装》（HJ 1086）</w:t>
            </w:r>
            <w:r>
              <w:rPr>
                <w:rFonts w:ascii="Times New Roman"/>
                <w:color w:val="000000" w:themeColor="text1"/>
                <w14:textFill>
                  <w14:solidFill>
                    <w14:schemeClr w14:val="tx1"/>
                  </w14:solidFill>
                </w14:textFill>
              </w:rPr>
              <w:t>中5.1.2生活污水排放口“间接排放不要求开展自行监测。”，因此本项目不需要开展污水监测。</w:t>
            </w:r>
          </w:p>
          <w:p w14:paraId="7BC801CE">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6</w:t>
            </w:r>
            <w:r>
              <w:rPr>
                <w:rFonts w:hint="eastAsia"/>
                <w:b/>
                <w:bCs/>
                <w:color w:val="000000" w:themeColor="text1"/>
                <w:sz w:val="24"/>
                <w14:textFill>
                  <w14:solidFill>
                    <w14:schemeClr w14:val="tx1"/>
                  </w14:solidFill>
                </w14:textFill>
              </w:rPr>
              <w:t>、废水处理设施可行性分析</w:t>
            </w:r>
          </w:p>
          <w:p w14:paraId="13216E9C">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（1）水污染控制和水环境影响减缓措施的有效性评价</w:t>
            </w:r>
          </w:p>
          <w:p w14:paraId="049D0462">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项目生活污水经厂区内</w:t>
            </w:r>
            <w:r>
              <w:rPr>
                <w:rFonts w:hint="eastAsia"/>
                <w:color w:val="000000" w:themeColor="text1"/>
                <w:sz w:val="24"/>
                <w14:textFill>
                  <w14:solidFill>
                    <w14:schemeClr w14:val="tx1"/>
                  </w14:solidFill>
                </w14:textFill>
              </w:rPr>
              <w:t>“隔油隔渣+</w:t>
            </w:r>
            <w:r>
              <w:rPr>
                <w:color w:val="000000" w:themeColor="text1"/>
                <w:sz w:val="24"/>
                <w14:textFill>
                  <w14:solidFill>
                    <w14:schemeClr w14:val="tx1"/>
                  </w14:solidFill>
                </w14:textFill>
              </w:rPr>
              <w:t>三级化粪池</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处理达到广东省《水污染物排放限值》（DB44/26-2001）第二时段三级标准后，通过市政污水管网接入博罗县福田镇生活污水处理厂处理。</w:t>
            </w:r>
          </w:p>
          <w:p w14:paraId="16BDCF70">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博罗县福田镇生活污水处理厂于2012年12月投产，总投资约人民币2964.56万元，位于</w:t>
            </w:r>
            <w:r>
              <w:rPr>
                <w:rFonts w:hint="eastAsia"/>
                <w:color w:val="000000" w:themeColor="text1"/>
                <w:sz w:val="24"/>
                <w14:textFill>
                  <w14:solidFill>
                    <w14:schemeClr w14:val="tx1"/>
                  </w14:solidFill>
                </w14:textFill>
              </w:rPr>
              <w:t>长宁镇</w:t>
            </w:r>
            <w:r>
              <w:rPr>
                <w:color w:val="000000" w:themeColor="text1"/>
                <w:sz w:val="24"/>
                <w14:textFill>
                  <w14:solidFill>
                    <w14:schemeClr w14:val="tx1"/>
                  </w14:solidFill>
                </w14:textFill>
              </w:rPr>
              <w:t>福田荔枝墩村委会第一小组、第八小组、田心前后、高堂头，占地面积10148平方米，建筑面积3600平方米，员工人数约为10人；工程设计日处理生活污水1万吨。</w:t>
            </w:r>
          </w:p>
          <w:p w14:paraId="0ACBB922">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进厂污水首先经过粗格栅机去除大块固体杂物和漂浮物后，由潜污泵提升至细格栅及旋流沉砂池，通过细格栅进一步去除大颗粒悬浮物、漂浮物，通过沉砂池去除砂粒；再经过接触氧化池去除污水中的有机污染物和大部分氮、磷等营养盐，然后进入沉淀池进行泥水分离后再进入放流池进行沉淀过滤，去除水中的悬浮物及TP等等，降低出水浊度，滤池出水经反洗水池后经过紫外线消毒后达标排放。污水处理过程中产生的剩余污泥由剩余污泥泵抽升至储泥池后，再泵入污泥浓缩脱水机进行浓缩和脱水，脱水后的泥饼外运。其工艺流程如下图所示： </w:t>
            </w:r>
          </w:p>
          <w:p w14:paraId="4489FEBB">
            <w:pPr>
              <w:pStyle w:val="22"/>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INCLUDEPICTURE "D:\\Users\\Documents\\WeChat Files\\wxid_qgi4y76mplad22\\86156\\AppData\\Local\\Temp\\ksohtml17016\\wps1.png" \* MERGEFORMAT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INCLUDEPICTURE  "D:\\Users\\Documents\\WeChat Files\\wxid_qgi4y76mplad22\\86156\\AppData\\Local\\Temp\\ksohtml17016\\wps1.png" \* MERGEFORMATINET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INCLUDEPICTURE  "D:\\Users\\Documents\\WeChat Files\\wxid_qgi4y76mplad22\\86156\\AppData\\Local\\Temp\\ksohtml17016\\wps1.png" \* MERGEFORMATINET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INCLUDEPICTURE  "D:\\Users\\Documents\\WeChat Files\\wxid_qgi4y76mplad22\\86156\\AppData\\Local\\Temp\\ksohtml17016\\wps1.png" \* MERGEFORMATINET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INCLUDEPICTURE  "D:\\Users\\Documents\\WeChat Files\\wxid_qgi4y76mplad22\\86156\\AppData\\Local\\Temp\\ksohtml17016\\wps1.png" \* MERGEFORMATINET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INCLUDEPICTURE  "C:\\Users\\Documents\\WeChat Files\\wxid_qgi4y76mplad22\\86156\\AppData\\Local\\Temp\\ksohtml17016\\wps1.png" \* MERGEFORMATINET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INCLUDEPICTURE  "C:\\Users\\Documents\\WeChat Files\\wxid_qgi4y76mplad22\\86156\\AppData\\Local\\Temp\\ksohtml17016\\wps1.png" \* MERGEFORMATINET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INCLUDEPICTURE  "C:\\Users\\Documents\\WeChat Files\\wxid_qgi4y76mplad22\\86156\\AppData\\Local\\Temp\\ksohtml17016\\wps1.png" \* MERGEFORMATINET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w:instrText>
            </w:r>
            <w:r>
              <w:rPr>
                <w:rFonts w:hint="eastAsia" w:ascii="Times New Roman" w:hAnsi="Times New Roman"/>
                <w:color w:val="000000" w:themeColor="text1"/>
                <w14:textFill>
                  <w14:solidFill>
                    <w14:schemeClr w14:val="tx1"/>
                  </w14:solidFill>
                </w14:textFill>
              </w:rPr>
              <w:instrText xml:space="preserve">INCLUDEPICTURE  "D:\\98 其他资料\\Documents\\WeChat Files\\wxid_qgi4y76mplad22\\86156\\AppData\\Local\\Temp\\ksohtml17016\\wps1.png" \* MERGEFORMATINET</w:instrText>
            </w:r>
            <w:r>
              <w:rPr>
                <w:rFonts w:ascii="Times New Roman" w:hAnsi="Times New Roman"/>
                <w:color w:val="000000" w:themeColor="text1"/>
                <w14:textFill>
                  <w14:solidFill>
                    <w14:schemeClr w14:val="tx1"/>
                  </w14:solidFill>
                </w14:textFill>
              </w:rPr>
              <w:instrText xml:space="preserve">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w:instrText>
            </w:r>
            <w:r>
              <w:rPr>
                <w:rFonts w:hint="eastAsia" w:ascii="Times New Roman" w:hAnsi="Times New Roman"/>
                <w:color w:val="000000" w:themeColor="text1"/>
                <w14:textFill>
                  <w14:solidFill>
                    <w14:schemeClr w14:val="tx1"/>
                  </w14:solidFill>
                </w14:textFill>
              </w:rPr>
              <w:instrText xml:space="preserve">INCLUDEPICTURE  "D:\\98 其他资料\\Documents\\WeChat Files\\wxid_qgi4y76mplad22\\86156\\AppData\\Local\\Temp\\ksohtml17016\\wps1.png" \* MERGEFORMATINET</w:instrText>
            </w:r>
            <w:r>
              <w:rPr>
                <w:rFonts w:ascii="Times New Roman" w:hAnsi="Times New Roman"/>
                <w:color w:val="000000" w:themeColor="text1"/>
                <w14:textFill>
                  <w14:solidFill>
                    <w14:schemeClr w14:val="tx1"/>
                  </w14:solidFill>
                </w14:textFill>
              </w:rPr>
              <w:instrText xml:space="preserve">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w:instrText>
            </w:r>
            <w:r>
              <w:rPr>
                <w:rFonts w:hint="eastAsia" w:ascii="Times New Roman" w:hAnsi="Times New Roman"/>
                <w:color w:val="000000" w:themeColor="text1"/>
                <w14:textFill>
                  <w14:solidFill>
                    <w14:schemeClr w14:val="tx1"/>
                  </w14:solidFill>
                </w14:textFill>
              </w:rPr>
              <w:instrText xml:space="preserve">INCLUDEPICTURE  "D:\\98 其他资料\\Documents\\WeChat Files\\wxid_qgi4y76mplad22\\86156\\AppData\\Local\\Temp\\ksohtml17016\\wps1.png" \* MERGEFORMATINET</w:instrText>
            </w:r>
            <w:r>
              <w:rPr>
                <w:rFonts w:ascii="Times New Roman" w:hAnsi="Times New Roman"/>
                <w:color w:val="000000" w:themeColor="text1"/>
                <w14:textFill>
                  <w14:solidFill>
                    <w14:schemeClr w14:val="tx1"/>
                  </w14:solidFill>
                </w14:textFill>
              </w:rPr>
              <w:instrText xml:space="preserve">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w:instrText>
            </w:r>
            <w:r>
              <w:rPr>
                <w:rFonts w:hint="eastAsia" w:ascii="Times New Roman" w:hAnsi="Times New Roman"/>
                <w:color w:val="000000" w:themeColor="text1"/>
                <w14:textFill>
                  <w14:solidFill>
                    <w14:schemeClr w14:val="tx1"/>
                  </w14:solidFill>
                </w14:textFill>
              </w:rPr>
              <w:instrText xml:space="preserve">INCLUDEPICTURE  "D:\\98 其他资料\\Documents\\WeChat Files\\wxid_qgi4y76mplad22\\86156\\AppData\\Local\\Temp\\ksohtml17016\\wps1.png" \* MERGEFORMATINET</w:instrText>
            </w:r>
            <w:r>
              <w:rPr>
                <w:rFonts w:ascii="Times New Roman" w:hAnsi="Times New Roman"/>
                <w:color w:val="000000" w:themeColor="text1"/>
                <w14:textFill>
                  <w14:solidFill>
                    <w14:schemeClr w14:val="tx1"/>
                  </w14:solidFill>
                </w14:textFill>
              </w:rPr>
              <w:instrText xml:space="preserve">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w:instrText>
            </w:r>
            <w:r>
              <w:rPr>
                <w:rFonts w:hint="eastAsia" w:ascii="Times New Roman" w:hAnsi="Times New Roman"/>
                <w:color w:val="000000" w:themeColor="text1"/>
                <w14:textFill>
                  <w14:solidFill>
                    <w14:schemeClr w14:val="tx1"/>
                  </w14:solidFill>
                </w14:textFill>
              </w:rPr>
              <w:instrText xml:space="preserve">INCLUDEPICTURE  "D:\\98 其他资料\\Documents\\WeChat Files\\wxid_qgi4y76mplad22\\86156\\AppData\\Local\\Temp\\ksohtml17016\\wps1.png" \* MERGEFORMATINET</w:instrText>
            </w:r>
            <w:r>
              <w:rPr>
                <w:rFonts w:ascii="Times New Roman" w:hAnsi="Times New Roman"/>
                <w:color w:val="000000" w:themeColor="text1"/>
                <w14:textFill>
                  <w14:solidFill>
                    <w14:schemeClr w14:val="tx1"/>
                  </w14:solidFill>
                </w14:textFill>
              </w:rPr>
              <w:instrText xml:space="preserve">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w:instrText>
            </w:r>
            <w:r>
              <w:rPr>
                <w:rFonts w:hint="eastAsia" w:ascii="Times New Roman" w:hAnsi="Times New Roman"/>
                <w:color w:val="000000" w:themeColor="text1"/>
                <w14:textFill>
                  <w14:solidFill>
                    <w14:schemeClr w14:val="tx1"/>
                  </w14:solidFill>
                </w14:textFill>
              </w:rPr>
              <w:instrText xml:space="preserve">INCLUDEPICTURE  "D:\\98 其他资料\\Documents\\WeChat Files\\wxid_qgi4y76mplad22\\86156\\AppData\\Local\\Temp\\ksohtml17016\\wps1.png" \* MERGEFORMATINET</w:instrText>
            </w:r>
            <w:r>
              <w:rPr>
                <w:rFonts w:ascii="Times New Roman" w:hAnsi="Times New Roman"/>
                <w:color w:val="000000" w:themeColor="text1"/>
                <w14:textFill>
                  <w14:solidFill>
                    <w14:schemeClr w14:val="tx1"/>
                  </w14:solidFill>
                </w14:textFill>
              </w:rPr>
              <w:instrText xml:space="preserve">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pict>
                <v:shape id="_x0000_i1026" o:spt="75" alt="wps1" type="#_x0000_t75" style="height:62.2pt;width:393.4pt;" filled="f" o:preferrelative="t" stroked="f" coordsize="21600,21600">
                  <v:path/>
                  <v:fill on="f" focussize="0,0"/>
                  <v:stroke on="f" joinstyle="miter"/>
                  <v:imagedata r:id="rId24" r:href="rId25" o:title=""/>
                  <o:lock v:ext="edit" aspectratio="t"/>
                  <w10:wrap type="none"/>
                  <w10:anchorlock/>
                </v:shape>
              </w:pic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7CFE1A4E">
            <w:pPr>
              <w:pStyle w:val="167"/>
              <w:numPr>
                <w:ilvl w:val="0"/>
                <w:numId w:val="8"/>
              </w:numPr>
              <w:spacing w:line="360" w:lineRule="auto"/>
              <w:ind w:left="0" w:firstLine="0"/>
              <w:jc w:val="center"/>
              <w:rPr>
                <w:rFonts w:ascii="Times New Roman" w:hAnsi="Times New Roman" w:cs="Times New Roman"/>
                <w:b/>
                <w:color w:val="000000" w:themeColor="text1"/>
                <w:sz w:val="21"/>
                <w14:textFill>
                  <w14:solidFill>
                    <w14:schemeClr w14:val="tx1"/>
                  </w14:solidFill>
                </w14:textFill>
              </w:rPr>
            </w:pPr>
            <w:r>
              <w:rPr>
                <w:rFonts w:ascii="Times New Roman" w:hAnsi="Times New Roman" w:cs="Times New Roman"/>
                <w:b/>
                <w:color w:val="000000" w:themeColor="text1"/>
                <w:sz w:val="21"/>
                <w14:textFill>
                  <w14:solidFill>
                    <w14:schemeClr w14:val="tx1"/>
                  </w14:solidFill>
                </w14:textFill>
              </w:rPr>
              <w:t>污水处理工艺流程图</w:t>
            </w:r>
          </w:p>
          <w:p w14:paraId="3B442264">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项目生活污水经</w:t>
            </w:r>
            <w:r>
              <w:rPr>
                <w:rFonts w:hint="eastAsia"/>
                <w:color w:val="000000" w:themeColor="text1"/>
                <w:sz w:val="24"/>
                <w14:textFill>
                  <w14:solidFill>
                    <w14:schemeClr w14:val="tx1"/>
                  </w14:solidFill>
                </w14:textFill>
              </w:rPr>
              <w:t>“隔油隔渣+</w:t>
            </w:r>
            <w:r>
              <w:rPr>
                <w:color w:val="000000" w:themeColor="text1"/>
                <w:sz w:val="24"/>
                <w14:textFill>
                  <w14:solidFill>
                    <w14:schemeClr w14:val="tx1"/>
                  </w14:solidFill>
                </w14:textFill>
              </w:rPr>
              <w:t>三级化粪池</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处理后，进入博罗县福田镇生活污水处理厂处理，污水处理厂尾水达到《城镇污水处理厂污染物排放标准》（GB18918-2002）一级A标准、广东省《水污染物排放限值》（DB44/26-2001）的第二时段一级标准较严者，尾水排入福田河。其中氨氮和总磷执行《地表水环境质量标准》（GB3838-2002）的Ⅴ类标准。项目产生的生活污水经处理后水污染物得到一定量削减，减轻了污水排放对纳污水体的污染负荷，有利于水环境保护。</w:t>
            </w:r>
          </w:p>
          <w:p w14:paraId="3FE81A23">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（2）依托污水处理设施的环境可行性评价</w:t>
            </w:r>
          </w:p>
          <w:p w14:paraId="77966D6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项目区域属于博罗县福田镇生活污水处理厂纳污范围，项目所在区域已接通市政污水管网。本项目生活污水的产生量为</w:t>
            </w:r>
            <w:r>
              <w:rPr>
                <w:rFonts w:hint="eastAsia"/>
                <w:color w:val="000000" w:themeColor="text1"/>
                <w:sz w:val="24"/>
                <w14:textFill>
                  <w14:solidFill>
                    <w14:schemeClr w14:val="tx1"/>
                  </w14:solidFill>
                </w14:textFill>
              </w:rPr>
              <w:t>2.32</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/d，博罗县福田镇生活污水处理厂的设计处理量为10000m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/d，实际处理量为9500 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/d，剩余处理量为500 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/d，则本项目生活污水的产生量仅占其剩余处理量的0.</w:t>
            </w:r>
            <w:r>
              <w:rPr>
                <w:rFonts w:hint="eastAsia"/>
                <w:color w:val="000000" w:themeColor="text1"/>
                <w:sz w:val="24"/>
                <w14:textFill>
                  <w14:solidFill>
                    <w14:schemeClr w14:val="tx1"/>
                  </w14:solidFill>
                </w14:textFill>
              </w:rPr>
              <w:t>46</w:t>
            </w:r>
            <w:r>
              <w:rPr>
                <w:color w:val="000000" w:themeColor="text1"/>
                <w:sz w:val="24"/>
                <w14:textFill>
                  <w14:solidFill>
                    <w14:schemeClr w14:val="tx1"/>
                  </w14:solidFill>
                </w14:textFill>
              </w:rPr>
              <w:t>%，说明项目生活污水经</w:t>
            </w:r>
            <w:r>
              <w:rPr>
                <w:rFonts w:hint="eastAsia"/>
                <w:color w:val="000000" w:themeColor="text1"/>
                <w:sz w:val="24"/>
                <w14:textFill>
                  <w14:solidFill>
                    <w14:schemeClr w14:val="tx1"/>
                  </w14:solidFill>
                </w14:textFill>
              </w:rPr>
              <w:t>“隔油隔渣+</w:t>
            </w:r>
            <w:r>
              <w:rPr>
                <w:color w:val="000000" w:themeColor="text1"/>
                <w:sz w:val="24"/>
                <w14:textFill>
                  <w14:solidFill>
                    <w14:schemeClr w14:val="tx1"/>
                  </w14:solidFill>
                </w14:textFill>
              </w:rPr>
              <w:t>三级化粪池</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预处理后排入市政污水管网进入博罗县福田镇生活污水处理厂进行处理的方案可行。</w:t>
            </w:r>
          </w:p>
          <w:p w14:paraId="60EF786B">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7</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地表水环境影响评价结论</w:t>
            </w:r>
          </w:p>
          <w:p w14:paraId="5DEB966F">
            <w:pPr>
              <w:spacing w:line="46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项目生产废水主要为</w:t>
            </w:r>
            <w:r>
              <w:rPr>
                <w:rFonts w:hint="eastAsia"/>
                <w:bCs/>
                <w:color w:val="000000" w:themeColor="text1"/>
                <w:sz w:val="24"/>
                <w14:textFill>
                  <w14:solidFill>
                    <w14:schemeClr w14:val="tx1"/>
                  </w14:solidFill>
                </w14:textFill>
              </w:rPr>
              <w:t>喷漆、晾干废气处理装置</w:t>
            </w:r>
            <w:r>
              <w:rPr>
                <w:bCs/>
                <w:color w:val="000000" w:themeColor="text1"/>
                <w:sz w:val="24"/>
                <w14:textFill>
                  <w14:solidFill>
                    <w14:schemeClr w14:val="tx1"/>
                  </w14:solidFill>
                </w14:textFill>
              </w:rPr>
              <w:t>喷淋塔废水</w:t>
            </w:r>
            <w:r>
              <w:rPr>
                <w:rFonts w:hint="eastAsia"/>
                <w:bCs/>
                <w:color w:val="000000" w:themeColor="text1"/>
                <w:sz w:val="24"/>
                <w14:textFill>
                  <w14:solidFill>
                    <w14:schemeClr w14:val="tx1"/>
                  </w14:solidFill>
                </w14:textFill>
              </w:rPr>
              <w:t>、水帘柜废水及</w:t>
            </w:r>
            <w:r>
              <w:rPr>
                <w:bCs/>
                <w:color w:val="000000" w:themeColor="text1"/>
                <w:sz w:val="24"/>
                <w14:textFill>
                  <w14:solidFill>
                    <w14:schemeClr w14:val="tx1"/>
                  </w14:solidFill>
                </w14:textFill>
              </w:rPr>
              <w:t>喷枪清洗废水</w:t>
            </w:r>
            <w:r>
              <w:rPr>
                <w:rFonts w:hint="eastAsia"/>
                <w:bCs/>
                <w:color w:val="000000" w:themeColor="text1"/>
                <w:sz w:val="24"/>
                <w14:textFill>
                  <w14:solidFill>
                    <w14:schemeClr w14:val="tx1"/>
                  </w14:solidFill>
                </w14:textFill>
              </w:rPr>
              <w:t>，均</w:t>
            </w:r>
            <w:r>
              <w:rPr>
                <w:bCs/>
                <w:color w:val="000000" w:themeColor="text1"/>
                <w:sz w:val="24"/>
                <w14:textFill>
                  <w14:solidFill>
                    <w14:schemeClr w14:val="tx1"/>
                  </w14:solidFill>
                </w14:textFill>
              </w:rPr>
              <w:t>作为危险废物，交由有资质的单位回收处理</w:t>
            </w:r>
            <w:r>
              <w:rPr>
                <w:rFonts w:hint="eastAsia"/>
                <w:bCs/>
                <w:color w:val="000000" w:themeColor="text1"/>
                <w:sz w:val="24"/>
                <w14:textFill>
                  <w14:solidFill>
                    <w14:schemeClr w14:val="tx1"/>
                  </w14:solidFill>
                </w14:textFill>
              </w:rPr>
              <w:t>，不外排。</w:t>
            </w:r>
          </w:p>
          <w:p w14:paraId="31F6F9F1">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项目员工生活污水经“隔油隔渣+三级化粪池”处理达到广东省《水污染物排放限值》（DB44/26-2001）第二时段三级标准后经市政污水管网排入博罗县福田镇生活污水处理厂进行深度处理，最终排入福田河，</w:t>
            </w:r>
            <w:r>
              <w:rPr>
                <w:bCs/>
                <w:color w:val="000000" w:themeColor="text1"/>
                <w:sz w:val="24"/>
                <w14:textFill>
                  <w14:solidFill>
                    <w14:schemeClr w14:val="tx1"/>
                  </w14:solidFill>
                </w14:textFill>
              </w:rPr>
              <w:t>对</w:t>
            </w:r>
            <w:r>
              <w:rPr>
                <w:rFonts w:hint="eastAsia"/>
                <w:bCs/>
                <w:color w:val="000000" w:themeColor="text1"/>
                <w:sz w:val="24"/>
                <w14:textFill>
                  <w14:solidFill>
                    <w14:schemeClr w14:val="tx1"/>
                  </w14:solidFill>
                </w14:textFill>
              </w:rPr>
              <w:t>周围环境的</w:t>
            </w:r>
            <w:r>
              <w:rPr>
                <w:bCs/>
                <w:color w:val="000000" w:themeColor="text1"/>
                <w:sz w:val="24"/>
                <w14:textFill>
                  <w14:solidFill>
                    <w14:schemeClr w14:val="tx1"/>
                  </w14:solidFill>
                </w14:textFill>
              </w:rPr>
              <w:t>影响不大</w:t>
            </w:r>
            <w:r>
              <w:rPr>
                <w:color w:val="000000" w:themeColor="text1"/>
                <w:sz w:val="24"/>
                <w14:textFill>
                  <w14:solidFill>
                    <w14:schemeClr w14:val="tx1"/>
                  </w14:solidFill>
                </w14:textFill>
              </w:rPr>
              <w:t>。</w:t>
            </w:r>
          </w:p>
          <w:p w14:paraId="6ADF4F51">
            <w:pPr>
              <w:spacing w:line="360" w:lineRule="auto"/>
              <w:ind w:firstLine="482" w:firstLineChars="200"/>
              <w:rPr>
                <w:b/>
                <w:color w:val="000000" w:themeColor="text1"/>
                <w:sz w:val="24"/>
                <w:szCs w:val="22"/>
                <w14:textFill>
                  <w14:solidFill>
                    <w14:schemeClr w14:val="tx1"/>
                  </w14:solidFill>
                </w14:textFill>
              </w:rPr>
            </w:pPr>
            <w:r>
              <w:rPr>
                <w:b/>
                <w:color w:val="000000" w:themeColor="text1"/>
                <w:sz w:val="24"/>
                <w:szCs w:val="22"/>
                <w14:textFill>
                  <w14:solidFill>
                    <w14:schemeClr w14:val="tx1"/>
                  </w14:solidFill>
                </w14:textFill>
              </w:rPr>
              <w:t>三、噪声</w:t>
            </w:r>
            <w:r>
              <w:rPr>
                <w:rFonts w:hint="eastAsia"/>
                <w:b/>
                <w:color w:val="000000" w:themeColor="text1"/>
                <w:sz w:val="24"/>
                <w:szCs w:val="22"/>
                <w14:textFill>
                  <w14:solidFill>
                    <w14:schemeClr w14:val="tx1"/>
                  </w14:solidFill>
                </w14:textFill>
              </w:rPr>
              <w:t>环境</w:t>
            </w:r>
            <w:r>
              <w:rPr>
                <w:b/>
                <w:color w:val="000000" w:themeColor="text1"/>
                <w:sz w:val="24"/>
                <w:szCs w:val="22"/>
                <w14:textFill>
                  <w14:solidFill>
                    <w14:schemeClr w14:val="tx1"/>
                  </w14:solidFill>
                </w14:textFill>
              </w:rPr>
              <w:t>影响分析</w:t>
            </w:r>
          </w:p>
          <w:p w14:paraId="13F2BC2E">
            <w:pPr>
              <w:spacing w:line="360" w:lineRule="auto"/>
              <w:ind w:firstLine="482" w:firstLineChars="200"/>
              <w:rPr>
                <w:b/>
                <w:color w:val="000000" w:themeColor="text1"/>
                <w:sz w:val="24"/>
                <w:szCs w:val="22"/>
                <w14:textFill>
                  <w14:solidFill>
                    <w14:schemeClr w14:val="tx1"/>
                  </w14:solidFill>
                </w14:textFill>
              </w:rPr>
            </w:pPr>
            <w:r>
              <w:rPr>
                <w:b/>
                <w:color w:val="000000" w:themeColor="text1"/>
                <w:sz w:val="24"/>
                <w:szCs w:val="22"/>
                <w14:textFill>
                  <w14:solidFill>
                    <w14:schemeClr w14:val="tx1"/>
                  </w14:solidFill>
                </w14:textFill>
              </w:rPr>
              <w:t>1、主要噪声源强</w:t>
            </w:r>
          </w:p>
          <w:p w14:paraId="6229FDF6">
            <w:pPr>
              <w:pStyle w:val="49"/>
              <w:spacing w:line="360" w:lineRule="auto"/>
              <w:ind w:firstLine="480" w:firstLineChars="200"/>
              <w:rPr>
                <w:color w:val="000000" w:themeColor="text1"/>
                <w:lang w:val="zh-CN"/>
                <w14:textFill>
                  <w14:solidFill>
                    <w14:schemeClr w14:val="tx1"/>
                  </w14:solidFill>
                </w14:textFill>
              </w:rPr>
            </w:pPr>
            <w:r>
              <w:rPr>
                <w:color w:val="000000" w:themeColor="text1"/>
                <w14:textFill>
                  <w14:solidFill>
                    <w14:schemeClr w14:val="tx1"/>
                  </w14:solidFill>
                </w14:textFill>
              </w:rPr>
              <w:t>本项目营运期噪声源主要来自</w:t>
            </w:r>
            <w:r>
              <w:rPr>
                <w:rFonts w:hint="eastAsia"/>
                <w:color w:val="000000" w:themeColor="text1"/>
                <w14:textFill>
                  <w14:solidFill>
                    <w14:schemeClr w14:val="tx1"/>
                  </w14:solidFill>
                </w14:textFill>
              </w:rPr>
              <w:t>生产设备</w:t>
            </w:r>
            <w:r>
              <w:rPr>
                <w:color w:val="000000" w:themeColor="text1"/>
                <w14:textFill>
                  <w14:solidFill>
                    <w14:schemeClr w14:val="tx1"/>
                  </w14:solidFill>
                </w14:textFill>
              </w:rPr>
              <w:t>产生的噪声，噪声</w:t>
            </w:r>
            <w:r>
              <w:rPr>
                <w:rFonts w:ascii="Times New Roman"/>
                <w:color w:val="000000" w:themeColor="text1"/>
                <w14:textFill>
                  <w14:solidFill>
                    <w14:schemeClr w14:val="tx1"/>
                  </w14:solidFill>
                </w14:textFill>
              </w:rPr>
              <w:t>级范围在60-85dB(A)之间。</w:t>
            </w:r>
            <w:r>
              <w:rPr>
                <w:rFonts w:hint="eastAsia" w:ascii="Times New Roman"/>
                <w:color w:val="000000" w:themeColor="text1"/>
                <w14:textFill>
                  <w14:solidFill>
                    <w14:schemeClr w14:val="tx1"/>
                  </w14:solidFill>
                </w14:textFill>
              </w:rPr>
              <w:t>本项目风机在车间外，建设单位拟对车间外的风机建设墙体包围的隔声间，其余设备均安装在室内，其噪声量由建筑物的墙、门、窗等综合而成，运营期间门窗紧闭，类似形成隔声间，同时对生产设备底座采取减震处理。根据刘惠玲主编《噪声控制技术》(2002年10月第1版)，采用隔声间(室)技术措施，降噪效果可达20~40dB(A)；减振降噪处理效果可达5~25dB(A)。本项目墙体隔声降噪效果取20dB(A)，减振降噪效果取10dB(A)，共计降噪效果为30dB(A)。</w:t>
            </w:r>
          </w:p>
          <w:p w14:paraId="0000AAA0">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本项目各噪声源源强见表4-1</w:t>
            </w:r>
            <w:r>
              <w:rPr>
                <w:rFonts w:hint="eastAsia"/>
                <w:color w:val="000000" w:themeColor="text1"/>
                <w:sz w:val="24"/>
                <w14:textFill>
                  <w14:solidFill>
                    <w14:schemeClr w14:val="tx1"/>
                  </w14:solidFill>
                </w14:textFill>
              </w:rPr>
              <w:t>3，表4-14</w:t>
            </w:r>
            <w:r>
              <w:rPr>
                <w:color w:val="000000" w:themeColor="text1"/>
                <w:sz w:val="24"/>
                <w14:textFill>
                  <w14:solidFill>
                    <w14:schemeClr w14:val="tx1"/>
                  </w14:solidFill>
                </w14:textFill>
              </w:rPr>
              <w:t>。</w:t>
            </w:r>
          </w:p>
          <w:p w14:paraId="7FACC976">
            <w:pPr>
              <w:spacing w:line="360" w:lineRule="auto"/>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表4-13  项目主要噪声产排情况表（室内）</w:t>
            </w:r>
          </w:p>
          <w:tbl>
            <w:tblPr>
              <w:tblStyle w:val="4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733"/>
              <w:gridCol w:w="832"/>
              <w:gridCol w:w="744"/>
              <w:gridCol w:w="568"/>
              <w:gridCol w:w="517"/>
              <w:gridCol w:w="661"/>
              <w:gridCol w:w="916"/>
              <w:gridCol w:w="661"/>
              <w:gridCol w:w="460"/>
              <w:gridCol w:w="659"/>
              <w:gridCol w:w="811"/>
            </w:tblGrid>
            <w:tr w14:paraId="5A43D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Merge w:val="restart"/>
                  <w:vAlign w:val="center"/>
                </w:tcPr>
                <w:p w14:paraId="10C36FF5">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生产工序</w:t>
                  </w:r>
                </w:p>
              </w:tc>
              <w:tc>
                <w:tcPr>
                  <w:tcW w:w="449" w:type="pct"/>
                  <w:vMerge w:val="restart"/>
                  <w:vAlign w:val="center"/>
                </w:tcPr>
                <w:p w14:paraId="34AACA25">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装置</w:t>
                  </w:r>
                </w:p>
              </w:tc>
              <w:tc>
                <w:tcPr>
                  <w:tcW w:w="510" w:type="pct"/>
                  <w:vMerge w:val="restart"/>
                  <w:vAlign w:val="center"/>
                </w:tcPr>
                <w:p w14:paraId="1719B381">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噪声源</w:t>
                  </w:r>
                </w:p>
              </w:tc>
              <w:tc>
                <w:tcPr>
                  <w:tcW w:w="456" w:type="pct"/>
                  <w:vMerge w:val="restart"/>
                  <w:vAlign w:val="center"/>
                </w:tcPr>
                <w:p w14:paraId="500808F8">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数量</w:t>
                  </w:r>
                  <w:r>
                    <w:rPr>
                      <w:rFonts w:hint="eastAsia"/>
                      <w:b/>
                      <w:bCs/>
                      <w:color w:val="000000" w:themeColor="text1"/>
                      <w:szCs w:val="21"/>
                      <w14:textFill>
                        <w14:solidFill>
                          <w14:schemeClr w14:val="tx1"/>
                        </w14:solidFill>
                      </w14:textFill>
                    </w:rPr>
                    <w:t>（台）</w:t>
                  </w:r>
                </w:p>
              </w:tc>
              <w:tc>
                <w:tcPr>
                  <w:tcW w:w="348" w:type="pct"/>
                  <w:vMerge w:val="restart"/>
                  <w:vAlign w:val="center"/>
                </w:tcPr>
                <w:p w14:paraId="5F4CF945">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声源类型</w:t>
                  </w:r>
                </w:p>
              </w:tc>
              <w:tc>
                <w:tcPr>
                  <w:tcW w:w="722" w:type="pct"/>
                  <w:gridSpan w:val="2"/>
                  <w:vAlign w:val="center"/>
                </w:tcPr>
                <w:p w14:paraId="2703AA7A">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噪声源强</w:t>
                  </w:r>
                </w:p>
              </w:tc>
              <w:tc>
                <w:tcPr>
                  <w:tcW w:w="966" w:type="pct"/>
                  <w:gridSpan w:val="2"/>
                  <w:vAlign w:val="center"/>
                </w:tcPr>
                <w:p w14:paraId="52AFDF10">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源头降噪措施</w:t>
                  </w:r>
                </w:p>
              </w:tc>
              <w:tc>
                <w:tcPr>
                  <w:tcW w:w="1183" w:type="pct"/>
                  <w:gridSpan w:val="3"/>
                  <w:vAlign w:val="center"/>
                </w:tcPr>
                <w:p w14:paraId="400D535C">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噪声排放值</w:t>
                  </w:r>
                </w:p>
              </w:tc>
            </w:tr>
            <w:tr w14:paraId="71F6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Merge w:val="continue"/>
                  <w:vAlign w:val="center"/>
                </w:tcPr>
                <w:p w14:paraId="77626A9C">
                  <w:pPr>
                    <w:adjustRightInd w:val="0"/>
                    <w:snapToGrid w:val="0"/>
                    <w:ind w:left="-105" w:leftChars="-50" w:right="-105" w:rightChars="-50"/>
                    <w:jc w:val="center"/>
                    <w:rPr>
                      <w:b/>
                      <w:bCs/>
                      <w:color w:val="7030A0"/>
                      <w:szCs w:val="21"/>
                    </w:rPr>
                  </w:pPr>
                </w:p>
              </w:tc>
              <w:tc>
                <w:tcPr>
                  <w:tcW w:w="449" w:type="pct"/>
                  <w:vMerge w:val="continue"/>
                  <w:vAlign w:val="center"/>
                </w:tcPr>
                <w:p w14:paraId="15A0DE15">
                  <w:pPr>
                    <w:adjustRightInd w:val="0"/>
                    <w:snapToGrid w:val="0"/>
                    <w:ind w:left="-105" w:leftChars="-50" w:right="-105" w:rightChars="-50"/>
                    <w:jc w:val="center"/>
                    <w:rPr>
                      <w:b/>
                      <w:bCs/>
                      <w:color w:val="7030A0"/>
                      <w:szCs w:val="21"/>
                    </w:rPr>
                  </w:pPr>
                </w:p>
              </w:tc>
              <w:tc>
                <w:tcPr>
                  <w:tcW w:w="510" w:type="pct"/>
                  <w:vMerge w:val="continue"/>
                  <w:vAlign w:val="center"/>
                </w:tcPr>
                <w:p w14:paraId="57748566">
                  <w:pPr>
                    <w:adjustRightInd w:val="0"/>
                    <w:snapToGrid w:val="0"/>
                    <w:ind w:left="-105" w:leftChars="-50" w:right="-105" w:rightChars="-50"/>
                    <w:jc w:val="center"/>
                    <w:rPr>
                      <w:b/>
                      <w:bCs/>
                      <w:color w:val="7030A0"/>
                      <w:szCs w:val="21"/>
                    </w:rPr>
                  </w:pPr>
                </w:p>
              </w:tc>
              <w:tc>
                <w:tcPr>
                  <w:tcW w:w="456" w:type="pct"/>
                  <w:vMerge w:val="continue"/>
                  <w:vAlign w:val="center"/>
                </w:tcPr>
                <w:p w14:paraId="2C2E759E">
                  <w:pPr>
                    <w:adjustRightInd w:val="0"/>
                    <w:snapToGrid w:val="0"/>
                    <w:ind w:left="-105" w:leftChars="-50" w:right="-105" w:rightChars="-50"/>
                    <w:jc w:val="center"/>
                    <w:rPr>
                      <w:b/>
                      <w:bCs/>
                      <w:color w:val="7030A0"/>
                      <w:szCs w:val="21"/>
                    </w:rPr>
                  </w:pPr>
                </w:p>
              </w:tc>
              <w:tc>
                <w:tcPr>
                  <w:tcW w:w="348" w:type="pct"/>
                  <w:vMerge w:val="continue"/>
                  <w:vAlign w:val="center"/>
                </w:tcPr>
                <w:p w14:paraId="0D6306E4">
                  <w:pPr>
                    <w:adjustRightInd w:val="0"/>
                    <w:snapToGrid w:val="0"/>
                    <w:ind w:left="-105" w:leftChars="-50" w:right="-105" w:rightChars="-50"/>
                    <w:jc w:val="center"/>
                    <w:rPr>
                      <w:b/>
                      <w:bCs/>
                      <w:color w:val="7030A0"/>
                      <w:szCs w:val="21"/>
                    </w:rPr>
                  </w:pPr>
                </w:p>
              </w:tc>
              <w:tc>
                <w:tcPr>
                  <w:tcW w:w="317" w:type="pct"/>
                  <w:vAlign w:val="center"/>
                </w:tcPr>
                <w:p w14:paraId="2B0C2029">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核算方法</w:t>
                  </w:r>
                </w:p>
              </w:tc>
              <w:tc>
                <w:tcPr>
                  <w:tcW w:w="405" w:type="pct"/>
                  <w:vAlign w:val="center"/>
                </w:tcPr>
                <w:p w14:paraId="0B3A9BBD">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噪声值dB(A)</w:t>
                  </w:r>
                </w:p>
              </w:tc>
              <w:tc>
                <w:tcPr>
                  <w:tcW w:w="561" w:type="pct"/>
                  <w:vAlign w:val="center"/>
                </w:tcPr>
                <w:p w14:paraId="62756924">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工艺</w:t>
                  </w:r>
                </w:p>
              </w:tc>
              <w:tc>
                <w:tcPr>
                  <w:tcW w:w="405" w:type="pct"/>
                  <w:vAlign w:val="center"/>
                </w:tcPr>
                <w:p w14:paraId="4D4F6EDB">
                  <w:pPr>
                    <w:adjustRightInd w:val="0"/>
                    <w:snapToGrid w:val="0"/>
                    <w:ind w:left="-105" w:leftChars="-50" w:right="-105" w:rightChars="-50"/>
                    <w:jc w:val="center"/>
                    <w:rPr>
                      <w:b/>
                      <w:bCs/>
                      <w:color w:val="7030A0"/>
                      <w:szCs w:val="21"/>
                    </w:rPr>
                  </w:pPr>
                  <w:r>
                    <w:rPr>
                      <w:rFonts w:hint="eastAsia"/>
                      <w:b/>
                      <w:bCs/>
                      <w:color w:val="000000" w:themeColor="text1"/>
                      <w:szCs w:val="21"/>
                      <w14:textFill>
                        <w14:solidFill>
                          <w14:schemeClr w14:val="tx1"/>
                        </w14:solidFill>
                      </w14:textFill>
                    </w:rPr>
                    <w:t>减震</w:t>
                  </w:r>
                  <w:r>
                    <w:rPr>
                      <w:b/>
                      <w:bCs/>
                      <w:color w:val="000000" w:themeColor="text1"/>
                      <w:szCs w:val="21"/>
                      <w14:textFill>
                        <w14:solidFill>
                          <w14:schemeClr w14:val="tx1"/>
                        </w14:solidFill>
                      </w14:textFill>
                    </w:rPr>
                    <w:t>降噪效果dB(A)</w:t>
                  </w:r>
                </w:p>
              </w:tc>
              <w:tc>
                <w:tcPr>
                  <w:tcW w:w="282" w:type="pct"/>
                  <w:vAlign w:val="center"/>
                </w:tcPr>
                <w:p w14:paraId="7B5CAD28">
                  <w:pPr>
                    <w:adjustRightInd w:val="0"/>
                    <w:snapToGrid w:val="0"/>
                    <w:ind w:left="-105" w:leftChars="-50" w:right="-105" w:rightChars="-50"/>
                    <w:jc w:val="center"/>
                    <w:rPr>
                      <w:b/>
                      <w:bCs/>
                      <w:color w:val="7030A0"/>
                      <w:szCs w:val="21"/>
                    </w:rPr>
                  </w:pPr>
                  <w:r>
                    <w:rPr>
                      <w:b/>
                      <w:bCs/>
                      <w:color w:val="000000" w:themeColor="text1"/>
                      <w:szCs w:val="21"/>
                      <w14:textFill>
                        <w14:solidFill>
                          <w14:schemeClr w14:val="tx1"/>
                        </w14:solidFill>
                      </w14:textFill>
                    </w:rPr>
                    <w:t>核算方法</w:t>
                  </w:r>
                </w:p>
              </w:tc>
              <w:tc>
                <w:tcPr>
                  <w:tcW w:w="404" w:type="pct"/>
                  <w:vAlign w:val="center"/>
                </w:tcPr>
                <w:p w14:paraId="2D6BE36D">
                  <w:pPr>
                    <w:adjustRightInd w:val="0"/>
                    <w:snapToGrid w:val="0"/>
                    <w:ind w:left="-105" w:leftChars="-50" w:right="-105" w:rightChars="-50"/>
                    <w:jc w:val="center"/>
                    <w:rPr>
                      <w:b/>
                      <w:bCs/>
                      <w:color w:val="7030A0"/>
                      <w:szCs w:val="21"/>
                    </w:rPr>
                  </w:pPr>
                  <w:r>
                    <w:rPr>
                      <w:rFonts w:hint="eastAsia"/>
                      <w:b/>
                      <w:bCs/>
                      <w:color w:val="000000" w:themeColor="text1"/>
                      <w:szCs w:val="21"/>
                      <w14:textFill>
                        <w14:solidFill>
                          <w14:schemeClr w14:val="tx1"/>
                        </w14:solidFill>
                      </w14:textFill>
                    </w:rPr>
                    <w:t>降噪后</w:t>
                  </w:r>
                  <w:r>
                    <w:rPr>
                      <w:b/>
                      <w:bCs/>
                      <w:color w:val="000000" w:themeColor="text1"/>
                      <w:szCs w:val="21"/>
                      <w14:textFill>
                        <w14:solidFill>
                          <w14:schemeClr w14:val="tx1"/>
                        </w14:solidFill>
                      </w14:textFill>
                    </w:rPr>
                    <w:t>噪声值dB(A)</w:t>
                  </w:r>
                </w:p>
              </w:tc>
              <w:tc>
                <w:tcPr>
                  <w:tcW w:w="497" w:type="pct"/>
                  <w:vAlign w:val="center"/>
                </w:tcPr>
                <w:p w14:paraId="1F0084DF">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叠加后噪声值dB(A)</w:t>
                  </w:r>
                </w:p>
              </w:tc>
            </w:tr>
            <w:tr w14:paraId="2A692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366" w:type="pct"/>
                  <w:vAlign w:val="center"/>
                </w:tcPr>
                <w:p w14:paraId="1F5D3AB3">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开料</w:t>
                  </w:r>
                </w:p>
              </w:tc>
              <w:tc>
                <w:tcPr>
                  <w:tcW w:w="449" w:type="pct"/>
                  <w:vAlign w:val="center"/>
                </w:tcPr>
                <w:p w14:paraId="56A19E7F">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开料机</w:t>
                  </w:r>
                </w:p>
              </w:tc>
              <w:tc>
                <w:tcPr>
                  <w:tcW w:w="510" w:type="pct"/>
                  <w:vAlign w:val="center"/>
                </w:tcPr>
                <w:p w14:paraId="114A5431">
                  <w:pPr>
                    <w:pStyle w:val="145"/>
                    <w:adjustRightInd w:val="0"/>
                    <w:snapToGrid w:val="0"/>
                    <w:spacing w:line="240" w:lineRule="auto"/>
                    <w:ind w:left="-105" w:leftChars="-50" w:right="-105" w:rightChars="-50"/>
                    <w:jc w:val="center"/>
                    <w:rPr>
                      <w:rFonts w:ascii="Times New Roman" w:hAnsi="Times New Roman"/>
                      <w:color w:val="7030A0"/>
                      <w:kern w:val="2"/>
                      <w:sz w:val="21"/>
                      <w:szCs w:val="21"/>
                    </w:rPr>
                  </w:pPr>
                  <w:r>
                    <w:rPr>
                      <w:rFonts w:hint="eastAsia"/>
                      <w:color w:val="000000" w:themeColor="text1"/>
                      <w:szCs w:val="21"/>
                      <w14:textFill>
                        <w14:solidFill>
                          <w14:schemeClr w14:val="tx1"/>
                        </w14:solidFill>
                      </w14:textFill>
                    </w:rPr>
                    <w:t>开料机</w:t>
                  </w:r>
                </w:p>
              </w:tc>
              <w:tc>
                <w:tcPr>
                  <w:tcW w:w="456" w:type="pct"/>
                  <w:vAlign w:val="center"/>
                </w:tcPr>
                <w:p w14:paraId="6B8C9E69">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3</w:t>
                  </w:r>
                </w:p>
              </w:tc>
              <w:tc>
                <w:tcPr>
                  <w:tcW w:w="348" w:type="pct"/>
                  <w:vAlign w:val="center"/>
                </w:tcPr>
                <w:p w14:paraId="0CA60E58">
                  <w:pPr>
                    <w:adjustRightInd w:val="0"/>
                    <w:snapToGrid w:val="0"/>
                    <w:ind w:left="-105" w:leftChars="-50" w:right="-105" w:rightChars="-50"/>
                    <w:jc w:val="center"/>
                    <w:rPr>
                      <w:color w:val="7030A0"/>
                      <w:szCs w:val="21"/>
                    </w:rPr>
                  </w:pPr>
                  <w:r>
                    <w:rPr>
                      <w:color w:val="000000" w:themeColor="text1"/>
                      <w:szCs w:val="21"/>
                      <w14:textFill>
                        <w14:solidFill>
                          <w14:schemeClr w14:val="tx1"/>
                        </w14:solidFill>
                      </w14:textFill>
                    </w:rPr>
                    <w:t>频发</w:t>
                  </w:r>
                </w:p>
              </w:tc>
              <w:tc>
                <w:tcPr>
                  <w:tcW w:w="317" w:type="pct"/>
                  <w:vMerge w:val="restart"/>
                  <w:vAlign w:val="center"/>
                </w:tcPr>
                <w:p w14:paraId="59810488">
                  <w:pPr>
                    <w:adjustRightInd w:val="0"/>
                    <w:snapToGrid w:val="0"/>
                    <w:ind w:left="-105" w:leftChars="-50" w:right="-105" w:rightChars="-50"/>
                    <w:jc w:val="center"/>
                    <w:rPr>
                      <w:color w:val="7030A0"/>
                      <w:szCs w:val="21"/>
                    </w:rPr>
                  </w:pPr>
                  <w:r>
                    <w:rPr>
                      <w:color w:val="000000" w:themeColor="text1"/>
                      <w:szCs w:val="21"/>
                      <w14:textFill>
                        <w14:solidFill>
                          <w14:schemeClr w14:val="tx1"/>
                        </w14:solidFill>
                      </w14:textFill>
                    </w:rPr>
                    <w:t>类比法</w:t>
                  </w:r>
                </w:p>
              </w:tc>
              <w:tc>
                <w:tcPr>
                  <w:tcW w:w="405" w:type="pct"/>
                  <w:vAlign w:val="center"/>
                </w:tcPr>
                <w:p w14:paraId="4597C8F2">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r>
                    <w:rPr>
                      <w:color w:val="000000" w:themeColor="text1"/>
                      <w:szCs w:val="21"/>
                      <w14:textFill>
                        <w14:solidFill>
                          <w14:schemeClr w14:val="tx1"/>
                        </w14:solidFill>
                      </w14:textFill>
                    </w:rPr>
                    <w:t>80</w:t>
                  </w:r>
                </w:p>
              </w:tc>
              <w:tc>
                <w:tcPr>
                  <w:tcW w:w="561" w:type="pct"/>
                  <w:vMerge w:val="restart"/>
                  <w:vAlign w:val="center"/>
                </w:tcPr>
                <w:p w14:paraId="6B04C933">
                  <w:pPr>
                    <w:widowControl/>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采用低噪声设备、合理布局、隔</w:t>
                  </w:r>
                </w:p>
                <w:p w14:paraId="31A788D6">
                  <w:pPr>
                    <w:adjustRightInd w:val="0"/>
                    <w:snapToGrid w:val="0"/>
                    <w:ind w:left="-105" w:leftChars="-50" w:right="-105" w:rightChars="-50"/>
                    <w:jc w:val="center"/>
                    <w:textAlignment w:val="center"/>
                    <w:rPr>
                      <w:color w:val="7030A0"/>
                      <w:szCs w:val="21"/>
                    </w:rPr>
                  </w:pPr>
                  <w:r>
                    <w:rPr>
                      <w:color w:val="000000" w:themeColor="text1"/>
                      <w:szCs w:val="21"/>
                      <w14:textFill>
                        <w14:solidFill>
                          <w14:schemeClr w14:val="tx1"/>
                        </w14:solidFill>
                      </w14:textFill>
                    </w:rPr>
                    <w:t>声、距离衰减等综合治理措施</w:t>
                  </w:r>
                </w:p>
              </w:tc>
              <w:tc>
                <w:tcPr>
                  <w:tcW w:w="405" w:type="pct"/>
                  <w:vMerge w:val="restart"/>
                  <w:vAlign w:val="center"/>
                </w:tcPr>
                <w:p w14:paraId="03395562">
                  <w:pPr>
                    <w:adjustRightInd w:val="0"/>
                    <w:snapToGrid w:val="0"/>
                    <w:ind w:left="-105" w:leftChars="-50" w:right="-105" w:rightChars="-50"/>
                    <w:jc w:val="center"/>
                    <w:textAlignment w:val="center"/>
                    <w:rPr>
                      <w:color w:val="7030A0"/>
                      <w:szCs w:val="21"/>
                    </w:rPr>
                  </w:pPr>
                  <w:r>
                    <w:rPr>
                      <w:color w:val="000000" w:themeColor="text1"/>
                      <w:szCs w:val="21"/>
                      <w14:textFill>
                        <w14:solidFill>
                          <w14:schemeClr w14:val="tx1"/>
                        </w14:solidFill>
                      </w14:textFill>
                    </w:rPr>
                    <w:t>10</w:t>
                  </w:r>
                </w:p>
              </w:tc>
              <w:tc>
                <w:tcPr>
                  <w:tcW w:w="282" w:type="pct"/>
                  <w:vMerge w:val="restart"/>
                  <w:vAlign w:val="center"/>
                </w:tcPr>
                <w:p w14:paraId="498D49B2">
                  <w:pPr>
                    <w:adjustRightInd w:val="0"/>
                    <w:snapToGrid w:val="0"/>
                    <w:ind w:left="-105" w:leftChars="-50" w:right="-105" w:rightChars="-50"/>
                    <w:jc w:val="center"/>
                    <w:textAlignment w:val="center"/>
                    <w:rPr>
                      <w:color w:val="7030A0"/>
                      <w:szCs w:val="21"/>
                    </w:rPr>
                  </w:pPr>
                  <w:r>
                    <w:rPr>
                      <w:color w:val="000000" w:themeColor="text1"/>
                      <w:szCs w:val="21"/>
                      <w14:textFill>
                        <w14:solidFill>
                          <w14:schemeClr w14:val="tx1"/>
                        </w14:solidFill>
                      </w14:textFill>
                    </w:rPr>
                    <w:t>类比法</w:t>
                  </w:r>
                </w:p>
              </w:tc>
              <w:tc>
                <w:tcPr>
                  <w:tcW w:w="404" w:type="pct"/>
                  <w:vAlign w:val="center"/>
                </w:tcPr>
                <w:p w14:paraId="4C511B3D">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p>
              </w:tc>
              <w:tc>
                <w:tcPr>
                  <w:tcW w:w="497" w:type="pct"/>
                  <w:vAlign w:val="center"/>
                </w:tcPr>
                <w:p w14:paraId="5E8EE161">
                  <w:pPr>
                    <w:widowControl/>
                    <w:adjustRightInd w:val="0"/>
                    <w:snapToGrid w:val="0"/>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75</w:t>
                  </w:r>
                </w:p>
              </w:tc>
            </w:tr>
            <w:tr w14:paraId="4D19F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366" w:type="pct"/>
                  <w:vAlign w:val="center"/>
                </w:tcPr>
                <w:p w14:paraId="1F1D0423">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切割</w:t>
                  </w:r>
                </w:p>
              </w:tc>
              <w:tc>
                <w:tcPr>
                  <w:tcW w:w="449" w:type="pct"/>
                  <w:vAlign w:val="center"/>
                </w:tcPr>
                <w:p w14:paraId="373473C1">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切割机</w:t>
                  </w:r>
                </w:p>
              </w:tc>
              <w:tc>
                <w:tcPr>
                  <w:tcW w:w="510" w:type="pct"/>
                  <w:vAlign w:val="center"/>
                </w:tcPr>
                <w:p w14:paraId="72498010">
                  <w:pPr>
                    <w:pStyle w:val="145"/>
                    <w:adjustRightInd w:val="0"/>
                    <w:snapToGrid w:val="0"/>
                    <w:spacing w:line="240" w:lineRule="auto"/>
                    <w:ind w:left="-105" w:leftChars="-50" w:right="-105" w:rightChars="-50"/>
                    <w:jc w:val="center"/>
                    <w:rPr>
                      <w:rFonts w:ascii="Times New Roman" w:hAnsi="Times New Roman"/>
                      <w:color w:val="7030A0"/>
                      <w:kern w:val="2"/>
                      <w:sz w:val="21"/>
                      <w:szCs w:val="21"/>
                    </w:rPr>
                  </w:pPr>
                  <w:r>
                    <w:rPr>
                      <w:rFonts w:hint="eastAsia"/>
                      <w:color w:val="000000" w:themeColor="text1"/>
                      <w:szCs w:val="21"/>
                      <w14:textFill>
                        <w14:solidFill>
                          <w14:schemeClr w14:val="tx1"/>
                        </w14:solidFill>
                      </w14:textFill>
                    </w:rPr>
                    <w:t>切割机</w:t>
                  </w:r>
                </w:p>
              </w:tc>
              <w:tc>
                <w:tcPr>
                  <w:tcW w:w="456" w:type="pct"/>
                  <w:vAlign w:val="center"/>
                </w:tcPr>
                <w:p w14:paraId="08C2D48F">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2</w:t>
                  </w:r>
                </w:p>
              </w:tc>
              <w:tc>
                <w:tcPr>
                  <w:tcW w:w="348" w:type="pct"/>
                  <w:vAlign w:val="center"/>
                </w:tcPr>
                <w:p w14:paraId="35613769">
                  <w:pPr>
                    <w:adjustRightInd w:val="0"/>
                    <w:snapToGrid w:val="0"/>
                    <w:ind w:left="-105" w:leftChars="-50" w:right="-105" w:rightChars="-50"/>
                    <w:jc w:val="center"/>
                    <w:rPr>
                      <w:color w:val="7030A0"/>
                      <w:szCs w:val="21"/>
                    </w:rPr>
                  </w:pPr>
                  <w:r>
                    <w:rPr>
                      <w:color w:val="000000" w:themeColor="text1"/>
                      <w:szCs w:val="21"/>
                      <w14:textFill>
                        <w14:solidFill>
                          <w14:schemeClr w14:val="tx1"/>
                        </w14:solidFill>
                      </w14:textFill>
                    </w:rPr>
                    <w:t>频发</w:t>
                  </w:r>
                </w:p>
              </w:tc>
              <w:tc>
                <w:tcPr>
                  <w:tcW w:w="317" w:type="pct"/>
                  <w:vMerge w:val="continue"/>
                  <w:vAlign w:val="center"/>
                </w:tcPr>
                <w:p w14:paraId="6D97793B">
                  <w:pPr>
                    <w:adjustRightInd w:val="0"/>
                    <w:snapToGrid w:val="0"/>
                    <w:ind w:left="-105" w:leftChars="-50" w:right="-105" w:rightChars="-50"/>
                    <w:jc w:val="center"/>
                    <w:rPr>
                      <w:color w:val="7030A0"/>
                      <w:szCs w:val="21"/>
                    </w:rPr>
                  </w:pPr>
                </w:p>
              </w:tc>
              <w:tc>
                <w:tcPr>
                  <w:tcW w:w="405" w:type="pct"/>
                  <w:vAlign w:val="center"/>
                </w:tcPr>
                <w:p w14:paraId="6712AE37">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r>
                    <w:rPr>
                      <w:color w:val="000000" w:themeColor="text1"/>
                      <w:szCs w:val="21"/>
                      <w14:textFill>
                        <w14:solidFill>
                          <w14:schemeClr w14:val="tx1"/>
                        </w14:solidFill>
                      </w14:textFill>
                    </w:rPr>
                    <w:t>80</w:t>
                  </w:r>
                </w:p>
              </w:tc>
              <w:tc>
                <w:tcPr>
                  <w:tcW w:w="561" w:type="pct"/>
                  <w:vMerge w:val="continue"/>
                  <w:vAlign w:val="center"/>
                </w:tcPr>
                <w:p w14:paraId="52B24F78">
                  <w:pPr>
                    <w:adjustRightInd w:val="0"/>
                    <w:snapToGrid w:val="0"/>
                    <w:ind w:left="-105" w:leftChars="-50" w:right="-105" w:rightChars="-50"/>
                    <w:jc w:val="center"/>
                    <w:textAlignment w:val="center"/>
                    <w:rPr>
                      <w:color w:val="7030A0"/>
                      <w:szCs w:val="21"/>
                    </w:rPr>
                  </w:pPr>
                </w:p>
              </w:tc>
              <w:tc>
                <w:tcPr>
                  <w:tcW w:w="405" w:type="pct"/>
                  <w:vMerge w:val="continue"/>
                  <w:vAlign w:val="center"/>
                </w:tcPr>
                <w:p w14:paraId="1D9F801E">
                  <w:pPr>
                    <w:adjustRightInd w:val="0"/>
                    <w:snapToGrid w:val="0"/>
                    <w:ind w:left="-105" w:leftChars="-50" w:right="-105" w:rightChars="-50"/>
                    <w:jc w:val="center"/>
                    <w:textAlignment w:val="center"/>
                    <w:rPr>
                      <w:color w:val="7030A0"/>
                      <w:szCs w:val="21"/>
                    </w:rPr>
                  </w:pPr>
                </w:p>
              </w:tc>
              <w:tc>
                <w:tcPr>
                  <w:tcW w:w="282" w:type="pct"/>
                  <w:vMerge w:val="continue"/>
                  <w:vAlign w:val="center"/>
                </w:tcPr>
                <w:p w14:paraId="0B02CA5B">
                  <w:pPr>
                    <w:adjustRightInd w:val="0"/>
                    <w:snapToGrid w:val="0"/>
                    <w:ind w:left="-105" w:leftChars="-50" w:right="-105" w:rightChars="-50"/>
                    <w:jc w:val="center"/>
                    <w:textAlignment w:val="center"/>
                    <w:rPr>
                      <w:color w:val="7030A0"/>
                      <w:szCs w:val="21"/>
                    </w:rPr>
                  </w:pPr>
                </w:p>
              </w:tc>
              <w:tc>
                <w:tcPr>
                  <w:tcW w:w="404" w:type="pct"/>
                  <w:vAlign w:val="center"/>
                </w:tcPr>
                <w:p w14:paraId="0519B52B">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p>
              </w:tc>
              <w:tc>
                <w:tcPr>
                  <w:tcW w:w="497" w:type="pct"/>
                  <w:vAlign w:val="center"/>
                </w:tcPr>
                <w:p w14:paraId="4647D743">
                  <w:pPr>
                    <w:widowControl/>
                    <w:adjustRightInd w:val="0"/>
                    <w:snapToGrid w:val="0"/>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73</w:t>
                  </w:r>
                </w:p>
              </w:tc>
            </w:tr>
            <w:tr w14:paraId="65386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366" w:type="pct"/>
                  <w:vAlign w:val="center"/>
                </w:tcPr>
                <w:p w14:paraId="7859C526">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雕刻</w:t>
                  </w:r>
                </w:p>
              </w:tc>
              <w:tc>
                <w:tcPr>
                  <w:tcW w:w="449" w:type="pct"/>
                  <w:vAlign w:val="center"/>
                </w:tcPr>
                <w:p w14:paraId="26ED39F1">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雕刻机</w:t>
                  </w:r>
                </w:p>
              </w:tc>
              <w:tc>
                <w:tcPr>
                  <w:tcW w:w="510" w:type="pct"/>
                  <w:vAlign w:val="center"/>
                </w:tcPr>
                <w:p w14:paraId="75D4A532">
                  <w:pPr>
                    <w:pStyle w:val="145"/>
                    <w:adjustRightInd w:val="0"/>
                    <w:snapToGrid w:val="0"/>
                    <w:spacing w:line="240" w:lineRule="auto"/>
                    <w:ind w:left="-105" w:leftChars="-50" w:right="-105" w:rightChars="-50"/>
                    <w:jc w:val="center"/>
                    <w:rPr>
                      <w:rFonts w:ascii="Times New Roman" w:hAnsi="Times New Roman"/>
                      <w:color w:val="7030A0"/>
                      <w:kern w:val="2"/>
                      <w:sz w:val="21"/>
                      <w:szCs w:val="21"/>
                    </w:rPr>
                  </w:pPr>
                  <w:r>
                    <w:rPr>
                      <w:rFonts w:hint="eastAsia"/>
                      <w:color w:val="000000" w:themeColor="text1"/>
                      <w:szCs w:val="21"/>
                      <w14:textFill>
                        <w14:solidFill>
                          <w14:schemeClr w14:val="tx1"/>
                        </w14:solidFill>
                      </w14:textFill>
                    </w:rPr>
                    <w:t>雕刻机</w:t>
                  </w:r>
                </w:p>
              </w:tc>
              <w:tc>
                <w:tcPr>
                  <w:tcW w:w="456" w:type="pct"/>
                  <w:vAlign w:val="center"/>
                </w:tcPr>
                <w:p w14:paraId="79D25669">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3</w:t>
                  </w:r>
                </w:p>
              </w:tc>
              <w:tc>
                <w:tcPr>
                  <w:tcW w:w="348" w:type="pct"/>
                  <w:vAlign w:val="center"/>
                </w:tcPr>
                <w:p w14:paraId="154A060A">
                  <w:pPr>
                    <w:adjustRightInd w:val="0"/>
                    <w:snapToGrid w:val="0"/>
                    <w:ind w:left="-105" w:leftChars="-50" w:right="-105" w:rightChars="-50"/>
                    <w:jc w:val="center"/>
                    <w:rPr>
                      <w:color w:val="7030A0"/>
                      <w:szCs w:val="21"/>
                    </w:rPr>
                  </w:pPr>
                  <w:r>
                    <w:rPr>
                      <w:color w:val="000000" w:themeColor="text1"/>
                      <w:szCs w:val="21"/>
                      <w14:textFill>
                        <w14:solidFill>
                          <w14:schemeClr w14:val="tx1"/>
                        </w14:solidFill>
                      </w14:textFill>
                    </w:rPr>
                    <w:t>频发</w:t>
                  </w:r>
                </w:p>
              </w:tc>
              <w:tc>
                <w:tcPr>
                  <w:tcW w:w="317" w:type="pct"/>
                  <w:vMerge w:val="continue"/>
                  <w:vAlign w:val="center"/>
                </w:tcPr>
                <w:p w14:paraId="53D665E7">
                  <w:pPr>
                    <w:adjustRightInd w:val="0"/>
                    <w:snapToGrid w:val="0"/>
                    <w:ind w:left="-105" w:leftChars="-50" w:right="-105" w:rightChars="-50"/>
                    <w:jc w:val="center"/>
                    <w:rPr>
                      <w:color w:val="7030A0"/>
                      <w:szCs w:val="21"/>
                    </w:rPr>
                  </w:pPr>
                </w:p>
              </w:tc>
              <w:tc>
                <w:tcPr>
                  <w:tcW w:w="405" w:type="pct"/>
                  <w:vAlign w:val="center"/>
                </w:tcPr>
                <w:p w14:paraId="63103891">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r>
                    <w:rPr>
                      <w:color w:val="000000" w:themeColor="text1"/>
                      <w:szCs w:val="21"/>
                      <w14:textFill>
                        <w14:solidFill>
                          <w14:schemeClr w14:val="tx1"/>
                        </w14:solidFill>
                      </w14:textFill>
                    </w:rPr>
                    <w:t>80</w:t>
                  </w:r>
                </w:p>
              </w:tc>
              <w:tc>
                <w:tcPr>
                  <w:tcW w:w="561" w:type="pct"/>
                  <w:vMerge w:val="continue"/>
                  <w:vAlign w:val="center"/>
                </w:tcPr>
                <w:p w14:paraId="0056F0DD">
                  <w:pPr>
                    <w:widowControl/>
                    <w:adjustRightInd w:val="0"/>
                    <w:snapToGrid w:val="0"/>
                    <w:ind w:left="-105" w:leftChars="-50" w:right="-105" w:rightChars="-50"/>
                    <w:jc w:val="center"/>
                    <w:textAlignment w:val="center"/>
                    <w:rPr>
                      <w:color w:val="7030A0"/>
                      <w:szCs w:val="21"/>
                    </w:rPr>
                  </w:pPr>
                </w:p>
              </w:tc>
              <w:tc>
                <w:tcPr>
                  <w:tcW w:w="405" w:type="pct"/>
                  <w:vMerge w:val="continue"/>
                  <w:vAlign w:val="center"/>
                </w:tcPr>
                <w:p w14:paraId="22630E20">
                  <w:pPr>
                    <w:widowControl/>
                    <w:adjustRightInd w:val="0"/>
                    <w:snapToGrid w:val="0"/>
                    <w:ind w:left="-105" w:leftChars="-50" w:right="-105" w:rightChars="-50"/>
                    <w:jc w:val="center"/>
                    <w:textAlignment w:val="center"/>
                    <w:rPr>
                      <w:color w:val="7030A0"/>
                      <w:szCs w:val="21"/>
                    </w:rPr>
                  </w:pPr>
                </w:p>
              </w:tc>
              <w:tc>
                <w:tcPr>
                  <w:tcW w:w="282" w:type="pct"/>
                  <w:vMerge w:val="continue"/>
                  <w:vAlign w:val="center"/>
                </w:tcPr>
                <w:p w14:paraId="4D21B22D">
                  <w:pPr>
                    <w:widowControl/>
                    <w:adjustRightInd w:val="0"/>
                    <w:snapToGrid w:val="0"/>
                    <w:ind w:left="-105" w:leftChars="-50" w:right="-105" w:rightChars="-50"/>
                    <w:jc w:val="center"/>
                    <w:textAlignment w:val="center"/>
                    <w:rPr>
                      <w:color w:val="7030A0"/>
                      <w:szCs w:val="21"/>
                    </w:rPr>
                  </w:pPr>
                </w:p>
              </w:tc>
              <w:tc>
                <w:tcPr>
                  <w:tcW w:w="404" w:type="pct"/>
                  <w:vAlign w:val="center"/>
                </w:tcPr>
                <w:p w14:paraId="20BD3454">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p>
              </w:tc>
              <w:tc>
                <w:tcPr>
                  <w:tcW w:w="497" w:type="pct"/>
                  <w:vAlign w:val="center"/>
                </w:tcPr>
                <w:p w14:paraId="158D350A">
                  <w:pPr>
                    <w:widowControl/>
                    <w:adjustRightInd w:val="0"/>
                    <w:snapToGrid w:val="0"/>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75</w:t>
                  </w:r>
                </w:p>
              </w:tc>
            </w:tr>
            <w:tr w14:paraId="71BBC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14:paraId="40FF1107">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打磨</w:t>
                  </w:r>
                </w:p>
              </w:tc>
              <w:tc>
                <w:tcPr>
                  <w:tcW w:w="449" w:type="pct"/>
                  <w:vAlign w:val="center"/>
                </w:tcPr>
                <w:p w14:paraId="143D04A0">
                  <w:pPr>
                    <w:adjustRightInd w:val="0"/>
                    <w:snapToGrid w:val="0"/>
                    <w:ind w:left="-105" w:leftChars="-50" w:right="-105" w:rightChars="-50"/>
                    <w:jc w:val="center"/>
                    <w:rPr>
                      <w:color w:val="7030A0"/>
                      <w:szCs w:val="21"/>
                    </w:rPr>
                  </w:pPr>
                  <w:r>
                    <w:rPr>
                      <w:rFonts w:hint="eastAsia"/>
                      <w:color w:val="000000" w:themeColor="text1"/>
                      <w14:textFill>
                        <w14:solidFill>
                          <w14:schemeClr w14:val="tx1"/>
                        </w14:solidFill>
                      </w14:textFill>
                    </w:rPr>
                    <w:t>打磨机</w:t>
                  </w:r>
                </w:p>
              </w:tc>
              <w:tc>
                <w:tcPr>
                  <w:tcW w:w="510" w:type="pct"/>
                  <w:vAlign w:val="center"/>
                </w:tcPr>
                <w:p w14:paraId="03E721C1">
                  <w:pPr>
                    <w:pStyle w:val="145"/>
                    <w:adjustRightInd w:val="0"/>
                    <w:snapToGrid w:val="0"/>
                    <w:spacing w:line="240" w:lineRule="auto"/>
                    <w:ind w:left="-105" w:leftChars="-50" w:right="-105" w:rightChars="-50"/>
                    <w:jc w:val="center"/>
                    <w:rPr>
                      <w:rFonts w:ascii="Times New Roman" w:hAnsi="Times New Roman"/>
                      <w:color w:val="7030A0"/>
                      <w:kern w:val="2"/>
                      <w:sz w:val="21"/>
                      <w:szCs w:val="21"/>
                    </w:rPr>
                  </w:pPr>
                  <w:r>
                    <w:rPr>
                      <w:rFonts w:hint="eastAsia"/>
                      <w:color w:val="000000" w:themeColor="text1"/>
                      <w14:textFill>
                        <w14:solidFill>
                          <w14:schemeClr w14:val="tx1"/>
                        </w14:solidFill>
                      </w14:textFill>
                    </w:rPr>
                    <w:t>打磨机</w:t>
                  </w:r>
                </w:p>
              </w:tc>
              <w:tc>
                <w:tcPr>
                  <w:tcW w:w="456" w:type="pct"/>
                  <w:vAlign w:val="center"/>
                </w:tcPr>
                <w:p w14:paraId="5506A25C">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10</w:t>
                  </w:r>
                </w:p>
              </w:tc>
              <w:tc>
                <w:tcPr>
                  <w:tcW w:w="348" w:type="pct"/>
                  <w:vAlign w:val="center"/>
                </w:tcPr>
                <w:p w14:paraId="7A8F7491">
                  <w:pPr>
                    <w:adjustRightInd w:val="0"/>
                    <w:snapToGrid w:val="0"/>
                    <w:ind w:left="-105" w:leftChars="-50" w:right="-105" w:rightChars="-50"/>
                    <w:jc w:val="center"/>
                    <w:rPr>
                      <w:color w:val="7030A0"/>
                      <w:szCs w:val="21"/>
                    </w:rPr>
                  </w:pPr>
                  <w:r>
                    <w:rPr>
                      <w:color w:val="000000" w:themeColor="text1"/>
                      <w:szCs w:val="21"/>
                      <w14:textFill>
                        <w14:solidFill>
                          <w14:schemeClr w14:val="tx1"/>
                        </w14:solidFill>
                      </w14:textFill>
                    </w:rPr>
                    <w:t>频发</w:t>
                  </w:r>
                </w:p>
              </w:tc>
              <w:tc>
                <w:tcPr>
                  <w:tcW w:w="317" w:type="pct"/>
                  <w:vMerge w:val="continue"/>
                  <w:vAlign w:val="center"/>
                </w:tcPr>
                <w:p w14:paraId="6C77D403">
                  <w:pPr>
                    <w:widowControl/>
                    <w:adjustRightInd w:val="0"/>
                    <w:snapToGrid w:val="0"/>
                    <w:ind w:left="-105" w:leftChars="-50" w:right="-105" w:rightChars="-50"/>
                    <w:jc w:val="center"/>
                    <w:rPr>
                      <w:color w:val="7030A0"/>
                      <w:szCs w:val="21"/>
                    </w:rPr>
                  </w:pPr>
                </w:p>
              </w:tc>
              <w:tc>
                <w:tcPr>
                  <w:tcW w:w="405" w:type="pct"/>
                  <w:vAlign w:val="center"/>
                </w:tcPr>
                <w:p w14:paraId="4C0D6250">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r>
                    <w:rPr>
                      <w:color w:val="000000" w:themeColor="text1"/>
                      <w:szCs w:val="21"/>
                      <w14:textFill>
                        <w14:solidFill>
                          <w14:schemeClr w14:val="tx1"/>
                        </w14:solidFill>
                      </w14:textFill>
                    </w:rPr>
                    <w:t>80</w:t>
                  </w:r>
                </w:p>
              </w:tc>
              <w:tc>
                <w:tcPr>
                  <w:tcW w:w="561" w:type="pct"/>
                  <w:vMerge w:val="continue"/>
                  <w:vAlign w:val="center"/>
                </w:tcPr>
                <w:p w14:paraId="38816E34">
                  <w:pPr>
                    <w:widowControl/>
                    <w:adjustRightInd w:val="0"/>
                    <w:snapToGrid w:val="0"/>
                    <w:ind w:left="-105" w:leftChars="-50" w:right="-105" w:rightChars="-50"/>
                    <w:jc w:val="center"/>
                    <w:textAlignment w:val="center"/>
                    <w:rPr>
                      <w:color w:val="7030A0"/>
                      <w:szCs w:val="21"/>
                    </w:rPr>
                  </w:pPr>
                </w:p>
              </w:tc>
              <w:tc>
                <w:tcPr>
                  <w:tcW w:w="405" w:type="pct"/>
                  <w:vMerge w:val="continue"/>
                  <w:vAlign w:val="center"/>
                </w:tcPr>
                <w:p w14:paraId="586DA43F">
                  <w:pPr>
                    <w:widowControl/>
                    <w:adjustRightInd w:val="0"/>
                    <w:snapToGrid w:val="0"/>
                    <w:ind w:left="-105" w:leftChars="-50" w:right="-105" w:rightChars="-50"/>
                    <w:jc w:val="center"/>
                    <w:textAlignment w:val="center"/>
                    <w:rPr>
                      <w:color w:val="7030A0"/>
                      <w:szCs w:val="21"/>
                    </w:rPr>
                  </w:pPr>
                </w:p>
              </w:tc>
              <w:tc>
                <w:tcPr>
                  <w:tcW w:w="282" w:type="pct"/>
                  <w:vMerge w:val="continue"/>
                  <w:vAlign w:val="center"/>
                </w:tcPr>
                <w:p w14:paraId="0142D92F">
                  <w:pPr>
                    <w:widowControl/>
                    <w:adjustRightInd w:val="0"/>
                    <w:snapToGrid w:val="0"/>
                    <w:ind w:left="-105" w:leftChars="-50" w:right="-105" w:rightChars="-50"/>
                    <w:jc w:val="center"/>
                    <w:textAlignment w:val="center"/>
                    <w:rPr>
                      <w:color w:val="7030A0"/>
                      <w:szCs w:val="21"/>
                    </w:rPr>
                  </w:pPr>
                </w:p>
              </w:tc>
              <w:tc>
                <w:tcPr>
                  <w:tcW w:w="404" w:type="pct"/>
                  <w:vAlign w:val="center"/>
                </w:tcPr>
                <w:p w14:paraId="7C92A0CF">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70</w:t>
                  </w:r>
                </w:p>
              </w:tc>
              <w:tc>
                <w:tcPr>
                  <w:tcW w:w="497" w:type="pct"/>
                  <w:vAlign w:val="center"/>
                </w:tcPr>
                <w:p w14:paraId="20302302">
                  <w:pPr>
                    <w:widowControl/>
                    <w:adjustRightInd w:val="0"/>
                    <w:snapToGrid w:val="0"/>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80</w:t>
                  </w:r>
                </w:p>
              </w:tc>
            </w:tr>
            <w:tr w14:paraId="3F405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14:paraId="4B084533">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焊接</w:t>
                  </w:r>
                </w:p>
              </w:tc>
              <w:tc>
                <w:tcPr>
                  <w:tcW w:w="449" w:type="pct"/>
                  <w:vAlign w:val="center"/>
                </w:tcPr>
                <w:p w14:paraId="1753852E">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电焊机</w:t>
                  </w:r>
                </w:p>
              </w:tc>
              <w:tc>
                <w:tcPr>
                  <w:tcW w:w="510" w:type="pct"/>
                  <w:vAlign w:val="center"/>
                </w:tcPr>
                <w:p w14:paraId="7A28EC68">
                  <w:pPr>
                    <w:pStyle w:val="145"/>
                    <w:adjustRightInd w:val="0"/>
                    <w:snapToGrid w:val="0"/>
                    <w:spacing w:line="240" w:lineRule="auto"/>
                    <w:ind w:left="-105" w:leftChars="-50" w:right="-105" w:rightChars="-50"/>
                    <w:jc w:val="center"/>
                    <w:rPr>
                      <w:rFonts w:ascii="Times New Roman" w:hAnsi="Times New Roman"/>
                      <w:color w:val="7030A0"/>
                      <w:kern w:val="2"/>
                      <w:sz w:val="21"/>
                      <w:szCs w:val="21"/>
                    </w:rPr>
                  </w:pPr>
                  <w:r>
                    <w:rPr>
                      <w:rFonts w:hint="eastAsia"/>
                      <w:color w:val="000000" w:themeColor="text1"/>
                      <w:szCs w:val="21"/>
                      <w14:textFill>
                        <w14:solidFill>
                          <w14:schemeClr w14:val="tx1"/>
                        </w14:solidFill>
                      </w14:textFill>
                    </w:rPr>
                    <w:t>电焊机</w:t>
                  </w:r>
                </w:p>
              </w:tc>
              <w:tc>
                <w:tcPr>
                  <w:tcW w:w="456" w:type="pct"/>
                  <w:vAlign w:val="center"/>
                </w:tcPr>
                <w:p w14:paraId="0F02428D">
                  <w:pPr>
                    <w:widowControl/>
                    <w:adjustRightInd w:val="0"/>
                    <w:snapToGrid w:val="0"/>
                    <w:ind w:left="-105" w:leftChars="-50" w:right="-105" w:rightChars="-50"/>
                    <w:jc w:val="center"/>
                    <w:textAlignment w:val="center"/>
                    <w:rPr>
                      <w:color w:val="7030A0"/>
                      <w:szCs w:val="21"/>
                    </w:rPr>
                  </w:pPr>
                  <w:r>
                    <w:rPr>
                      <w:color w:val="000000" w:themeColor="text1"/>
                      <w:szCs w:val="21"/>
                      <w14:textFill>
                        <w14:solidFill>
                          <w14:schemeClr w14:val="tx1"/>
                        </w14:solidFill>
                      </w14:textFill>
                    </w:rPr>
                    <w:t>2</w:t>
                  </w:r>
                </w:p>
              </w:tc>
              <w:tc>
                <w:tcPr>
                  <w:tcW w:w="348" w:type="pct"/>
                  <w:vAlign w:val="center"/>
                </w:tcPr>
                <w:p w14:paraId="64BFDCEF">
                  <w:pPr>
                    <w:adjustRightInd w:val="0"/>
                    <w:snapToGrid w:val="0"/>
                    <w:ind w:left="-105" w:leftChars="-50" w:right="-105" w:rightChars="-50"/>
                    <w:jc w:val="center"/>
                    <w:rPr>
                      <w:color w:val="7030A0"/>
                      <w:szCs w:val="21"/>
                    </w:rPr>
                  </w:pPr>
                  <w:r>
                    <w:rPr>
                      <w:color w:val="000000" w:themeColor="text1"/>
                      <w:szCs w:val="21"/>
                      <w14:textFill>
                        <w14:solidFill>
                          <w14:schemeClr w14:val="tx1"/>
                        </w14:solidFill>
                      </w14:textFill>
                    </w:rPr>
                    <w:t>频发</w:t>
                  </w:r>
                </w:p>
              </w:tc>
              <w:tc>
                <w:tcPr>
                  <w:tcW w:w="317" w:type="pct"/>
                  <w:vMerge w:val="continue"/>
                  <w:vAlign w:val="center"/>
                </w:tcPr>
                <w:p w14:paraId="2F8BA221">
                  <w:pPr>
                    <w:widowControl/>
                    <w:adjustRightInd w:val="0"/>
                    <w:snapToGrid w:val="0"/>
                    <w:ind w:left="-105" w:leftChars="-50" w:right="-105" w:rightChars="-50"/>
                    <w:jc w:val="center"/>
                    <w:rPr>
                      <w:color w:val="7030A0"/>
                      <w:szCs w:val="21"/>
                    </w:rPr>
                  </w:pPr>
                </w:p>
              </w:tc>
              <w:tc>
                <w:tcPr>
                  <w:tcW w:w="405" w:type="pct"/>
                  <w:vAlign w:val="center"/>
                </w:tcPr>
                <w:p w14:paraId="1AD795A5">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60~</w:t>
                  </w:r>
                  <w:r>
                    <w:rPr>
                      <w:color w:val="000000" w:themeColor="text1"/>
                      <w:szCs w:val="21"/>
                      <w14:textFill>
                        <w14:solidFill>
                          <w14:schemeClr w14:val="tx1"/>
                        </w14:solidFill>
                      </w14:textFill>
                    </w:rPr>
                    <w:t>70</w:t>
                  </w:r>
                </w:p>
              </w:tc>
              <w:tc>
                <w:tcPr>
                  <w:tcW w:w="561" w:type="pct"/>
                  <w:vMerge w:val="continue"/>
                  <w:vAlign w:val="center"/>
                </w:tcPr>
                <w:p w14:paraId="5B94A39F">
                  <w:pPr>
                    <w:widowControl/>
                    <w:adjustRightInd w:val="0"/>
                    <w:snapToGrid w:val="0"/>
                    <w:ind w:left="-105" w:leftChars="-50" w:right="-105" w:rightChars="-50"/>
                    <w:jc w:val="center"/>
                    <w:textAlignment w:val="center"/>
                    <w:rPr>
                      <w:color w:val="7030A0"/>
                      <w:szCs w:val="21"/>
                    </w:rPr>
                  </w:pPr>
                </w:p>
              </w:tc>
              <w:tc>
                <w:tcPr>
                  <w:tcW w:w="405" w:type="pct"/>
                  <w:vMerge w:val="continue"/>
                  <w:vAlign w:val="center"/>
                </w:tcPr>
                <w:p w14:paraId="7055EBF1">
                  <w:pPr>
                    <w:widowControl/>
                    <w:adjustRightInd w:val="0"/>
                    <w:snapToGrid w:val="0"/>
                    <w:ind w:left="-105" w:leftChars="-50" w:right="-105" w:rightChars="-50"/>
                    <w:jc w:val="center"/>
                    <w:textAlignment w:val="center"/>
                    <w:rPr>
                      <w:color w:val="7030A0"/>
                      <w:szCs w:val="21"/>
                    </w:rPr>
                  </w:pPr>
                </w:p>
              </w:tc>
              <w:tc>
                <w:tcPr>
                  <w:tcW w:w="282" w:type="pct"/>
                  <w:vMerge w:val="continue"/>
                  <w:vAlign w:val="center"/>
                </w:tcPr>
                <w:p w14:paraId="2B496CF2">
                  <w:pPr>
                    <w:widowControl/>
                    <w:adjustRightInd w:val="0"/>
                    <w:snapToGrid w:val="0"/>
                    <w:ind w:left="-105" w:leftChars="-50" w:right="-105" w:rightChars="-50"/>
                    <w:jc w:val="center"/>
                    <w:textAlignment w:val="center"/>
                    <w:rPr>
                      <w:color w:val="7030A0"/>
                      <w:szCs w:val="21"/>
                    </w:rPr>
                  </w:pPr>
                </w:p>
              </w:tc>
              <w:tc>
                <w:tcPr>
                  <w:tcW w:w="404" w:type="pct"/>
                  <w:vAlign w:val="center"/>
                </w:tcPr>
                <w:p w14:paraId="3AE54513">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30</w:t>
                  </w:r>
                </w:p>
              </w:tc>
              <w:tc>
                <w:tcPr>
                  <w:tcW w:w="497" w:type="pct"/>
                  <w:vAlign w:val="center"/>
                </w:tcPr>
                <w:p w14:paraId="0897B67C">
                  <w:pPr>
                    <w:widowControl/>
                    <w:adjustRightInd w:val="0"/>
                    <w:snapToGrid w:val="0"/>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73</w:t>
                  </w:r>
                </w:p>
              </w:tc>
            </w:tr>
            <w:tr w14:paraId="493F3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14:paraId="7113A361">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公用</w:t>
                  </w:r>
                </w:p>
              </w:tc>
              <w:tc>
                <w:tcPr>
                  <w:tcW w:w="449" w:type="pct"/>
                  <w:vAlign w:val="center"/>
                </w:tcPr>
                <w:p w14:paraId="196FA731">
                  <w:pPr>
                    <w:adjustRightInd w:val="0"/>
                    <w:snapToGrid w:val="0"/>
                    <w:ind w:left="-105" w:leftChars="-50" w:right="-105" w:rightChars="-50"/>
                    <w:jc w:val="center"/>
                    <w:rPr>
                      <w:color w:val="7030A0"/>
                      <w:szCs w:val="21"/>
                    </w:rPr>
                  </w:pPr>
                  <w:r>
                    <w:rPr>
                      <w:rFonts w:hint="eastAsia"/>
                      <w:color w:val="000000" w:themeColor="text1"/>
                      <w:szCs w:val="21"/>
                      <w14:textFill>
                        <w14:solidFill>
                          <w14:schemeClr w14:val="tx1"/>
                        </w14:solidFill>
                      </w14:textFill>
                    </w:rPr>
                    <w:t>空压机</w:t>
                  </w:r>
                </w:p>
              </w:tc>
              <w:tc>
                <w:tcPr>
                  <w:tcW w:w="510" w:type="pct"/>
                  <w:vAlign w:val="center"/>
                </w:tcPr>
                <w:p w14:paraId="6B6DCC74">
                  <w:pPr>
                    <w:pStyle w:val="145"/>
                    <w:adjustRightInd w:val="0"/>
                    <w:snapToGrid w:val="0"/>
                    <w:spacing w:line="240" w:lineRule="auto"/>
                    <w:ind w:left="-105" w:leftChars="-50" w:right="-105" w:rightChars="-50"/>
                    <w:jc w:val="center"/>
                    <w:rPr>
                      <w:rFonts w:ascii="Times New Roman" w:hAnsi="Times New Roman"/>
                      <w:color w:val="7030A0"/>
                      <w:kern w:val="2"/>
                      <w:sz w:val="21"/>
                      <w:szCs w:val="21"/>
                    </w:rPr>
                  </w:pPr>
                  <w:r>
                    <w:rPr>
                      <w:rFonts w:hint="eastAsia"/>
                      <w:color w:val="000000" w:themeColor="text1"/>
                      <w:szCs w:val="21"/>
                      <w14:textFill>
                        <w14:solidFill>
                          <w14:schemeClr w14:val="tx1"/>
                        </w14:solidFill>
                      </w14:textFill>
                    </w:rPr>
                    <w:t>空压机</w:t>
                  </w:r>
                </w:p>
              </w:tc>
              <w:tc>
                <w:tcPr>
                  <w:tcW w:w="456" w:type="pct"/>
                  <w:vAlign w:val="center"/>
                </w:tcPr>
                <w:p w14:paraId="6E496D2F">
                  <w:pPr>
                    <w:widowControl/>
                    <w:adjustRightInd w:val="0"/>
                    <w:snapToGrid w:val="0"/>
                    <w:ind w:left="-105" w:leftChars="-50" w:right="-105" w:rightChars="-50"/>
                    <w:jc w:val="center"/>
                    <w:textAlignment w:val="center"/>
                    <w:rPr>
                      <w:color w:val="7030A0"/>
                      <w:szCs w:val="21"/>
                    </w:rPr>
                  </w:pPr>
                  <w:r>
                    <w:rPr>
                      <w:color w:val="000000" w:themeColor="text1"/>
                      <w:szCs w:val="21"/>
                      <w14:textFill>
                        <w14:solidFill>
                          <w14:schemeClr w14:val="tx1"/>
                        </w14:solidFill>
                      </w14:textFill>
                    </w:rPr>
                    <w:t>2</w:t>
                  </w:r>
                </w:p>
              </w:tc>
              <w:tc>
                <w:tcPr>
                  <w:tcW w:w="348" w:type="pct"/>
                  <w:vAlign w:val="center"/>
                </w:tcPr>
                <w:p w14:paraId="11EE8569">
                  <w:pPr>
                    <w:adjustRightInd w:val="0"/>
                    <w:snapToGrid w:val="0"/>
                    <w:ind w:left="-105" w:leftChars="-50" w:right="-105" w:rightChars="-50"/>
                    <w:jc w:val="center"/>
                    <w:rPr>
                      <w:color w:val="7030A0"/>
                      <w:szCs w:val="21"/>
                    </w:rPr>
                  </w:pPr>
                  <w:r>
                    <w:rPr>
                      <w:color w:val="000000" w:themeColor="text1"/>
                      <w:szCs w:val="21"/>
                      <w14:textFill>
                        <w14:solidFill>
                          <w14:schemeClr w14:val="tx1"/>
                        </w14:solidFill>
                      </w14:textFill>
                    </w:rPr>
                    <w:t>频发</w:t>
                  </w:r>
                </w:p>
              </w:tc>
              <w:tc>
                <w:tcPr>
                  <w:tcW w:w="317" w:type="pct"/>
                  <w:vMerge w:val="continue"/>
                  <w:vAlign w:val="center"/>
                </w:tcPr>
                <w:p w14:paraId="0680BED3">
                  <w:pPr>
                    <w:widowControl/>
                    <w:adjustRightInd w:val="0"/>
                    <w:snapToGrid w:val="0"/>
                    <w:ind w:left="-105" w:leftChars="-50" w:right="-105" w:rightChars="-50"/>
                    <w:jc w:val="center"/>
                    <w:rPr>
                      <w:color w:val="7030A0"/>
                      <w:szCs w:val="21"/>
                    </w:rPr>
                  </w:pPr>
                </w:p>
              </w:tc>
              <w:tc>
                <w:tcPr>
                  <w:tcW w:w="405" w:type="pct"/>
                  <w:vAlign w:val="center"/>
                </w:tcPr>
                <w:p w14:paraId="1425688A">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75~</w:t>
                  </w:r>
                  <w:r>
                    <w:rPr>
                      <w:color w:val="000000" w:themeColor="text1"/>
                      <w:szCs w:val="21"/>
                      <w14:textFill>
                        <w14:solidFill>
                          <w14:schemeClr w14:val="tx1"/>
                        </w14:solidFill>
                      </w14:textFill>
                    </w:rPr>
                    <w:t>85</w:t>
                  </w:r>
                </w:p>
              </w:tc>
              <w:tc>
                <w:tcPr>
                  <w:tcW w:w="561" w:type="pct"/>
                  <w:vMerge w:val="continue"/>
                  <w:vAlign w:val="center"/>
                </w:tcPr>
                <w:p w14:paraId="7A283F56">
                  <w:pPr>
                    <w:widowControl/>
                    <w:adjustRightInd w:val="0"/>
                    <w:snapToGrid w:val="0"/>
                    <w:ind w:left="-105" w:leftChars="-50" w:right="-105" w:rightChars="-50"/>
                    <w:jc w:val="center"/>
                    <w:textAlignment w:val="center"/>
                    <w:rPr>
                      <w:color w:val="7030A0"/>
                      <w:szCs w:val="21"/>
                    </w:rPr>
                  </w:pPr>
                </w:p>
              </w:tc>
              <w:tc>
                <w:tcPr>
                  <w:tcW w:w="405" w:type="pct"/>
                  <w:vMerge w:val="continue"/>
                  <w:vAlign w:val="center"/>
                </w:tcPr>
                <w:p w14:paraId="7512B1D6">
                  <w:pPr>
                    <w:widowControl/>
                    <w:adjustRightInd w:val="0"/>
                    <w:snapToGrid w:val="0"/>
                    <w:ind w:left="-105" w:leftChars="-50" w:right="-105" w:rightChars="-50"/>
                    <w:jc w:val="center"/>
                    <w:textAlignment w:val="center"/>
                    <w:rPr>
                      <w:color w:val="7030A0"/>
                      <w:szCs w:val="21"/>
                    </w:rPr>
                  </w:pPr>
                </w:p>
              </w:tc>
              <w:tc>
                <w:tcPr>
                  <w:tcW w:w="282" w:type="pct"/>
                  <w:vMerge w:val="continue"/>
                  <w:vAlign w:val="center"/>
                </w:tcPr>
                <w:p w14:paraId="693D58A6">
                  <w:pPr>
                    <w:widowControl/>
                    <w:adjustRightInd w:val="0"/>
                    <w:snapToGrid w:val="0"/>
                    <w:ind w:left="-105" w:leftChars="-50" w:right="-105" w:rightChars="-50"/>
                    <w:jc w:val="center"/>
                    <w:textAlignment w:val="center"/>
                    <w:rPr>
                      <w:color w:val="7030A0"/>
                      <w:szCs w:val="21"/>
                    </w:rPr>
                  </w:pPr>
                </w:p>
              </w:tc>
              <w:tc>
                <w:tcPr>
                  <w:tcW w:w="404" w:type="pct"/>
                  <w:vAlign w:val="center"/>
                </w:tcPr>
                <w:p w14:paraId="717EC686">
                  <w:pPr>
                    <w:widowControl/>
                    <w:adjustRightInd w:val="0"/>
                    <w:snapToGrid w:val="0"/>
                    <w:ind w:left="-105" w:leftChars="-50" w:right="-105" w:rightChars="-50"/>
                    <w:jc w:val="center"/>
                    <w:textAlignment w:val="center"/>
                    <w:rPr>
                      <w:color w:val="7030A0"/>
                      <w:szCs w:val="21"/>
                    </w:rPr>
                  </w:pPr>
                  <w:r>
                    <w:rPr>
                      <w:rFonts w:hint="eastAsia"/>
                      <w:color w:val="000000" w:themeColor="text1"/>
                      <w:szCs w:val="21"/>
                      <w14:textFill>
                        <w14:solidFill>
                          <w14:schemeClr w14:val="tx1"/>
                        </w14:solidFill>
                      </w14:textFill>
                    </w:rPr>
                    <w:t>75</w:t>
                  </w:r>
                </w:p>
              </w:tc>
              <w:tc>
                <w:tcPr>
                  <w:tcW w:w="497" w:type="pct"/>
                  <w:vAlign w:val="center"/>
                </w:tcPr>
                <w:p w14:paraId="2792E3F0">
                  <w:pPr>
                    <w:widowControl/>
                    <w:adjustRightInd w:val="0"/>
                    <w:snapToGrid w:val="0"/>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78</w:t>
                  </w:r>
                </w:p>
              </w:tc>
            </w:tr>
          </w:tbl>
          <w:p w14:paraId="5C1D4086">
            <w:pPr>
              <w:spacing w:line="360" w:lineRule="auto"/>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表4-14  项目主要噪声产排情况表（室外）</w:t>
            </w:r>
          </w:p>
          <w:tbl>
            <w:tblPr>
              <w:tblStyle w:val="4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782"/>
              <w:gridCol w:w="721"/>
              <w:gridCol w:w="406"/>
              <w:gridCol w:w="521"/>
              <w:gridCol w:w="535"/>
              <w:gridCol w:w="731"/>
              <w:gridCol w:w="1058"/>
              <w:gridCol w:w="702"/>
              <w:gridCol w:w="565"/>
              <w:gridCol w:w="702"/>
              <w:gridCol w:w="832"/>
            </w:tblGrid>
            <w:tr w14:paraId="79EAC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1" w:type="pct"/>
                  <w:vMerge w:val="restart"/>
                  <w:vAlign w:val="center"/>
                </w:tcPr>
                <w:p w14:paraId="46AED908">
                  <w:pPr>
                    <w:ind w:left="-63" w:leftChars="-30" w:right="-63" w:rightChars="-30"/>
                    <w:jc w:val="center"/>
                    <w:rPr>
                      <w:b/>
                      <w:bCs/>
                      <w:color w:val="7030A0"/>
                    </w:rPr>
                  </w:pPr>
                  <w:r>
                    <w:rPr>
                      <w:b/>
                      <w:bCs/>
                      <w:color w:val="000000" w:themeColor="text1"/>
                      <w14:textFill>
                        <w14:solidFill>
                          <w14:schemeClr w14:val="tx1"/>
                        </w14:solidFill>
                      </w14:textFill>
                    </w:rPr>
                    <w:t>生产工序</w:t>
                  </w:r>
                </w:p>
              </w:tc>
              <w:tc>
                <w:tcPr>
                  <w:tcW w:w="479" w:type="pct"/>
                  <w:vMerge w:val="restart"/>
                  <w:vAlign w:val="center"/>
                </w:tcPr>
                <w:p w14:paraId="3CC8D1F0">
                  <w:pPr>
                    <w:ind w:left="-63" w:leftChars="-30" w:right="-63" w:rightChars="-30"/>
                    <w:jc w:val="center"/>
                    <w:rPr>
                      <w:b/>
                      <w:bCs/>
                      <w:color w:val="7030A0"/>
                    </w:rPr>
                  </w:pPr>
                  <w:r>
                    <w:rPr>
                      <w:b/>
                      <w:bCs/>
                      <w:color w:val="000000" w:themeColor="text1"/>
                      <w14:textFill>
                        <w14:solidFill>
                          <w14:schemeClr w14:val="tx1"/>
                        </w14:solidFill>
                      </w14:textFill>
                    </w:rPr>
                    <w:t>装置</w:t>
                  </w:r>
                </w:p>
              </w:tc>
              <w:tc>
                <w:tcPr>
                  <w:tcW w:w="442" w:type="pct"/>
                  <w:vMerge w:val="restart"/>
                  <w:vAlign w:val="center"/>
                </w:tcPr>
                <w:p w14:paraId="7F2AA958">
                  <w:pPr>
                    <w:ind w:left="-63" w:leftChars="-30" w:right="-63" w:rightChars="-30"/>
                    <w:jc w:val="center"/>
                    <w:rPr>
                      <w:b/>
                      <w:bCs/>
                      <w:color w:val="7030A0"/>
                    </w:rPr>
                  </w:pPr>
                  <w:r>
                    <w:rPr>
                      <w:b/>
                      <w:bCs/>
                      <w:color w:val="000000" w:themeColor="text1"/>
                      <w14:textFill>
                        <w14:solidFill>
                          <w14:schemeClr w14:val="tx1"/>
                        </w14:solidFill>
                      </w14:textFill>
                    </w:rPr>
                    <w:t>噪声源</w:t>
                  </w:r>
                </w:p>
              </w:tc>
              <w:tc>
                <w:tcPr>
                  <w:tcW w:w="249" w:type="pct"/>
                  <w:vMerge w:val="restart"/>
                  <w:vAlign w:val="center"/>
                </w:tcPr>
                <w:p w14:paraId="22AF87E9">
                  <w:pPr>
                    <w:ind w:left="-63" w:leftChars="-30" w:right="-63" w:rightChars="-30"/>
                    <w:jc w:val="center"/>
                    <w:rPr>
                      <w:b/>
                      <w:bCs/>
                      <w:color w:val="7030A0"/>
                    </w:rPr>
                  </w:pPr>
                  <w:r>
                    <w:rPr>
                      <w:b/>
                      <w:bCs/>
                      <w:color w:val="000000" w:themeColor="text1"/>
                      <w14:textFill>
                        <w14:solidFill>
                          <w14:schemeClr w14:val="tx1"/>
                        </w14:solidFill>
                      </w14:textFill>
                    </w:rPr>
                    <w:t>数量</w:t>
                  </w:r>
                </w:p>
              </w:tc>
              <w:tc>
                <w:tcPr>
                  <w:tcW w:w="319" w:type="pct"/>
                  <w:vMerge w:val="restart"/>
                  <w:vAlign w:val="center"/>
                </w:tcPr>
                <w:p w14:paraId="42FDC1B2">
                  <w:pPr>
                    <w:ind w:left="-63" w:leftChars="-30" w:right="-63" w:rightChars="-30"/>
                    <w:jc w:val="center"/>
                    <w:rPr>
                      <w:b/>
                      <w:bCs/>
                      <w:color w:val="7030A0"/>
                    </w:rPr>
                  </w:pPr>
                  <w:r>
                    <w:rPr>
                      <w:b/>
                      <w:bCs/>
                      <w:color w:val="000000" w:themeColor="text1"/>
                      <w14:textFill>
                        <w14:solidFill>
                          <w14:schemeClr w14:val="tx1"/>
                        </w14:solidFill>
                      </w14:textFill>
                    </w:rPr>
                    <w:t>声源类型</w:t>
                  </w:r>
                </w:p>
              </w:tc>
              <w:tc>
                <w:tcPr>
                  <w:tcW w:w="776" w:type="pct"/>
                  <w:gridSpan w:val="2"/>
                  <w:vAlign w:val="center"/>
                </w:tcPr>
                <w:p w14:paraId="1BFCB184">
                  <w:pPr>
                    <w:ind w:left="-63" w:leftChars="-30" w:right="-63" w:rightChars="-30"/>
                    <w:jc w:val="center"/>
                    <w:rPr>
                      <w:b/>
                      <w:bCs/>
                      <w:color w:val="7030A0"/>
                    </w:rPr>
                  </w:pPr>
                  <w:r>
                    <w:rPr>
                      <w:b/>
                      <w:bCs/>
                      <w:color w:val="000000" w:themeColor="text1"/>
                      <w14:textFill>
                        <w14:solidFill>
                          <w14:schemeClr w14:val="tx1"/>
                        </w14:solidFill>
                      </w14:textFill>
                    </w:rPr>
                    <w:t>噪声源强</w:t>
                  </w:r>
                </w:p>
              </w:tc>
              <w:tc>
                <w:tcPr>
                  <w:tcW w:w="1078" w:type="pct"/>
                  <w:gridSpan w:val="2"/>
                  <w:vAlign w:val="center"/>
                </w:tcPr>
                <w:p w14:paraId="4832E55A">
                  <w:pPr>
                    <w:ind w:left="-63" w:leftChars="-30" w:right="-63" w:rightChars="-30"/>
                    <w:jc w:val="center"/>
                    <w:rPr>
                      <w:b/>
                      <w:bCs/>
                      <w:color w:val="7030A0"/>
                    </w:rPr>
                  </w:pPr>
                  <w:r>
                    <w:rPr>
                      <w:b/>
                      <w:bCs/>
                      <w:color w:val="000000" w:themeColor="text1"/>
                      <w14:textFill>
                        <w14:solidFill>
                          <w14:schemeClr w14:val="tx1"/>
                        </w14:solidFill>
                      </w14:textFill>
                    </w:rPr>
                    <w:t>源头降噪措施</w:t>
                  </w:r>
                </w:p>
              </w:tc>
              <w:tc>
                <w:tcPr>
                  <w:tcW w:w="1286" w:type="pct"/>
                  <w:gridSpan w:val="3"/>
                  <w:vAlign w:val="center"/>
                </w:tcPr>
                <w:p w14:paraId="639583B6">
                  <w:pPr>
                    <w:ind w:left="-63" w:leftChars="-30" w:right="-63" w:rightChars="-3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噪声排放值</w:t>
                  </w:r>
                </w:p>
              </w:tc>
            </w:tr>
            <w:tr w14:paraId="22B02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1" w:type="pct"/>
                  <w:vMerge w:val="continue"/>
                  <w:vAlign w:val="center"/>
                </w:tcPr>
                <w:p w14:paraId="3F7C0404">
                  <w:pPr>
                    <w:widowControl/>
                    <w:ind w:left="-63" w:leftChars="-30" w:right="-63" w:rightChars="-30"/>
                    <w:jc w:val="center"/>
                    <w:rPr>
                      <w:b/>
                      <w:bCs/>
                      <w:color w:val="7030A0"/>
                    </w:rPr>
                  </w:pPr>
                </w:p>
              </w:tc>
              <w:tc>
                <w:tcPr>
                  <w:tcW w:w="479" w:type="pct"/>
                  <w:vMerge w:val="continue"/>
                  <w:vAlign w:val="center"/>
                </w:tcPr>
                <w:p w14:paraId="13B2EF16">
                  <w:pPr>
                    <w:widowControl/>
                    <w:ind w:left="-63" w:leftChars="-30" w:right="-63" w:rightChars="-30"/>
                    <w:jc w:val="center"/>
                    <w:rPr>
                      <w:b/>
                      <w:bCs/>
                      <w:color w:val="7030A0"/>
                    </w:rPr>
                  </w:pPr>
                </w:p>
              </w:tc>
              <w:tc>
                <w:tcPr>
                  <w:tcW w:w="442" w:type="pct"/>
                  <w:vMerge w:val="continue"/>
                  <w:vAlign w:val="center"/>
                </w:tcPr>
                <w:p w14:paraId="528AEC78">
                  <w:pPr>
                    <w:widowControl/>
                    <w:ind w:left="-63" w:leftChars="-30" w:right="-63" w:rightChars="-30"/>
                    <w:jc w:val="center"/>
                    <w:rPr>
                      <w:b/>
                      <w:bCs/>
                      <w:color w:val="7030A0"/>
                    </w:rPr>
                  </w:pPr>
                </w:p>
              </w:tc>
              <w:tc>
                <w:tcPr>
                  <w:tcW w:w="249" w:type="pct"/>
                  <w:vMerge w:val="continue"/>
                  <w:vAlign w:val="center"/>
                </w:tcPr>
                <w:p w14:paraId="369E8A64">
                  <w:pPr>
                    <w:widowControl/>
                    <w:ind w:left="-63" w:leftChars="-30" w:right="-63" w:rightChars="-30"/>
                    <w:jc w:val="center"/>
                    <w:rPr>
                      <w:b/>
                      <w:bCs/>
                      <w:color w:val="7030A0"/>
                    </w:rPr>
                  </w:pPr>
                </w:p>
              </w:tc>
              <w:tc>
                <w:tcPr>
                  <w:tcW w:w="319" w:type="pct"/>
                  <w:vMerge w:val="continue"/>
                  <w:vAlign w:val="center"/>
                </w:tcPr>
                <w:p w14:paraId="7B2FED26">
                  <w:pPr>
                    <w:widowControl/>
                    <w:ind w:left="-63" w:leftChars="-30" w:right="-63" w:rightChars="-30"/>
                    <w:jc w:val="center"/>
                    <w:rPr>
                      <w:b/>
                      <w:bCs/>
                      <w:color w:val="7030A0"/>
                    </w:rPr>
                  </w:pPr>
                </w:p>
              </w:tc>
              <w:tc>
                <w:tcPr>
                  <w:tcW w:w="328" w:type="pct"/>
                  <w:vAlign w:val="center"/>
                </w:tcPr>
                <w:p w14:paraId="78A9CE4D">
                  <w:pPr>
                    <w:ind w:left="-63" w:leftChars="-30" w:right="-63" w:rightChars="-30"/>
                    <w:jc w:val="center"/>
                    <w:rPr>
                      <w:b/>
                      <w:bCs/>
                      <w:color w:val="7030A0"/>
                    </w:rPr>
                  </w:pPr>
                  <w:r>
                    <w:rPr>
                      <w:b/>
                      <w:bCs/>
                      <w:color w:val="000000" w:themeColor="text1"/>
                      <w14:textFill>
                        <w14:solidFill>
                          <w14:schemeClr w14:val="tx1"/>
                        </w14:solidFill>
                      </w14:textFill>
                    </w:rPr>
                    <w:t>核算方法</w:t>
                  </w:r>
                </w:p>
              </w:tc>
              <w:tc>
                <w:tcPr>
                  <w:tcW w:w="448" w:type="pct"/>
                  <w:vAlign w:val="center"/>
                </w:tcPr>
                <w:p w14:paraId="255C57C9">
                  <w:pPr>
                    <w:ind w:left="-63" w:leftChars="-30" w:right="-63" w:rightChars="-30"/>
                    <w:jc w:val="center"/>
                    <w:rPr>
                      <w:b/>
                      <w:bCs/>
                      <w:color w:val="7030A0"/>
                    </w:rPr>
                  </w:pPr>
                  <w:r>
                    <w:rPr>
                      <w:b/>
                      <w:bCs/>
                      <w:color w:val="000000" w:themeColor="text1"/>
                      <w14:textFill>
                        <w14:solidFill>
                          <w14:schemeClr w14:val="tx1"/>
                        </w14:solidFill>
                      </w14:textFill>
                    </w:rPr>
                    <w:t>噪声值dB(A)</w:t>
                  </w:r>
                </w:p>
              </w:tc>
              <w:tc>
                <w:tcPr>
                  <w:tcW w:w="648" w:type="pct"/>
                  <w:vAlign w:val="center"/>
                </w:tcPr>
                <w:p w14:paraId="62A07E94">
                  <w:pPr>
                    <w:ind w:left="-63" w:leftChars="-30" w:right="-63" w:rightChars="-30"/>
                    <w:jc w:val="center"/>
                    <w:rPr>
                      <w:b/>
                      <w:bCs/>
                      <w:color w:val="7030A0"/>
                    </w:rPr>
                  </w:pPr>
                  <w:r>
                    <w:rPr>
                      <w:b/>
                      <w:bCs/>
                      <w:color w:val="000000" w:themeColor="text1"/>
                      <w14:textFill>
                        <w14:solidFill>
                          <w14:schemeClr w14:val="tx1"/>
                        </w14:solidFill>
                      </w14:textFill>
                    </w:rPr>
                    <w:t>工艺</w:t>
                  </w:r>
                </w:p>
              </w:tc>
              <w:tc>
                <w:tcPr>
                  <w:tcW w:w="430" w:type="pct"/>
                  <w:vAlign w:val="center"/>
                </w:tcPr>
                <w:p w14:paraId="4224D553">
                  <w:pPr>
                    <w:ind w:left="-63" w:leftChars="-30" w:right="-63" w:rightChars="-30"/>
                    <w:jc w:val="center"/>
                    <w:rPr>
                      <w:b/>
                      <w:bCs/>
                      <w:color w:val="7030A0"/>
                    </w:rPr>
                  </w:pPr>
                  <w:r>
                    <w:rPr>
                      <w:rFonts w:hint="eastAsia"/>
                      <w:b/>
                      <w:bCs/>
                      <w:color w:val="000000" w:themeColor="text1"/>
                      <w14:textFill>
                        <w14:solidFill>
                          <w14:schemeClr w14:val="tx1"/>
                        </w14:solidFill>
                      </w14:textFill>
                    </w:rPr>
                    <w:t>减震</w:t>
                  </w:r>
                  <w:r>
                    <w:rPr>
                      <w:b/>
                      <w:bCs/>
                      <w:color w:val="000000" w:themeColor="text1"/>
                      <w14:textFill>
                        <w14:solidFill>
                          <w14:schemeClr w14:val="tx1"/>
                        </w14:solidFill>
                      </w14:textFill>
                    </w:rPr>
                    <w:t>降噪效果dB(A)</w:t>
                  </w:r>
                </w:p>
              </w:tc>
              <w:tc>
                <w:tcPr>
                  <w:tcW w:w="346" w:type="pct"/>
                  <w:vAlign w:val="center"/>
                </w:tcPr>
                <w:p w14:paraId="1A1897AA">
                  <w:pPr>
                    <w:ind w:left="-63" w:leftChars="-30" w:right="-63" w:rightChars="-30"/>
                    <w:jc w:val="center"/>
                    <w:rPr>
                      <w:b/>
                      <w:bCs/>
                      <w:color w:val="7030A0"/>
                    </w:rPr>
                  </w:pPr>
                  <w:r>
                    <w:rPr>
                      <w:b/>
                      <w:bCs/>
                      <w:color w:val="000000" w:themeColor="text1"/>
                      <w14:textFill>
                        <w14:solidFill>
                          <w14:schemeClr w14:val="tx1"/>
                        </w14:solidFill>
                      </w14:textFill>
                    </w:rPr>
                    <w:t>核算方法</w:t>
                  </w:r>
                </w:p>
              </w:tc>
              <w:tc>
                <w:tcPr>
                  <w:tcW w:w="430" w:type="pct"/>
                  <w:vAlign w:val="center"/>
                </w:tcPr>
                <w:p w14:paraId="3C7F0550">
                  <w:pPr>
                    <w:ind w:left="-63" w:leftChars="-30" w:right="-63" w:rightChars="-30"/>
                    <w:jc w:val="center"/>
                    <w:rPr>
                      <w:b/>
                      <w:bCs/>
                      <w:color w:val="7030A0"/>
                    </w:rPr>
                  </w:pPr>
                  <w:r>
                    <w:rPr>
                      <w:rFonts w:hint="eastAsia"/>
                      <w:b/>
                      <w:bCs/>
                      <w:color w:val="000000" w:themeColor="text1"/>
                      <w14:textFill>
                        <w14:solidFill>
                          <w14:schemeClr w14:val="tx1"/>
                        </w14:solidFill>
                      </w14:textFill>
                    </w:rPr>
                    <w:t>降噪后</w:t>
                  </w:r>
                  <w:r>
                    <w:rPr>
                      <w:b/>
                      <w:bCs/>
                      <w:color w:val="000000" w:themeColor="text1"/>
                      <w14:textFill>
                        <w14:solidFill>
                          <w14:schemeClr w14:val="tx1"/>
                        </w14:solidFill>
                      </w14:textFill>
                    </w:rPr>
                    <w:t>噪声值dB(A)</w:t>
                  </w:r>
                </w:p>
              </w:tc>
              <w:tc>
                <w:tcPr>
                  <w:tcW w:w="510" w:type="pct"/>
                  <w:vAlign w:val="center"/>
                </w:tcPr>
                <w:p w14:paraId="6FFB9C83">
                  <w:pPr>
                    <w:ind w:left="-63" w:leftChars="-30" w:right="-63" w:rightChars="-3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叠加后噪声值dB(A)</w:t>
                  </w:r>
                </w:p>
              </w:tc>
            </w:tr>
            <w:tr w14:paraId="1240D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1" w:type="pct"/>
                  <w:vMerge w:val="restart"/>
                  <w:vAlign w:val="center"/>
                </w:tcPr>
                <w:p w14:paraId="52C346FB">
                  <w:pPr>
                    <w:ind w:left="-63" w:leftChars="-30" w:right="-63" w:rightChars="-30"/>
                    <w:jc w:val="center"/>
                    <w:rPr>
                      <w:color w:val="7030A0"/>
                    </w:rPr>
                  </w:pPr>
                  <w:r>
                    <w:rPr>
                      <w:rFonts w:hint="eastAsia"/>
                      <w:bCs/>
                      <w:color w:val="000000" w:themeColor="text1"/>
                      <w14:textFill>
                        <w14:solidFill>
                          <w14:schemeClr w14:val="tx1"/>
                        </w14:solidFill>
                      </w14:textFill>
                    </w:rPr>
                    <w:t>废气处理</w:t>
                  </w:r>
                </w:p>
              </w:tc>
              <w:tc>
                <w:tcPr>
                  <w:tcW w:w="479" w:type="pct"/>
                  <w:vAlign w:val="center"/>
                </w:tcPr>
                <w:p w14:paraId="2886F07D">
                  <w:pPr>
                    <w:ind w:left="-63" w:leftChars="-30" w:right="-63" w:rightChars="-30"/>
                    <w:jc w:val="center"/>
                    <w:rPr>
                      <w:color w:val="7030A0"/>
                    </w:rPr>
                  </w:pPr>
                  <w:r>
                    <w:rPr>
                      <w:rFonts w:hint="eastAsia"/>
                      <w:bCs/>
                      <w:color w:val="000000" w:themeColor="text1"/>
                      <w14:textFill>
                        <w14:solidFill>
                          <w14:schemeClr w14:val="tx1"/>
                        </w14:solidFill>
                      </w14:textFill>
                    </w:rPr>
                    <w:t>风机</w:t>
                  </w:r>
                </w:p>
              </w:tc>
              <w:tc>
                <w:tcPr>
                  <w:tcW w:w="442" w:type="pct"/>
                  <w:vAlign w:val="center"/>
                </w:tcPr>
                <w:p w14:paraId="5BC4B510">
                  <w:pPr>
                    <w:ind w:left="-63" w:leftChars="-30" w:right="-63" w:rightChars="-30"/>
                    <w:jc w:val="center"/>
                    <w:rPr>
                      <w:color w:val="7030A0"/>
                    </w:rPr>
                  </w:pPr>
                  <w:r>
                    <w:rPr>
                      <w:rFonts w:hint="eastAsia"/>
                      <w:bCs/>
                      <w:color w:val="000000" w:themeColor="text1"/>
                      <w14:textFill>
                        <w14:solidFill>
                          <w14:schemeClr w14:val="tx1"/>
                        </w14:solidFill>
                      </w14:textFill>
                    </w:rPr>
                    <w:t>风机</w:t>
                  </w:r>
                </w:p>
              </w:tc>
              <w:tc>
                <w:tcPr>
                  <w:tcW w:w="249" w:type="pct"/>
                  <w:vAlign w:val="center"/>
                </w:tcPr>
                <w:p w14:paraId="246315DC">
                  <w:pPr>
                    <w:widowControl/>
                    <w:ind w:left="-63" w:leftChars="-30" w:right="-63" w:rightChars="-30"/>
                    <w:jc w:val="center"/>
                    <w:textAlignment w:val="center"/>
                    <w:rPr>
                      <w:color w:val="7030A0"/>
                    </w:rPr>
                  </w:pPr>
                  <w:r>
                    <w:rPr>
                      <w:rFonts w:hint="eastAsia"/>
                      <w:color w:val="000000" w:themeColor="text1"/>
                      <w:lang w:bidi="ar"/>
                      <w14:textFill>
                        <w14:solidFill>
                          <w14:schemeClr w14:val="tx1"/>
                        </w14:solidFill>
                      </w14:textFill>
                    </w:rPr>
                    <w:t>2</w:t>
                  </w:r>
                </w:p>
              </w:tc>
              <w:tc>
                <w:tcPr>
                  <w:tcW w:w="319" w:type="pct"/>
                  <w:vAlign w:val="center"/>
                </w:tcPr>
                <w:p w14:paraId="084A53BF">
                  <w:pPr>
                    <w:ind w:left="-63" w:leftChars="-30" w:right="-63" w:rightChars="-30"/>
                    <w:jc w:val="center"/>
                    <w:rPr>
                      <w:color w:val="7030A0"/>
                    </w:rPr>
                  </w:pPr>
                  <w:r>
                    <w:rPr>
                      <w:color w:val="000000" w:themeColor="text1"/>
                      <w14:textFill>
                        <w14:solidFill>
                          <w14:schemeClr w14:val="tx1"/>
                        </w14:solidFill>
                      </w14:textFill>
                    </w:rPr>
                    <w:t>频发</w:t>
                  </w:r>
                </w:p>
              </w:tc>
              <w:tc>
                <w:tcPr>
                  <w:tcW w:w="328" w:type="pct"/>
                  <w:vMerge w:val="restart"/>
                  <w:vAlign w:val="center"/>
                </w:tcPr>
                <w:p w14:paraId="267B6A0E">
                  <w:pPr>
                    <w:ind w:left="-63" w:leftChars="-30" w:right="-63" w:rightChars="-30"/>
                    <w:jc w:val="center"/>
                    <w:rPr>
                      <w:color w:val="7030A0"/>
                    </w:rPr>
                  </w:pPr>
                  <w:r>
                    <w:rPr>
                      <w:color w:val="000000" w:themeColor="text1"/>
                      <w14:textFill>
                        <w14:solidFill>
                          <w14:schemeClr w14:val="tx1"/>
                        </w14:solidFill>
                      </w14:textFill>
                    </w:rPr>
                    <w:t>类比法</w:t>
                  </w:r>
                </w:p>
              </w:tc>
              <w:tc>
                <w:tcPr>
                  <w:tcW w:w="448" w:type="pct"/>
                  <w:vAlign w:val="center"/>
                </w:tcPr>
                <w:p w14:paraId="67A0603E">
                  <w:pPr>
                    <w:widowControl/>
                    <w:jc w:val="center"/>
                    <w:textAlignment w:val="center"/>
                    <w:rPr>
                      <w:color w:val="7030A0"/>
                    </w:rPr>
                  </w:pPr>
                  <w:r>
                    <w:rPr>
                      <w:rFonts w:hint="eastAsia"/>
                      <w:color w:val="000000" w:themeColor="text1"/>
                      <w:lang w:bidi="ar"/>
                      <w14:textFill>
                        <w14:solidFill>
                          <w14:schemeClr w14:val="tx1"/>
                        </w14:solidFill>
                      </w14:textFill>
                    </w:rPr>
                    <w:t>8</w:t>
                  </w:r>
                  <w:r>
                    <w:rPr>
                      <w:color w:val="000000" w:themeColor="text1"/>
                      <w:lang w:bidi="ar"/>
                      <w14:textFill>
                        <w14:solidFill>
                          <w14:schemeClr w14:val="tx1"/>
                        </w14:solidFill>
                      </w14:textFill>
                    </w:rPr>
                    <w:t>5</w:t>
                  </w:r>
                </w:p>
              </w:tc>
              <w:tc>
                <w:tcPr>
                  <w:tcW w:w="648" w:type="pct"/>
                  <w:vMerge w:val="restart"/>
                  <w:vAlign w:val="center"/>
                </w:tcPr>
                <w:p w14:paraId="0E991D77">
                  <w:pPr>
                    <w:widowControl/>
                    <w:jc w:val="center"/>
                    <w:textAlignment w:val="center"/>
                    <w:rPr>
                      <w:color w:val="7030A0"/>
                      <w:lang w:bidi="ar"/>
                    </w:rPr>
                  </w:pPr>
                  <w:r>
                    <w:rPr>
                      <w:color w:val="000000" w:themeColor="text1"/>
                      <w14:textFill>
                        <w14:solidFill>
                          <w14:schemeClr w14:val="tx1"/>
                        </w14:solidFill>
                      </w14:textFill>
                    </w:rPr>
                    <w:t>采用</w:t>
                  </w:r>
                  <w:r>
                    <w:rPr>
                      <w:rFonts w:hint="eastAsia"/>
                      <w:color w:val="000000" w:themeColor="text1"/>
                      <w14:textFill>
                        <w14:solidFill>
                          <w14:schemeClr w14:val="tx1"/>
                        </w14:solidFill>
                      </w14:textFill>
                    </w:rPr>
                    <w:t>减振降噪等</w:t>
                  </w:r>
                  <w:r>
                    <w:rPr>
                      <w:color w:val="000000" w:themeColor="text1"/>
                      <w14:textFill>
                        <w14:solidFill>
                          <w14:schemeClr w14:val="tx1"/>
                        </w14:solidFill>
                      </w14:textFill>
                    </w:rPr>
                    <w:t>治理措施</w:t>
                  </w:r>
                </w:p>
              </w:tc>
              <w:tc>
                <w:tcPr>
                  <w:tcW w:w="430" w:type="pct"/>
                  <w:vMerge w:val="restart"/>
                  <w:vAlign w:val="center"/>
                </w:tcPr>
                <w:p w14:paraId="230C2A23">
                  <w:pPr>
                    <w:widowControl/>
                    <w:jc w:val="center"/>
                    <w:textAlignment w:val="center"/>
                    <w:rPr>
                      <w:color w:val="7030A0"/>
                      <w:lang w:bidi="ar"/>
                    </w:rPr>
                  </w:pPr>
                  <w:r>
                    <w:rPr>
                      <w:rFonts w:hint="eastAsia"/>
                      <w:color w:val="000000" w:themeColor="text1"/>
                      <w:lang w:bidi="ar"/>
                      <w14:textFill>
                        <w14:solidFill>
                          <w14:schemeClr w14:val="tx1"/>
                        </w14:solidFill>
                      </w14:textFill>
                    </w:rPr>
                    <w:t>10</w:t>
                  </w:r>
                </w:p>
              </w:tc>
              <w:tc>
                <w:tcPr>
                  <w:tcW w:w="346" w:type="pct"/>
                  <w:vMerge w:val="restart"/>
                  <w:vAlign w:val="center"/>
                </w:tcPr>
                <w:p w14:paraId="24B93444">
                  <w:pPr>
                    <w:widowControl/>
                    <w:jc w:val="center"/>
                    <w:textAlignment w:val="center"/>
                    <w:rPr>
                      <w:color w:val="7030A0"/>
                      <w:lang w:bidi="ar"/>
                    </w:rPr>
                  </w:pPr>
                  <w:r>
                    <w:rPr>
                      <w:color w:val="000000" w:themeColor="text1"/>
                      <w14:textFill>
                        <w14:solidFill>
                          <w14:schemeClr w14:val="tx1"/>
                        </w14:solidFill>
                      </w14:textFill>
                    </w:rPr>
                    <w:t>类比法</w:t>
                  </w:r>
                </w:p>
              </w:tc>
              <w:tc>
                <w:tcPr>
                  <w:tcW w:w="430" w:type="pct"/>
                  <w:vAlign w:val="center"/>
                </w:tcPr>
                <w:p w14:paraId="7016ED57">
                  <w:pPr>
                    <w:widowControl/>
                    <w:jc w:val="center"/>
                    <w:textAlignment w:val="center"/>
                    <w:rPr>
                      <w:color w:val="7030A0"/>
                      <w:lang w:bidi="ar"/>
                    </w:rPr>
                  </w:pPr>
                  <w:r>
                    <w:rPr>
                      <w:rFonts w:hint="eastAsia"/>
                      <w:color w:val="000000" w:themeColor="text1"/>
                      <w:lang w:bidi="ar"/>
                      <w14:textFill>
                        <w14:solidFill>
                          <w14:schemeClr w14:val="tx1"/>
                        </w14:solidFill>
                      </w14:textFill>
                    </w:rPr>
                    <w:t>75</w:t>
                  </w:r>
                </w:p>
              </w:tc>
              <w:tc>
                <w:tcPr>
                  <w:tcW w:w="510" w:type="pct"/>
                  <w:vAlign w:val="center"/>
                </w:tcPr>
                <w:p w14:paraId="3A9C1E3D">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78.0</w:t>
                  </w:r>
                </w:p>
              </w:tc>
            </w:tr>
            <w:tr w14:paraId="1F6A7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1" w:type="pct"/>
                  <w:vMerge w:val="continue"/>
                  <w:vAlign w:val="center"/>
                </w:tcPr>
                <w:p w14:paraId="5CCE38D0">
                  <w:pPr>
                    <w:ind w:left="-63" w:leftChars="-30" w:right="-63" w:rightChars="-30"/>
                    <w:jc w:val="center"/>
                    <w:rPr>
                      <w:bCs/>
                      <w:color w:val="7030A0"/>
                    </w:rPr>
                  </w:pPr>
                </w:p>
              </w:tc>
              <w:tc>
                <w:tcPr>
                  <w:tcW w:w="479" w:type="pct"/>
                  <w:vAlign w:val="center"/>
                </w:tcPr>
                <w:p w14:paraId="6E66590E">
                  <w:pPr>
                    <w:ind w:left="-63" w:leftChars="-30" w:right="-63" w:rightChars="-30"/>
                    <w:jc w:val="center"/>
                    <w:rPr>
                      <w:bCs/>
                      <w:color w:val="7030A0"/>
                    </w:rPr>
                  </w:pPr>
                  <w:r>
                    <w:rPr>
                      <w:rFonts w:hint="eastAsia"/>
                      <w:bCs/>
                      <w:color w:val="000000" w:themeColor="text1"/>
                      <w14:textFill>
                        <w14:solidFill>
                          <w14:schemeClr w14:val="tx1"/>
                        </w14:solidFill>
                      </w14:textFill>
                    </w:rPr>
                    <w:t>喷淋塔</w:t>
                  </w:r>
                </w:p>
              </w:tc>
              <w:tc>
                <w:tcPr>
                  <w:tcW w:w="442" w:type="pct"/>
                  <w:vAlign w:val="center"/>
                </w:tcPr>
                <w:p w14:paraId="67735197">
                  <w:pPr>
                    <w:ind w:left="-63" w:leftChars="-30" w:right="-63" w:rightChars="-30"/>
                    <w:jc w:val="center"/>
                    <w:rPr>
                      <w:bCs/>
                      <w:color w:val="7030A0"/>
                    </w:rPr>
                  </w:pPr>
                  <w:r>
                    <w:rPr>
                      <w:rFonts w:hint="eastAsia"/>
                      <w:bCs/>
                      <w:color w:val="000000" w:themeColor="text1"/>
                      <w14:textFill>
                        <w14:solidFill>
                          <w14:schemeClr w14:val="tx1"/>
                        </w14:solidFill>
                      </w14:textFill>
                    </w:rPr>
                    <w:t>喷淋塔</w:t>
                  </w:r>
                </w:p>
              </w:tc>
              <w:tc>
                <w:tcPr>
                  <w:tcW w:w="249" w:type="pct"/>
                  <w:vAlign w:val="center"/>
                </w:tcPr>
                <w:p w14:paraId="4E0DF016">
                  <w:pPr>
                    <w:widowControl/>
                    <w:ind w:left="-63" w:leftChars="-30" w:right="-63" w:rightChars="-30"/>
                    <w:jc w:val="center"/>
                    <w:textAlignment w:val="center"/>
                    <w:rPr>
                      <w:color w:val="7030A0"/>
                      <w:lang w:bidi="ar"/>
                    </w:rPr>
                  </w:pPr>
                  <w:r>
                    <w:rPr>
                      <w:rFonts w:hint="eastAsia"/>
                      <w:color w:val="000000" w:themeColor="text1"/>
                      <w:lang w:bidi="ar"/>
                      <w14:textFill>
                        <w14:solidFill>
                          <w14:schemeClr w14:val="tx1"/>
                        </w14:solidFill>
                      </w14:textFill>
                    </w:rPr>
                    <w:t>1</w:t>
                  </w:r>
                </w:p>
              </w:tc>
              <w:tc>
                <w:tcPr>
                  <w:tcW w:w="319" w:type="pct"/>
                  <w:vAlign w:val="center"/>
                </w:tcPr>
                <w:p w14:paraId="07C05ADB">
                  <w:pPr>
                    <w:ind w:left="-63" w:leftChars="-30" w:right="-63" w:rightChars="-30"/>
                    <w:jc w:val="center"/>
                    <w:rPr>
                      <w:color w:val="7030A0"/>
                    </w:rPr>
                  </w:pPr>
                  <w:r>
                    <w:rPr>
                      <w:color w:val="000000" w:themeColor="text1"/>
                      <w14:textFill>
                        <w14:solidFill>
                          <w14:schemeClr w14:val="tx1"/>
                        </w14:solidFill>
                      </w14:textFill>
                    </w:rPr>
                    <w:t>频发</w:t>
                  </w:r>
                </w:p>
              </w:tc>
              <w:tc>
                <w:tcPr>
                  <w:tcW w:w="328" w:type="pct"/>
                  <w:vMerge w:val="continue"/>
                  <w:vAlign w:val="center"/>
                </w:tcPr>
                <w:p w14:paraId="796A3562">
                  <w:pPr>
                    <w:ind w:left="-63" w:leftChars="-30" w:right="-63" w:rightChars="-30"/>
                    <w:jc w:val="center"/>
                    <w:rPr>
                      <w:color w:val="7030A0"/>
                    </w:rPr>
                  </w:pPr>
                </w:p>
              </w:tc>
              <w:tc>
                <w:tcPr>
                  <w:tcW w:w="448" w:type="pct"/>
                  <w:vAlign w:val="center"/>
                </w:tcPr>
                <w:p w14:paraId="7A8EE8C9">
                  <w:pPr>
                    <w:widowControl/>
                    <w:jc w:val="center"/>
                    <w:textAlignment w:val="center"/>
                    <w:rPr>
                      <w:color w:val="7030A0"/>
                      <w:lang w:bidi="ar"/>
                    </w:rPr>
                  </w:pPr>
                  <w:r>
                    <w:rPr>
                      <w:rFonts w:hint="eastAsia"/>
                      <w:color w:val="000000" w:themeColor="text1"/>
                      <w:lang w:bidi="ar"/>
                      <w14:textFill>
                        <w14:solidFill>
                          <w14:schemeClr w14:val="tx1"/>
                        </w14:solidFill>
                      </w14:textFill>
                    </w:rPr>
                    <w:t>85</w:t>
                  </w:r>
                </w:p>
              </w:tc>
              <w:tc>
                <w:tcPr>
                  <w:tcW w:w="648" w:type="pct"/>
                  <w:vMerge w:val="continue"/>
                  <w:vAlign w:val="center"/>
                </w:tcPr>
                <w:p w14:paraId="57854E58">
                  <w:pPr>
                    <w:widowControl/>
                    <w:jc w:val="center"/>
                    <w:textAlignment w:val="center"/>
                    <w:rPr>
                      <w:color w:val="7030A0"/>
                    </w:rPr>
                  </w:pPr>
                </w:p>
              </w:tc>
              <w:tc>
                <w:tcPr>
                  <w:tcW w:w="430" w:type="pct"/>
                  <w:vMerge w:val="continue"/>
                  <w:vAlign w:val="center"/>
                </w:tcPr>
                <w:p w14:paraId="301B7264">
                  <w:pPr>
                    <w:widowControl/>
                    <w:jc w:val="center"/>
                    <w:textAlignment w:val="center"/>
                    <w:rPr>
                      <w:color w:val="7030A0"/>
                      <w:lang w:bidi="ar"/>
                    </w:rPr>
                  </w:pPr>
                </w:p>
              </w:tc>
              <w:tc>
                <w:tcPr>
                  <w:tcW w:w="346" w:type="pct"/>
                  <w:vMerge w:val="continue"/>
                  <w:vAlign w:val="center"/>
                </w:tcPr>
                <w:p w14:paraId="280039CD">
                  <w:pPr>
                    <w:widowControl/>
                    <w:jc w:val="center"/>
                    <w:textAlignment w:val="center"/>
                    <w:rPr>
                      <w:color w:val="7030A0"/>
                    </w:rPr>
                  </w:pPr>
                </w:p>
              </w:tc>
              <w:tc>
                <w:tcPr>
                  <w:tcW w:w="430" w:type="pct"/>
                  <w:vAlign w:val="center"/>
                </w:tcPr>
                <w:p w14:paraId="2BB62E4A">
                  <w:pPr>
                    <w:widowControl/>
                    <w:jc w:val="center"/>
                    <w:textAlignment w:val="center"/>
                    <w:rPr>
                      <w:color w:val="7030A0"/>
                      <w:lang w:bidi="ar"/>
                    </w:rPr>
                  </w:pPr>
                  <w:r>
                    <w:rPr>
                      <w:rFonts w:hint="eastAsia"/>
                      <w:color w:val="000000" w:themeColor="text1"/>
                      <w:lang w:bidi="ar"/>
                      <w14:textFill>
                        <w14:solidFill>
                          <w14:schemeClr w14:val="tx1"/>
                        </w14:solidFill>
                      </w14:textFill>
                    </w:rPr>
                    <w:t>75</w:t>
                  </w:r>
                </w:p>
              </w:tc>
              <w:tc>
                <w:tcPr>
                  <w:tcW w:w="510" w:type="pct"/>
                  <w:vAlign w:val="center"/>
                </w:tcPr>
                <w:p w14:paraId="071A84EF">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75.0</w:t>
                  </w:r>
                </w:p>
              </w:tc>
            </w:tr>
          </w:tbl>
          <w:p w14:paraId="349E70F3">
            <w:pPr>
              <w:spacing w:line="360" w:lineRule="auto"/>
              <w:jc w:val="left"/>
              <w:rPr>
                <w:b/>
                <w:color w:val="000000" w:themeColor="text1"/>
                <w:szCs w:val="21"/>
                <w14:textFill>
                  <w14:solidFill>
                    <w14:schemeClr w14:val="tx1"/>
                  </w14:solidFill>
                </w14:textFill>
              </w:rPr>
            </w:pPr>
          </w:p>
          <w:p w14:paraId="7E209534">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 xml:space="preserve">2、噪声影响预测 </w:t>
            </w:r>
          </w:p>
          <w:p w14:paraId="48EAD2E0">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根据《环境影响评价技术导则 声环境》（HJ2.4-2021）对室内声源进行预测。声源位于室内，室内声源可采用等效室外声源功率级法进行计算。</w:t>
            </w:r>
          </w:p>
          <w:p w14:paraId="73A8C133">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1）室内声源等效室外声源功率级计算方法</w:t>
            </w:r>
          </w:p>
          <w:p w14:paraId="2C08BBF6">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如图5所示，声源位于室内，室内声源可采用等效室外声功率级法进行计算。设靠近开口处（或窗户）室内、室外某倍频带的声压级或A声级分别为L</w:t>
            </w:r>
            <w:r>
              <w:rPr>
                <w:color w:val="000000" w:themeColor="text1"/>
                <w:kern w:val="0"/>
                <w:sz w:val="24"/>
                <w:vertAlign w:val="subscript"/>
                <w14:textFill>
                  <w14:solidFill>
                    <w14:schemeClr w14:val="tx1"/>
                  </w14:solidFill>
                </w14:textFill>
              </w:rPr>
              <w:t>p1</w:t>
            </w:r>
            <w:r>
              <w:rPr>
                <w:color w:val="000000" w:themeColor="text1"/>
                <w:kern w:val="0"/>
                <w:sz w:val="24"/>
                <w14:textFill>
                  <w14:solidFill>
                    <w14:schemeClr w14:val="tx1"/>
                  </w14:solidFill>
                </w14:textFill>
              </w:rPr>
              <w:t>和L</w:t>
            </w:r>
            <w:r>
              <w:rPr>
                <w:color w:val="000000" w:themeColor="text1"/>
                <w:kern w:val="0"/>
                <w:sz w:val="24"/>
                <w:vertAlign w:val="subscript"/>
                <w14:textFill>
                  <w14:solidFill>
                    <w14:schemeClr w14:val="tx1"/>
                  </w14:solidFill>
                </w14:textFill>
              </w:rPr>
              <w:t>p2</w:t>
            </w:r>
            <w:r>
              <w:rPr>
                <w:color w:val="000000" w:themeColor="text1"/>
                <w:kern w:val="0"/>
                <w:sz w:val="24"/>
                <w14:textFill>
                  <w14:solidFill>
                    <w14:schemeClr w14:val="tx1"/>
                  </w14:solidFill>
                </w14:textFill>
              </w:rPr>
              <w:t>。若声源所在室内声场为近似扩散声场，则室外的倍频带声压级可按下式近似求出：</w:t>
            </w:r>
          </w:p>
          <w:p w14:paraId="661F9EB6">
            <w:pPr>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drawing>
                <wp:inline distT="0" distB="0" distL="0" distR="0">
                  <wp:extent cx="1364615" cy="231775"/>
                  <wp:effectExtent l="0" t="0" r="6985" b="0"/>
                  <wp:docPr id="1081115037"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115037" name="图片 1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364615" cy="231775"/>
                          </a:xfrm>
                          <a:prstGeom prst="rect">
                            <a:avLst/>
                          </a:prstGeom>
                          <a:noFill/>
                          <a:ln>
                            <a:noFill/>
                          </a:ln>
                          <a:effectLst/>
                        </pic:spPr>
                      </pic:pic>
                    </a:graphicData>
                  </a:graphic>
                </wp:inline>
              </w:drawing>
            </w:r>
          </w:p>
          <w:p w14:paraId="66189DDB">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p>
          <w:p w14:paraId="596CD06B">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L</w:t>
            </w:r>
            <w:r>
              <w:rPr>
                <w:color w:val="000000" w:themeColor="text1"/>
                <w:kern w:val="0"/>
                <w:sz w:val="24"/>
                <w:vertAlign w:val="subscript"/>
                <w14:textFill>
                  <w14:solidFill>
                    <w14:schemeClr w14:val="tx1"/>
                  </w14:solidFill>
                </w14:textFill>
              </w:rPr>
              <w:t>p1</w:t>
            </w:r>
            <w:r>
              <w:rPr>
                <w:color w:val="000000" w:themeColor="text1"/>
                <w:kern w:val="0"/>
                <w:sz w:val="24"/>
                <w14:textFill>
                  <w14:solidFill>
                    <w14:schemeClr w14:val="tx1"/>
                  </w14:solidFill>
                </w14:textFill>
              </w:rPr>
              <w:t>——靠近开口处（或窗户）室内某倍频带的声压级或A声级，dB；</w:t>
            </w:r>
          </w:p>
          <w:p w14:paraId="3E848E5C">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L</w:t>
            </w:r>
            <w:r>
              <w:rPr>
                <w:color w:val="000000" w:themeColor="text1"/>
                <w:kern w:val="0"/>
                <w:sz w:val="24"/>
                <w:vertAlign w:val="subscript"/>
                <w14:textFill>
                  <w14:solidFill>
                    <w14:schemeClr w14:val="tx1"/>
                  </w14:solidFill>
                </w14:textFill>
              </w:rPr>
              <w:t>p2</w:t>
            </w:r>
            <w:r>
              <w:rPr>
                <w:color w:val="000000" w:themeColor="text1"/>
                <w:kern w:val="0"/>
                <w:sz w:val="24"/>
                <w14:textFill>
                  <w14:solidFill>
                    <w14:schemeClr w14:val="tx1"/>
                  </w14:solidFill>
                </w14:textFill>
              </w:rPr>
              <w:t>——靠近开口处（或窗户）室外某倍频带的声压级或A声级，dB；</w:t>
            </w:r>
          </w:p>
          <w:p w14:paraId="7E563210">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TL——隔墙（或窗户）倍频带或A声级的隔声量，dB。</w:t>
            </w:r>
          </w:p>
          <w:p w14:paraId="4BCB9D6D">
            <w:pPr>
              <w:autoSpaceDE w:val="0"/>
              <w:autoSpaceDN w:val="0"/>
              <w:jc w:val="center"/>
              <w:rPr>
                <w:bCs/>
                <w:color w:val="000000" w:themeColor="text1"/>
                <w:kern w:val="0"/>
                <w:sz w:val="24"/>
                <w14:textFill>
                  <w14:solidFill>
                    <w14:schemeClr w14:val="tx1"/>
                  </w14:solidFill>
                </w14:textFill>
              </w:rPr>
            </w:pPr>
            <w:r>
              <w:rPr>
                <w:bCs/>
                <w:color w:val="000000" w:themeColor="text1"/>
                <w:kern w:val="0"/>
                <w:sz w:val="24"/>
                <w14:textFill>
                  <w14:solidFill>
                    <w14:schemeClr w14:val="tx1"/>
                  </w14:solidFill>
                </w14:textFill>
              </w:rPr>
              <w:drawing>
                <wp:inline distT="0" distB="0" distL="0" distR="0">
                  <wp:extent cx="1931035" cy="942975"/>
                  <wp:effectExtent l="0" t="0" r="0" b="9525"/>
                  <wp:docPr id="1627683942"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683942" name="图片 19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931282" cy="943119"/>
                          </a:xfrm>
                          <a:prstGeom prst="rect">
                            <a:avLst/>
                          </a:prstGeom>
                          <a:noFill/>
                          <a:ln>
                            <a:noFill/>
                          </a:ln>
                          <a:effectLst/>
                        </pic:spPr>
                      </pic:pic>
                    </a:graphicData>
                  </a:graphic>
                </wp:inline>
              </w:drawing>
            </w:r>
          </w:p>
          <w:p w14:paraId="5D634420">
            <w:pPr>
              <w:pStyle w:val="167"/>
              <w:numPr>
                <w:ilvl w:val="0"/>
                <w:numId w:val="8"/>
              </w:numPr>
              <w:spacing w:line="360" w:lineRule="auto"/>
              <w:ind w:left="0" w:firstLine="0"/>
              <w:jc w:val="center"/>
              <w:rPr>
                <w:rFonts w:ascii="Times New Roman" w:hAnsi="Times New Roman" w:cs="Times New Roman"/>
                <w:b/>
                <w:color w:val="000000" w:themeColor="text1"/>
                <w:sz w:val="21"/>
                <w14:textFill>
                  <w14:solidFill>
                    <w14:schemeClr w14:val="tx1"/>
                  </w14:solidFill>
                </w14:textFill>
              </w:rPr>
            </w:pPr>
            <w:r>
              <w:rPr>
                <w:rFonts w:ascii="Times New Roman" w:hAnsi="Times New Roman" w:cs="Times New Roman"/>
                <w:b/>
                <w:color w:val="000000" w:themeColor="text1"/>
                <w:sz w:val="21"/>
                <w14:textFill>
                  <w14:solidFill>
                    <w14:schemeClr w14:val="tx1"/>
                  </w14:solidFill>
                </w14:textFill>
              </w:rPr>
              <w:t xml:space="preserve"> 室内声源等效为室外声源图例</w:t>
            </w:r>
          </w:p>
          <w:p w14:paraId="44395E2F">
            <w:pPr>
              <w:spacing w:before="156" w:beforeLines="50"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也可按下式计算某一室内声源靠近围护结构处产生的倍频带声压级或A声级：</w:t>
            </w:r>
          </w:p>
          <w:p w14:paraId="67DF13C1">
            <w:pPr>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drawing>
                <wp:inline distT="0" distB="0" distL="0" distR="0">
                  <wp:extent cx="1815465" cy="464185"/>
                  <wp:effectExtent l="0" t="0" r="0" b="0"/>
                  <wp:docPr id="1938258017"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258017" name="图片 18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815465" cy="464185"/>
                          </a:xfrm>
                          <a:prstGeom prst="rect">
                            <a:avLst/>
                          </a:prstGeom>
                          <a:noFill/>
                          <a:ln>
                            <a:noFill/>
                          </a:ln>
                          <a:effectLst/>
                        </pic:spPr>
                      </pic:pic>
                    </a:graphicData>
                  </a:graphic>
                </wp:inline>
              </w:drawing>
            </w:r>
          </w:p>
          <w:p w14:paraId="7405B56B">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p>
          <w:p w14:paraId="1A0DAFB4">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Q——指向性因数：通常对无指向性声源，当声源放在房间中心时，Q=1；当放在一面墙的中心时，Q=2；当放在两面墙夹角时，Q=4；当放在三面墙夹角处时，Q=8。</w:t>
            </w:r>
          </w:p>
          <w:p w14:paraId="1A1A3A2D">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R——房间常数：R=Sα/(1-α)，S为房间内表面面积，m</w:t>
            </w:r>
            <w:r>
              <w:rPr>
                <w:color w:val="000000" w:themeColor="text1"/>
                <w:kern w:val="0"/>
                <w:sz w:val="24"/>
                <w:vertAlign w:val="superscript"/>
                <w14:textFill>
                  <w14:solidFill>
                    <w14:schemeClr w14:val="tx1"/>
                  </w14:solidFill>
                </w14:textFill>
              </w:rPr>
              <w:t>2</w:t>
            </w:r>
            <w:r>
              <w:rPr>
                <w:color w:val="000000" w:themeColor="text1"/>
                <w:kern w:val="0"/>
                <w:sz w:val="24"/>
                <w14:textFill>
                  <w14:solidFill>
                    <w14:schemeClr w14:val="tx1"/>
                  </w14:solidFill>
                </w14:textFill>
              </w:rPr>
              <w:t>；α为平均吸声系数。</w:t>
            </w:r>
          </w:p>
          <w:p w14:paraId="7B368325">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r——声源到靠近围护结构某点处的距离，m。</w:t>
            </w:r>
          </w:p>
          <w:p w14:paraId="7552287C">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然后按下式计算出所有室内声源在围护结构处产生的i倍频带叠加声压级：</w:t>
            </w:r>
          </w:p>
          <w:p w14:paraId="6BE81B99">
            <w:pPr>
              <w:autoSpaceDE w:val="0"/>
              <w:autoSpaceDN w:val="0"/>
              <w:jc w:val="center"/>
              <w:rPr>
                <w:bCs/>
                <w:color w:val="000000" w:themeColor="text1"/>
                <w:kern w:val="0"/>
                <w:sz w:val="24"/>
                <w14:textFill>
                  <w14:solidFill>
                    <w14:schemeClr w14:val="tx1"/>
                  </w14:solidFill>
                </w14:textFill>
              </w:rPr>
            </w:pPr>
            <w:r>
              <w:rPr>
                <w:bCs/>
                <w:color w:val="000000" w:themeColor="text1"/>
                <w:kern w:val="0"/>
                <w:sz w:val="24"/>
                <w14:textFill>
                  <w14:solidFill>
                    <w14:schemeClr w14:val="tx1"/>
                  </w14:solidFill>
                </w14:textFill>
              </w:rPr>
              <w:drawing>
                <wp:inline distT="0" distB="0" distL="0" distR="0">
                  <wp:extent cx="1664970" cy="464185"/>
                  <wp:effectExtent l="0" t="0" r="0" b="0"/>
                  <wp:docPr id="94482696"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82696" name="图片 18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664970" cy="464185"/>
                          </a:xfrm>
                          <a:prstGeom prst="rect">
                            <a:avLst/>
                          </a:prstGeom>
                          <a:noFill/>
                          <a:ln>
                            <a:noFill/>
                          </a:ln>
                          <a:effectLst/>
                        </pic:spPr>
                      </pic:pic>
                    </a:graphicData>
                  </a:graphic>
                </wp:inline>
              </w:drawing>
            </w:r>
          </w:p>
          <w:p w14:paraId="4277B4D8">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p>
          <w:p w14:paraId="05618A7B">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L</w:t>
            </w:r>
            <w:r>
              <w:rPr>
                <w:color w:val="000000" w:themeColor="text1"/>
                <w:kern w:val="0"/>
                <w:sz w:val="24"/>
                <w:vertAlign w:val="subscript"/>
                <w14:textFill>
                  <w14:solidFill>
                    <w14:schemeClr w14:val="tx1"/>
                  </w14:solidFill>
                </w14:textFill>
              </w:rPr>
              <w:t>pli</w:t>
            </w:r>
            <w:r>
              <w:rPr>
                <w:color w:val="000000" w:themeColor="text1"/>
                <w:kern w:val="0"/>
                <w:sz w:val="24"/>
                <w14:textFill>
                  <w14:solidFill>
                    <w14:schemeClr w14:val="tx1"/>
                  </w14:solidFill>
                </w14:textFill>
              </w:rPr>
              <w:t>（T）——靠近围护结构处室内N个声源i倍频带的叠加声压级，dB；</w:t>
            </w:r>
          </w:p>
          <w:p w14:paraId="0A0A3327">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L</w:t>
            </w:r>
            <w:r>
              <w:rPr>
                <w:color w:val="000000" w:themeColor="text1"/>
                <w:kern w:val="0"/>
                <w:sz w:val="24"/>
                <w:vertAlign w:val="subscript"/>
                <w14:textFill>
                  <w14:solidFill>
                    <w14:schemeClr w14:val="tx1"/>
                  </w14:solidFill>
                </w14:textFill>
              </w:rPr>
              <w:t>plij</w:t>
            </w:r>
            <w:r>
              <w:rPr>
                <w:color w:val="000000" w:themeColor="text1"/>
                <w:kern w:val="0"/>
                <w:sz w:val="24"/>
                <w14:textFill>
                  <w14:solidFill>
                    <w14:schemeClr w14:val="tx1"/>
                  </w14:solidFill>
                </w14:textFill>
              </w:rPr>
              <w:t>——室内j声源i倍频带的声压级，dB；</w:t>
            </w:r>
          </w:p>
          <w:p w14:paraId="445927EC">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N——室内声源总数。</w:t>
            </w:r>
          </w:p>
          <w:p w14:paraId="2B5D70E3">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在室内近似为扩散声场时，按下式计算出靠近室外围护结构处的声压级：</w:t>
            </w:r>
          </w:p>
          <w:p w14:paraId="3AC07A60">
            <w:pPr>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drawing>
                <wp:inline distT="0" distB="0" distL="0" distR="0">
                  <wp:extent cx="1808480" cy="225425"/>
                  <wp:effectExtent l="0" t="0" r="1270" b="3175"/>
                  <wp:docPr id="73099733"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99733" name="图片 18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1808480" cy="225425"/>
                          </a:xfrm>
                          <a:prstGeom prst="rect">
                            <a:avLst/>
                          </a:prstGeom>
                          <a:noFill/>
                          <a:ln>
                            <a:noFill/>
                          </a:ln>
                          <a:effectLst/>
                        </pic:spPr>
                      </pic:pic>
                    </a:graphicData>
                  </a:graphic>
                </wp:inline>
              </w:drawing>
            </w:r>
          </w:p>
          <w:p w14:paraId="05237A6A">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p>
          <w:p w14:paraId="3D1BD733">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L</w:t>
            </w:r>
            <w:r>
              <w:rPr>
                <w:color w:val="000000" w:themeColor="text1"/>
                <w:kern w:val="0"/>
                <w:sz w:val="24"/>
                <w:vertAlign w:val="subscript"/>
                <w14:textFill>
                  <w14:solidFill>
                    <w14:schemeClr w14:val="tx1"/>
                  </w14:solidFill>
                </w14:textFill>
              </w:rPr>
              <w:t>p2i</w:t>
            </w:r>
            <w:r>
              <w:rPr>
                <w:color w:val="000000" w:themeColor="text1"/>
                <w:kern w:val="0"/>
                <w:sz w:val="24"/>
                <w14:textFill>
                  <w14:solidFill>
                    <w14:schemeClr w14:val="tx1"/>
                  </w14:solidFill>
                </w14:textFill>
              </w:rPr>
              <w:t>（T）——靠近围护结构处室外N个声源i倍频带的叠加声压级，dB；</w:t>
            </w:r>
          </w:p>
          <w:p w14:paraId="701B9D2F">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TL</w:t>
            </w:r>
            <w:r>
              <w:rPr>
                <w:color w:val="000000" w:themeColor="text1"/>
                <w:kern w:val="0"/>
                <w:sz w:val="24"/>
                <w:vertAlign w:val="subscript"/>
                <w14:textFill>
                  <w14:solidFill>
                    <w14:schemeClr w14:val="tx1"/>
                  </w14:solidFill>
                </w14:textFill>
              </w:rPr>
              <w:t>i</w:t>
            </w:r>
            <w:r>
              <w:rPr>
                <w:color w:val="000000" w:themeColor="text1"/>
                <w:kern w:val="0"/>
                <w:sz w:val="24"/>
                <w14:textFill>
                  <w14:solidFill>
                    <w14:schemeClr w14:val="tx1"/>
                  </w14:solidFill>
                </w14:textFill>
              </w:rPr>
              <w:t>——围护结构i倍频带的隔声量，dB。</w:t>
            </w:r>
          </w:p>
          <w:p w14:paraId="6E6A1639">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然后按下式将室外声源的声压级和透过面积换算成等效的室外声源，计算出中心位置位于透声面积（S）处的等效声源的倍频带声功率级。</w:t>
            </w:r>
          </w:p>
          <w:p w14:paraId="76E3762D">
            <w:pPr>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drawing>
                <wp:inline distT="0" distB="0" distL="0" distR="0">
                  <wp:extent cx="1480820" cy="259080"/>
                  <wp:effectExtent l="0" t="0" r="5080" b="7620"/>
                  <wp:docPr id="1569112132"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112132" name="图片 18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480820" cy="259080"/>
                          </a:xfrm>
                          <a:prstGeom prst="rect">
                            <a:avLst/>
                          </a:prstGeom>
                          <a:noFill/>
                          <a:ln>
                            <a:noFill/>
                          </a:ln>
                          <a:effectLst/>
                        </pic:spPr>
                      </pic:pic>
                    </a:graphicData>
                  </a:graphic>
                </wp:inline>
              </w:drawing>
            </w:r>
          </w:p>
          <w:p w14:paraId="0F3984BA">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p>
          <w:p w14:paraId="2CA58819">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Lw——点声源功率级（A计权或倍频带），dB；</w:t>
            </w:r>
          </w:p>
          <w:p w14:paraId="6562E738">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S——透声面积，m</w:t>
            </w:r>
            <w:r>
              <w:rPr>
                <w:color w:val="000000" w:themeColor="text1"/>
                <w:kern w:val="0"/>
                <w:sz w:val="24"/>
                <w:vertAlign w:val="superscript"/>
                <w14:textFill>
                  <w14:solidFill>
                    <w14:schemeClr w14:val="tx1"/>
                  </w14:solidFill>
                </w14:textFill>
              </w:rPr>
              <w:t>2</w:t>
            </w:r>
            <w:r>
              <w:rPr>
                <w:color w:val="000000" w:themeColor="text1"/>
                <w:kern w:val="0"/>
                <w:sz w:val="24"/>
                <w14:textFill>
                  <w14:solidFill>
                    <w14:schemeClr w14:val="tx1"/>
                  </w14:solidFill>
                </w14:textFill>
              </w:rPr>
              <w:t>。</w:t>
            </w:r>
          </w:p>
          <w:p w14:paraId="1E4D3BC4">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然后按室外声源预测方法计算预测点处的A声级。</w:t>
            </w:r>
          </w:p>
          <w:p w14:paraId="13FAA1AD">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本次噪声预测昼间将所有设备同时运行且工作人员同时发声视为整体噪声，本项目除</w:t>
            </w:r>
            <w:r>
              <w:rPr>
                <w:rFonts w:hint="eastAsia"/>
                <w:color w:val="000000" w:themeColor="text1"/>
                <w:kern w:val="0"/>
                <w:sz w:val="24"/>
                <w14:textFill>
                  <w14:solidFill>
                    <w14:schemeClr w14:val="tx1"/>
                  </w14:solidFill>
                </w14:textFill>
              </w:rPr>
              <w:t>风机</w:t>
            </w:r>
            <w:r>
              <w:rPr>
                <w:color w:val="000000" w:themeColor="text1"/>
                <w:kern w:val="0"/>
                <w:sz w:val="24"/>
                <w14:textFill>
                  <w14:solidFill>
                    <w14:schemeClr w14:val="tx1"/>
                  </w14:solidFill>
                </w14:textFill>
              </w:rPr>
              <w:t>外，其余设备均位于室内，昼间噪声经过隔声后</w:t>
            </w:r>
            <w:r>
              <w:rPr>
                <w:rFonts w:hint="eastAsia"/>
                <w:color w:val="000000" w:themeColor="text1"/>
                <w:kern w:val="0"/>
                <w:sz w:val="24"/>
                <w14:textFill>
                  <w14:solidFill>
                    <w14:schemeClr w14:val="tx1"/>
                  </w14:solidFill>
                </w14:textFill>
              </w:rPr>
              <w:t>3号厂房</w:t>
            </w:r>
            <w:r>
              <w:rPr>
                <w:color w:val="000000" w:themeColor="text1"/>
                <w:kern w:val="0"/>
                <w:sz w:val="24"/>
                <w14:textFill>
                  <w14:solidFill>
                    <w14:schemeClr w14:val="tx1"/>
                  </w14:solidFill>
                </w14:textFill>
              </w:rPr>
              <w:t>为</w:t>
            </w:r>
            <w:r>
              <w:rPr>
                <w:rFonts w:hint="eastAsia"/>
                <w:color w:val="000000" w:themeColor="text1"/>
                <w:kern w:val="0"/>
                <w:sz w:val="24"/>
                <w14:textFill>
                  <w14:solidFill>
                    <w14:schemeClr w14:val="tx1"/>
                  </w14:solidFill>
                </w14:textFill>
              </w:rPr>
              <w:t>76.4</w:t>
            </w:r>
            <w:r>
              <w:rPr>
                <w:color w:val="000000" w:themeColor="text1"/>
                <w:kern w:val="0"/>
                <w:sz w:val="24"/>
                <w14:textFill>
                  <w14:solidFill>
                    <w14:schemeClr w14:val="tx1"/>
                  </w14:solidFill>
                </w14:textFill>
              </w:rPr>
              <w:t>dB（A）</w:t>
            </w:r>
            <w:r>
              <w:rPr>
                <w:rFonts w:hint="eastAsia"/>
                <w:color w:val="000000" w:themeColor="text1"/>
                <w:kern w:val="0"/>
                <w:sz w:val="24"/>
                <w14:textFill>
                  <w14:solidFill>
                    <w14:schemeClr w14:val="tx1"/>
                  </w14:solidFill>
                </w14:textFill>
              </w:rPr>
              <w:t>，1号厂房85.1</w:t>
            </w:r>
            <w:r>
              <w:rPr>
                <w:color w:val="000000" w:themeColor="text1"/>
                <w:kern w:val="0"/>
                <w:sz w:val="24"/>
                <w14:textFill>
                  <w14:solidFill>
                    <w14:schemeClr w14:val="tx1"/>
                  </w14:solidFill>
                </w14:textFill>
              </w:rPr>
              <w:t>dB（A）。本项目为新建项目，夜间不生产，因此本次评价主要分析企业昼间运行时对厂界的噪声贡献值，估算出的噪声值与距离的衰减关系以及设备的噪声影响见下表。</w:t>
            </w:r>
          </w:p>
          <w:p w14:paraId="629B1BCB">
            <w:pPr>
              <w:spacing w:line="276" w:lineRule="auto"/>
              <w:ind w:firstLine="422" w:firstLineChars="20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 xml:space="preserve">表4-15  </w:t>
            </w:r>
            <w:r>
              <w:rPr>
                <w:b/>
                <w:bCs/>
                <w:color w:val="000000" w:themeColor="text1"/>
                <w:szCs w:val="21"/>
                <w14:textFill>
                  <w14:solidFill>
                    <w14:schemeClr w14:val="tx1"/>
                  </w14:solidFill>
                </w14:textFill>
              </w:rPr>
              <w:t>厂界噪声预测结果</w:t>
            </w:r>
            <w:r>
              <w:rPr>
                <w:rFonts w:hint="eastAsia"/>
                <w:b/>
                <w:bCs/>
                <w:color w:val="000000" w:themeColor="text1"/>
                <w:szCs w:val="21"/>
                <w14:textFill>
                  <w14:solidFill>
                    <w14:schemeClr w14:val="tx1"/>
                  </w14:solidFill>
                </w14:textFill>
              </w:rPr>
              <w:t>（室内）</w:t>
            </w:r>
          </w:p>
          <w:tbl>
            <w:tblPr>
              <w:tblStyle w:val="40"/>
              <w:tblW w:w="8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733"/>
              <w:gridCol w:w="709"/>
              <w:gridCol w:w="850"/>
              <w:gridCol w:w="426"/>
              <w:gridCol w:w="425"/>
              <w:gridCol w:w="425"/>
              <w:gridCol w:w="425"/>
              <w:gridCol w:w="709"/>
              <w:gridCol w:w="709"/>
              <w:gridCol w:w="425"/>
              <w:gridCol w:w="425"/>
              <w:gridCol w:w="426"/>
              <w:gridCol w:w="425"/>
              <w:gridCol w:w="64"/>
              <w:gridCol w:w="632"/>
            </w:tblGrid>
            <w:tr w14:paraId="723EF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dxa"/>
                  <w:vMerge w:val="restart"/>
                  <w:vAlign w:val="center"/>
                </w:tcPr>
                <w:p w14:paraId="1465E05A">
                  <w:pPr>
                    <w:adjustRightInd w:val="0"/>
                    <w:snapToGrid w:val="0"/>
                    <w:ind w:left="-105" w:leftChars="-50" w:right="-105" w:rightChars="-50"/>
                    <w:jc w:val="center"/>
                    <w:rPr>
                      <w:b/>
                      <w:color w:val="7030A0"/>
                    </w:rPr>
                  </w:pPr>
                  <w:r>
                    <w:rPr>
                      <w:b/>
                      <w:color w:val="000000" w:themeColor="text1"/>
                      <w14:textFill>
                        <w14:solidFill>
                          <w14:schemeClr w14:val="tx1"/>
                        </w14:solidFill>
                      </w14:textFill>
                    </w:rPr>
                    <w:t>序号</w:t>
                  </w:r>
                </w:p>
              </w:tc>
              <w:tc>
                <w:tcPr>
                  <w:tcW w:w="733" w:type="dxa"/>
                  <w:vMerge w:val="restart"/>
                  <w:vAlign w:val="center"/>
                </w:tcPr>
                <w:p w14:paraId="235C8E00">
                  <w:pPr>
                    <w:adjustRightInd w:val="0"/>
                    <w:snapToGrid w:val="0"/>
                    <w:ind w:left="-105" w:leftChars="-50" w:right="-105" w:rightChars="-50"/>
                    <w:jc w:val="center"/>
                    <w:rPr>
                      <w:b/>
                      <w:color w:val="7030A0"/>
                    </w:rPr>
                  </w:pPr>
                  <w:r>
                    <w:rPr>
                      <w:b/>
                      <w:color w:val="000000" w:themeColor="text1"/>
                      <w14:textFill>
                        <w14:solidFill>
                          <w14:schemeClr w14:val="tx1"/>
                        </w14:solidFill>
                      </w14:textFill>
                    </w:rPr>
                    <w:t>声源名称</w:t>
                  </w:r>
                </w:p>
              </w:tc>
              <w:tc>
                <w:tcPr>
                  <w:tcW w:w="709" w:type="dxa"/>
                  <w:vMerge w:val="restart"/>
                  <w:vAlign w:val="center"/>
                </w:tcPr>
                <w:p w14:paraId="30C05D68">
                  <w:pPr>
                    <w:adjustRightInd w:val="0"/>
                    <w:snapToGrid w:val="0"/>
                    <w:ind w:left="-105" w:leftChars="-50" w:right="-105" w:rightChars="-50"/>
                    <w:jc w:val="center"/>
                    <w:rPr>
                      <w:b/>
                      <w:color w:val="7030A0"/>
                    </w:rPr>
                  </w:pPr>
                  <w:r>
                    <w:rPr>
                      <w:rFonts w:hint="eastAsia"/>
                      <w:b/>
                      <w:color w:val="000000" w:themeColor="text1"/>
                      <w14:textFill>
                        <w14:solidFill>
                          <w14:schemeClr w14:val="tx1"/>
                        </w14:solidFill>
                      </w14:textFill>
                    </w:rPr>
                    <w:t>排放噪声值dB(A)</w:t>
                  </w:r>
                </w:p>
              </w:tc>
              <w:tc>
                <w:tcPr>
                  <w:tcW w:w="850" w:type="dxa"/>
                  <w:vMerge w:val="restart"/>
                  <w:vAlign w:val="center"/>
                </w:tcPr>
                <w:p w14:paraId="5ECC3C97">
                  <w:pPr>
                    <w:adjustRightInd w:val="0"/>
                    <w:snapToGrid w:val="0"/>
                    <w:ind w:left="-105" w:leftChars="-50" w:right="-105" w:rightChars="-50"/>
                    <w:jc w:val="center"/>
                    <w:rPr>
                      <w:b/>
                      <w:color w:val="7030A0"/>
                    </w:rPr>
                  </w:pPr>
                  <w:r>
                    <w:rPr>
                      <w:rFonts w:hint="eastAsia"/>
                      <w:b/>
                      <w:color w:val="000000" w:themeColor="text1"/>
                      <w14:textFill>
                        <w14:solidFill>
                          <w14:schemeClr w14:val="tx1"/>
                        </w14:solidFill>
                      </w14:textFill>
                    </w:rPr>
                    <w:t>车间内噪声源强dB(A)</w:t>
                  </w:r>
                </w:p>
              </w:tc>
              <w:tc>
                <w:tcPr>
                  <w:tcW w:w="1701" w:type="dxa"/>
                  <w:gridSpan w:val="4"/>
                  <w:vAlign w:val="center"/>
                </w:tcPr>
                <w:p w14:paraId="5C3D5694">
                  <w:pPr>
                    <w:adjustRightInd w:val="0"/>
                    <w:snapToGrid w:val="0"/>
                    <w:ind w:left="-105" w:leftChars="-50" w:right="-105" w:rightChars="-50"/>
                    <w:jc w:val="center"/>
                    <w:rPr>
                      <w:b/>
                      <w:color w:val="7030A0"/>
                    </w:rPr>
                  </w:pPr>
                  <w:r>
                    <w:rPr>
                      <w:b/>
                      <w:color w:val="000000" w:themeColor="text1"/>
                      <w14:textFill>
                        <w14:solidFill>
                          <w14:schemeClr w14:val="tx1"/>
                        </w14:solidFill>
                      </w14:textFill>
                    </w:rPr>
                    <w:t>距室内边界距离/m</w:t>
                  </w:r>
                </w:p>
              </w:tc>
              <w:tc>
                <w:tcPr>
                  <w:tcW w:w="709" w:type="dxa"/>
                  <w:vMerge w:val="restart"/>
                  <w:vAlign w:val="center"/>
                </w:tcPr>
                <w:p w14:paraId="382F50EB">
                  <w:pPr>
                    <w:adjustRightInd w:val="0"/>
                    <w:snapToGrid w:val="0"/>
                    <w:ind w:left="-105" w:leftChars="-50" w:right="-105" w:rightChars="-50"/>
                    <w:jc w:val="center"/>
                    <w:rPr>
                      <w:b/>
                      <w:color w:val="7030A0"/>
                    </w:rPr>
                  </w:pPr>
                  <w:r>
                    <w:rPr>
                      <w:b/>
                      <w:color w:val="000000" w:themeColor="text1"/>
                      <w14:textFill>
                        <w14:solidFill>
                          <w14:schemeClr w14:val="tx1"/>
                        </w14:solidFill>
                      </w14:textFill>
                    </w:rPr>
                    <w:t>运行时段（h/a）</w:t>
                  </w:r>
                </w:p>
              </w:tc>
              <w:tc>
                <w:tcPr>
                  <w:tcW w:w="709" w:type="dxa"/>
                  <w:vMerge w:val="restart"/>
                  <w:vAlign w:val="center"/>
                </w:tcPr>
                <w:p w14:paraId="0A402975">
                  <w:pPr>
                    <w:adjustRightInd w:val="0"/>
                    <w:snapToGrid w:val="0"/>
                    <w:ind w:left="-105" w:leftChars="-50" w:right="-105" w:rightChars="-50"/>
                    <w:jc w:val="center"/>
                    <w:rPr>
                      <w:b/>
                      <w:color w:val="7030A0"/>
                    </w:rPr>
                  </w:pPr>
                  <w:r>
                    <w:rPr>
                      <w:rFonts w:hint="eastAsia"/>
                      <w:b/>
                      <w:color w:val="000000" w:themeColor="text1"/>
                      <w14:textFill>
                        <w14:solidFill>
                          <w14:schemeClr w14:val="tx1"/>
                        </w14:solidFill>
                      </w14:textFill>
                    </w:rPr>
                    <w:t>墙体隔声降噪效果dB(A)</w:t>
                  </w:r>
                </w:p>
              </w:tc>
              <w:tc>
                <w:tcPr>
                  <w:tcW w:w="2397" w:type="dxa"/>
                  <w:gridSpan w:val="6"/>
                  <w:vAlign w:val="center"/>
                </w:tcPr>
                <w:p w14:paraId="5A831810">
                  <w:pPr>
                    <w:adjustRightInd w:val="0"/>
                    <w:snapToGrid w:val="0"/>
                    <w:ind w:left="-105" w:leftChars="-50" w:right="-105" w:rightChars="-5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经过距离衰减及墙体隔声后</w:t>
                  </w:r>
                  <w:r>
                    <w:rPr>
                      <w:b/>
                      <w:color w:val="000000" w:themeColor="text1"/>
                      <w14:textFill>
                        <w14:solidFill>
                          <w14:schemeClr w14:val="tx1"/>
                        </w14:solidFill>
                      </w14:textFill>
                    </w:rPr>
                    <w:t>建筑物外噪声</w:t>
                  </w:r>
                </w:p>
              </w:tc>
            </w:tr>
            <w:tr w14:paraId="3A217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dxa"/>
                  <w:vMerge w:val="continue"/>
                  <w:vAlign w:val="center"/>
                </w:tcPr>
                <w:p w14:paraId="75AC87F5">
                  <w:pPr>
                    <w:adjustRightInd w:val="0"/>
                    <w:snapToGrid w:val="0"/>
                    <w:ind w:left="-105" w:leftChars="-50" w:right="-105" w:rightChars="-50"/>
                    <w:jc w:val="center"/>
                    <w:rPr>
                      <w:b/>
                      <w:color w:val="7030A0"/>
                    </w:rPr>
                  </w:pPr>
                </w:p>
              </w:tc>
              <w:tc>
                <w:tcPr>
                  <w:tcW w:w="733" w:type="dxa"/>
                  <w:vMerge w:val="continue"/>
                  <w:vAlign w:val="center"/>
                </w:tcPr>
                <w:p w14:paraId="76E8B085">
                  <w:pPr>
                    <w:adjustRightInd w:val="0"/>
                    <w:snapToGrid w:val="0"/>
                    <w:ind w:left="-105" w:leftChars="-50" w:right="-105" w:rightChars="-50"/>
                    <w:jc w:val="center"/>
                    <w:rPr>
                      <w:b/>
                      <w:color w:val="7030A0"/>
                    </w:rPr>
                  </w:pPr>
                </w:p>
              </w:tc>
              <w:tc>
                <w:tcPr>
                  <w:tcW w:w="709" w:type="dxa"/>
                  <w:vMerge w:val="continue"/>
                  <w:vAlign w:val="center"/>
                </w:tcPr>
                <w:p w14:paraId="57C8DB85">
                  <w:pPr>
                    <w:adjustRightInd w:val="0"/>
                    <w:snapToGrid w:val="0"/>
                    <w:ind w:left="-105" w:leftChars="-50" w:right="-105" w:rightChars="-50"/>
                    <w:jc w:val="center"/>
                    <w:rPr>
                      <w:b/>
                      <w:color w:val="7030A0"/>
                    </w:rPr>
                  </w:pPr>
                </w:p>
              </w:tc>
              <w:tc>
                <w:tcPr>
                  <w:tcW w:w="850" w:type="dxa"/>
                  <w:vMerge w:val="continue"/>
                  <w:vAlign w:val="center"/>
                </w:tcPr>
                <w:p w14:paraId="4F9A6B3C">
                  <w:pPr>
                    <w:adjustRightInd w:val="0"/>
                    <w:snapToGrid w:val="0"/>
                    <w:ind w:left="-105" w:leftChars="-50" w:right="-105" w:rightChars="-50"/>
                    <w:jc w:val="center"/>
                    <w:rPr>
                      <w:b/>
                      <w:color w:val="7030A0"/>
                    </w:rPr>
                  </w:pPr>
                </w:p>
              </w:tc>
              <w:tc>
                <w:tcPr>
                  <w:tcW w:w="426" w:type="dxa"/>
                  <w:vAlign w:val="center"/>
                </w:tcPr>
                <w:p w14:paraId="7210C88B">
                  <w:pPr>
                    <w:adjustRightInd w:val="0"/>
                    <w:snapToGrid w:val="0"/>
                    <w:ind w:left="-105" w:leftChars="-50" w:right="-105" w:rightChars="-50"/>
                    <w:jc w:val="center"/>
                    <w:rPr>
                      <w:b/>
                      <w:color w:val="7030A0"/>
                    </w:rPr>
                  </w:pPr>
                  <w:r>
                    <w:rPr>
                      <w:b/>
                      <w:color w:val="000000" w:themeColor="text1"/>
                      <w14:textFill>
                        <w14:solidFill>
                          <w14:schemeClr w14:val="tx1"/>
                        </w14:solidFill>
                      </w14:textFill>
                    </w:rPr>
                    <w:t>东</w:t>
                  </w:r>
                </w:p>
              </w:tc>
              <w:tc>
                <w:tcPr>
                  <w:tcW w:w="425" w:type="dxa"/>
                  <w:vAlign w:val="center"/>
                </w:tcPr>
                <w:p w14:paraId="08EA5DFB">
                  <w:pPr>
                    <w:adjustRightInd w:val="0"/>
                    <w:snapToGrid w:val="0"/>
                    <w:ind w:left="-105" w:leftChars="-50" w:right="-105" w:rightChars="-50"/>
                    <w:jc w:val="center"/>
                    <w:rPr>
                      <w:b/>
                      <w:color w:val="7030A0"/>
                    </w:rPr>
                  </w:pPr>
                  <w:r>
                    <w:rPr>
                      <w:b/>
                      <w:color w:val="000000" w:themeColor="text1"/>
                      <w14:textFill>
                        <w14:solidFill>
                          <w14:schemeClr w14:val="tx1"/>
                        </w14:solidFill>
                      </w14:textFill>
                    </w:rPr>
                    <w:t>南</w:t>
                  </w:r>
                </w:p>
              </w:tc>
              <w:tc>
                <w:tcPr>
                  <w:tcW w:w="425" w:type="dxa"/>
                  <w:vAlign w:val="center"/>
                </w:tcPr>
                <w:p w14:paraId="222425CD">
                  <w:pPr>
                    <w:adjustRightInd w:val="0"/>
                    <w:snapToGrid w:val="0"/>
                    <w:ind w:left="-105" w:leftChars="-50" w:right="-105" w:rightChars="-50"/>
                    <w:jc w:val="center"/>
                    <w:rPr>
                      <w:b/>
                      <w:color w:val="7030A0"/>
                    </w:rPr>
                  </w:pPr>
                  <w:r>
                    <w:rPr>
                      <w:b/>
                      <w:color w:val="000000" w:themeColor="text1"/>
                      <w14:textFill>
                        <w14:solidFill>
                          <w14:schemeClr w14:val="tx1"/>
                        </w14:solidFill>
                      </w14:textFill>
                    </w:rPr>
                    <w:t>西</w:t>
                  </w:r>
                </w:p>
              </w:tc>
              <w:tc>
                <w:tcPr>
                  <w:tcW w:w="425" w:type="dxa"/>
                  <w:vAlign w:val="center"/>
                </w:tcPr>
                <w:p w14:paraId="5FCAE51D">
                  <w:pPr>
                    <w:adjustRightInd w:val="0"/>
                    <w:snapToGrid w:val="0"/>
                    <w:ind w:left="-105" w:leftChars="-50" w:right="-105" w:rightChars="-50"/>
                    <w:jc w:val="center"/>
                    <w:rPr>
                      <w:b/>
                      <w:color w:val="7030A0"/>
                    </w:rPr>
                  </w:pPr>
                  <w:r>
                    <w:rPr>
                      <w:b/>
                      <w:color w:val="000000" w:themeColor="text1"/>
                      <w14:textFill>
                        <w14:solidFill>
                          <w14:schemeClr w14:val="tx1"/>
                        </w14:solidFill>
                      </w14:textFill>
                    </w:rPr>
                    <w:t>北</w:t>
                  </w:r>
                </w:p>
              </w:tc>
              <w:tc>
                <w:tcPr>
                  <w:tcW w:w="709" w:type="dxa"/>
                  <w:vMerge w:val="continue"/>
                  <w:vAlign w:val="center"/>
                </w:tcPr>
                <w:p w14:paraId="05C479DB">
                  <w:pPr>
                    <w:adjustRightInd w:val="0"/>
                    <w:snapToGrid w:val="0"/>
                    <w:ind w:left="-105" w:leftChars="-50" w:right="-105" w:rightChars="-50"/>
                    <w:jc w:val="center"/>
                    <w:rPr>
                      <w:b/>
                      <w:color w:val="7030A0"/>
                    </w:rPr>
                  </w:pPr>
                </w:p>
              </w:tc>
              <w:tc>
                <w:tcPr>
                  <w:tcW w:w="709" w:type="dxa"/>
                  <w:vMerge w:val="continue"/>
                </w:tcPr>
                <w:p w14:paraId="5D8384BF">
                  <w:pPr>
                    <w:adjustRightInd w:val="0"/>
                    <w:snapToGrid w:val="0"/>
                    <w:ind w:left="-105" w:leftChars="-50" w:right="-105" w:rightChars="-50"/>
                    <w:jc w:val="center"/>
                    <w:rPr>
                      <w:b/>
                      <w:color w:val="7030A0"/>
                    </w:rPr>
                  </w:pPr>
                </w:p>
              </w:tc>
              <w:tc>
                <w:tcPr>
                  <w:tcW w:w="1701" w:type="dxa"/>
                  <w:gridSpan w:val="4"/>
                  <w:vAlign w:val="center"/>
                </w:tcPr>
                <w:p w14:paraId="19888A73">
                  <w:pPr>
                    <w:adjustRightInd w:val="0"/>
                    <w:snapToGrid w:val="0"/>
                    <w:ind w:left="-105" w:leftChars="-50" w:right="-105" w:rightChars="-50"/>
                    <w:jc w:val="center"/>
                    <w:rPr>
                      <w:b/>
                      <w:color w:val="7030A0"/>
                    </w:rPr>
                  </w:pPr>
                  <w:r>
                    <w:rPr>
                      <w:rFonts w:hint="eastAsia"/>
                      <w:b/>
                      <w:color w:val="000000" w:themeColor="text1"/>
                      <w14:textFill>
                        <w14:solidFill>
                          <w14:schemeClr w14:val="tx1"/>
                        </w14:solidFill>
                      </w14:textFill>
                    </w:rPr>
                    <w:t>贡献值</w:t>
                  </w:r>
                  <w:r>
                    <w:rPr>
                      <w:b/>
                      <w:color w:val="000000" w:themeColor="text1"/>
                      <w14:textFill>
                        <w14:solidFill>
                          <w14:schemeClr w14:val="tx1"/>
                        </w14:solidFill>
                      </w14:textFill>
                    </w:rPr>
                    <w:t>/dB(A)</w:t>
                  </w:r>
                </w:p>
              </w:tc>
              <w:tc>
                <w:tcPr>
                  <w:tcW w:w="696" w:type="dxa"/>
                  <w:gridSpan w:val="2"/>
                  <w:vAlign w:val="center"/>
                </w:tcPr>
                <w:p w14:paraId="2634294F">
                  <w:pPr>
                    <w:adjustRightInd w:val="0"/>
                    <w:snapToGrid w:val="0"/>
                    <w:ind w:left="-105" w:leftChars="-50" w:right="-105" w:rightChars="-50"/>
                    <w:jc w:val="center"/>
                    <w:rPr>
                      <w:b/>
                      <w:color w:val="000000" w:themeColor="text1"/>
                      <w14:textFill>
                        <w14:solidFill>
                          <w14:schemeClr w14:val="tx1"/>
                        </w14:solidFill>
                      </w14:textFill>
                    </w:rPr>
                  </w:pPr>
                  <w:r>
                    <w:rPr>
                      <w:b/>
                      <w:color w:val="000000" w:themeColor="text1"/>
                      <w14:textFill>
                        <w14:solidFill>
                          <w14:schemeClr w14:val="tx1"/>
                        </w14:solidFill>
                      </w14:textFill>
                    </w:rPr>
                    <w:t>建筑物外距离/m</w:t>
                  </w:r>
                </w:p>
              </w:tc>
            </w:tr>
            <w:tr w14:paraId="37067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dxa"/>
                  <w:noWrap/>
                  <w:vAlign w:val="center"/>
                </w:tcPr>
                <w:p w14:paraId="74159935">
                  <w:pPr>
                    <w:adjustRightInd w:val="0"/>
                    <w:snapToGrid w:val="0"/>
                    <w:ind w:left="-105" w:leftChars="-50" w:right="-105" w:rightChars="-50"/>
                    <w:jc w:val="center"/>
                    <w:rPr>
                      <w:bCs/>
                      <w:color w:val="7030A0"/>
                    </w:rPr>
                  </w:pPr>
                  <w:r>
                    <w:rPr>
                      <w:bCs/>
                      <w:color w:val="000000" w:themeColor="text1"/>
                      <w14:textFill>
                        <w14:solidFill>
                          <w14:schemeClr w14:val="tx1"/>
                        </w14:solidFill>
                      </w14:textFill>
                    </w:rPr>
                    <w:t>1</w:t>
                  </w:r>
                </w:p>
              </w:tc>
              <w:tc>
                <w:tcPr>
                  <w:tcW w:w="733" w:type="dxa"/>
                  <w:vAlign w:val="center"/>
                </w:tcPr>
                <w:p w14:paraId="7BA38F25">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开料机</w:t>
                  </w:r>
                </w:p>
              </w:tc>
              <w:tc>
                <w:tcPr>
                  <w:tcW w:w="709" w:type="dxa"/>
                  <w:vAlign w:val="center"/>
                </w:tcPr>
                <w:p w14:paraId="4CB77940">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75</w:t>
                  </w:r>
                </w:p>
              </w:tc>
              <w:tc>
                <w:tcPr>
                  <w:tcW w:w="850" w:type="dxa"/>
                  <w:vMerge w:val="restart"/>
                  <w:noWrap/>
                  <w:vAlign w:val="center"/>
                </w:tcPr>
                <w:p w14:paraId="35B35B00">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84.2</w:t>
                  </w:r>
                </w:p>
              </w:tc>
              <w:tc>
                <w:tcPr>
                  <w:tcW w:w="426" w:type="dxa"/>
                  <w:vMerge w:val="restart"/>
                  <w:noWrap/>
                  <w:vAlign w:val="center"/>
                </w:tcPr>
                <w:p w14:paraId="3CB6E52B">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27</w:t>
                  </w:r>
                </w:p>
              </w:tc>
              <w:tc>
                <w:tcPr>
                  <w:tcW w:w="425" w:type="dxa"/>
                  <w:vMerge w:val="restart"/>
                  <w:noWrap/>
                  <w:vAlign w:val="center"/>
                </w:tcPr>
                <w:p w14:paraId="4F82781D">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22</w:t>
                  </w:r>
                </w:p>
              </w:tc>
              <w:tc>
                <w:tcPr>
                  <w:tcW w:w="425" w:type="dxa"/>
                  <w:vMerge w:val="restart"/>
                  <w:noWrap/>
                  <w:vAlign w:val="center"/>
                </w:tcPr>
                <w:p w14:paraId="5B46D40A">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23</w:t>
                  </w:r>
                </w:p>
              </w:tc>
              <w:tc>
                <w:tcPr>
                  <w:tcW w:w="425" w:type="dxa"/>
                  <w:vMerge w:val="restart"/>
                  <w:noWrap/>
                  <w:vAlign w:val="center"/>
                </w:tcPr>
                <w:p w14:paraId="474165DD">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37</w:t>
                  </w:r>
                </w:p>
              </w:tc>
              <w:tc>
                <w:tcPr>
                  <w:tcW w:w="709" w:type="dxa"/>
                  <w:vAlign w:val="center"/>
                </w:tcPr>
                <w:p w14:paraId="32EDAE25">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240</w:t>
                  </w:r>
                  <w:r>
                    <w:rPr>
                      <w:bCs/>
                      <w:color w:val="000000" w:themeColor="text1"/>
                      <w14:textFill>
                        <w14:solidFill>
                          <w14:schemeClr w14:val="tx1"/>
                        </w14:solidFill>
                      </w14:textFill>
                    </w:rPr>
                    <w:t>0</w:t>
                  </w:r>
                </w:p>
              </w:tc>
              <w:tc>
                <w:tcPr>
                  <w:tcW w:w="709" w:type="dxa"/>
                  <w:vAlign w:val="center"/>
                </w:tcPr>
                <w:p w14:paraId="633E99A1">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0</w:t>
                  </w:r>
                </w:p>
              </w:tc>
              <w:tc>
                <w:tcPr>
                  <w:tcW w:w="425" w:type="dxa"/>
                  <w:vMerge w:val="restart"/>
                  <w:noWrap/>
                  <w:vAlign w:val="center"/>
                </w:tcPr>
                <w:p w14:paraId="7398ADAC">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35.6</w:t>
                  </w:r>
                </w:p>
              </w:tc>
              <w:tc>
                <w:tcPr>
                  <w:tcW w:w="425" w:type="dxa"/>
                  <w:vMerge w:val="restart"/>
                  <w:noWrap/>
                  <w:vAlign w:val="center"/>
                </w:tcPr>
                <w:p w14:paraId="434B86D0">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37.4</w:t>
                  </w:r>
                </w:p>
              </w:tc>
              <w:tc>
                <w:tcPr>
                  <w:tcW w:w="426" w:type="dxa"/>
                  <w:vMerge w:val="restart"/>
                  <w:noWrap/>
                  <w:vAlign w:val="center"/>
                </w:tcPr>
                <w:p w14:paraId="437F9F9F">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37.0</w:t>
                  </w:r>
                </w:p>
              </w:tc>
              <w:tc>
                <w:tcPr>
                  <w:tcW w:w="489" w:type="dxa"/>
                  <w:gridSpan w:val="2"/>
                  <w:vMerge w:val="restart"/>
                  <w:noWrap/>
                  <w:vAlign w:val="center"/>
                </w:tcPr>
                <w:p w14:paraId="121B6A3C">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32.8</w:t>
                  </w:r>
                </w:p>
              </w:tc>
              <w:tc>
                <w:tcPr>
                  <w:tcW w:w="632" w:type="dxa"/>
                  <w:vMerge w:val="restart"/>
                  <w:noWrap/>
                  <w:vAlign w:val="center"/>
                </w:tcPr>
                <w:p w14:paraId="40C7409C">
                  <w:pPr>
                    <w:adjustRightInd w:val="0"/>
                    <w:snapToGrid w:val="0"/>
                    <w:ind w:left="-105" w:leftChars="-50" w:right="-105" w:rightChars="-50"/>
                    <w:jc w:val="center"/>
                    <w:rPr>
                      <w:bCs/>
                      <w:color w:val="000000" w:themeColor="text1"/>
                      <w14:textFill>
                        <w14:solidFill>
                          <w14:schemeClr w14:val="tx1"/>
                        </w14:solidFill>
                      </w14:textFill>
                    </w:rPr>
                  </w:pPr>
                  <w:r>
                    <w:rPr>
                      <w:bCs/>
                      <w:color w:val="000000" w:themeColor="text1"/>
                      <w14:textFill>
                        <w14:solidFill>
                          <w14:schemeClr w14:val="tx1"/>
                        </w14:solidFill>
                      </w14:textFill>
                    </w:rPr>
                    <w:t>1</w:t>
                  </w:r>
                </w:p>
              </w:tc>
            </w:tr>
            <w:tr w14:paraId="5DE45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dxa"/>
                  <w:noWrap/>
                  <w:vAlign w:val="center"/>
                </w:tcPr>
                <w:p w14:paraId="0F461D60">
                  <w:pPr>
                    <w:adjustRightInd w:val="0"/>
                    <w:snapToGrid w:val="0"/>
                    <w:ind w:left="-105" w:leftChars="-50" w:right="-105" w:rightChars="-50"/>
                    <w:jc w:val="center"/>
                    <w:rPr>
                      <w:bCs/>
                      <w:color w:val="7030A0"/>
                    </w:rPr>
                  </w:pPr>
                  <w:r>
                    <w:rPr>
                      <w:bCs/>
                      <w:color w:val="000000" w:themeColor="text1"/>
                      <w14:textFill>
                        <w14:solidFill>
                          <w14:schemeClr w14:val="tx1"/>
                        </w14:solidFill>
                      </w14:textFill>
                    </w:rPr>
                    <w:t>2</w:t>
                  </w:r>
                </w:p>
              </w:tc>
              <w:tc>
                <w:tcPr>
                  <w:tcW w:w="733" w:type="dxa"/>
                  <w:vAlign w:val="center"/>
                </w:tcPr>
                <w:p w14:paraId="0FE1B010">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切割机</w:t>
                  </w:r>
                </w:p>
              </w:tc>
              <w:tc>
                <w:tcPr>
                  <w:tcW w:w="709" w:type="dxa"/>
                  <w:vAlign w:val="center"/>
                </w:tcPr>
                <w:p w14:paraId="602C1487">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73</w:t>
                  </w:r>
                </w:p>
              </w:tc>
              <w:tc>
                <w:tcPr>
                  <w:tcW w:w="850" w:type="dxa"/>
                  <w:vMerge w:val="continue"/>
                  <w:noWrap/>
                  <w:vAlign w:val="center"/>
                </w:tcPr>
                <w:p w14:paraId="161C5A29">
                  <w:pPr>
                    <w:adjustRightInd w:val="0"/>
                    <w:snapToGrid w:val="0"/>
                    <w:ind w:left="-105" w:leftChars="-50" w:right="-105" w:rightChars="-50"/>
                    <w:jc w:val="center"/>
                    <w:rPr>
                      <w:bCs/>
                      <w:color w:val="7030A0"/>
                    </w:rPr>
                  </w:pPr>
                </w:p>
              </w:tc>
              <w:tc>
                <w:tcPr>
                  <w:tcW w:w="426" w:type="dxa"/>
                  <w:vMerge w:val="continue"/>
                  <w:noWrap/>
                  <w:vAlign w:val="center"/>
                </w:tcPr>
                <w:p w14:paraId="58BB8593">
                  <w:pPr>
                    <w:adjustRightInd w:val="0"/>
                    <w:snapToGrid w:val="0"/>
                    <w:ind w:left="-105" w:leftChars="-50" w:right="-105" w:rightChars="-50"/>
                    <w:jc w:val="center"/>
                    <w:rPr>
                      <w:bCs/>
                      <w:color w:val="7030A0"/>
                    </w:rPr>
                  </w:pPr>
                </w:p>
              </w:tc>
              <w:tc>
                <w:tcPr>
                  <w:tcW w:w="425" w:type="dxa"/>
                  <w:vMerge w:val="continue"/>
                  <w:noWrap/>
                  <w:vAlign w:val="center"/>
                </w:tcPr>
                <w:p w14:paraId="2D003876">
                  <w:pPr>
                    <w:adjustRightInd w:val="0"/>
                    <w:snapToGrid w:val="0"/>
                    <w:ind w:left="-105" w:leftChars="-50" w:right="-105" w:rightChars="-50"/>
                    <w:jc w:val="center"/>
                    <w:rPr>
                      <w:bCs/>
                      <w:color w:val="7030A0"/>
                    </w:rPr>
                  </w:pPr>
                </w:p>
              </w:tc>
              <w:tc>
                <w:tcPr>
                  <w:tcW w:w="425" w:type="dxa"/>
                  <w:vMerge w:val="continue"/>
                  <w:noWrap/>
                  <w:vAlign w:val="center"/>
                </w:tcPr>
                <w:p w14:paraId="7C82DB75">
                  <w:pPr>
                    <w:adjustRightInd w:val="0"/>
                    <w:snapToGrid w:val="0"/>
                    <w:ind w:left="-105" w:leftChars="-50" w:right="-105" w:rightChars="-50"/>
                    <w:jc w:val="center"/>
                    <w:rPr>
                      <w:bCs/>
                      <w:color w:val="7030A0"/>
                    </w:rPr>
                  </w:pPr>
                </w:p>
              </w:tc>
              <w:tc>
                <w:tcPr>
                  <w:tcW w:w="425" w:type="dxa"/>
                  <w:vMerge w:val="continue"/>
                  <w:noWrap/>
                  <w:vAlign w:val="center"/>
                </w:tcPr>
                <w:p w14:paraId="432A1A7B">
                  <w:pPr>
                    <w:adjustRightInd w:val="0"/>
                    <w:snapToGrid w:val="0"/>
                    <w:ind w:left="-105" w:leftChars="-50" w:right="-105" w:rightChars="-50"/>
                    <w:jc w:val="center"/>
                    <w:rPr>
                      <w:bCs/>
                      <w:color w:val="7030A0"/>
                    </w:rPr>
                  </w:pPr>
                </w:p>
              </w:tc>
              <w:tc>
                <w:tcPr>
                  <w:tcW w:w="709" w:type="dxa"/>
                  <w:vAlign w:val="center"/>
                </w:tcPr>
                <w:p w14:paraId="4146A7A4">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240</w:t>
                  </w:r>
                  <w:r>
                    <w:rPr>
                      <w:bCs/>
                      <w:color w:val="000000" w:themeColor="text1"/>
                      <w14:textFill>
                        <w14:solidFill>
                          <w14:schemeClr w14:val="tx1"/>
                        </w14:solidFill>
                      </w14:textFill>
                    </w:rPr>
                    <w:t>0</w:t>
                  </w:r>
                </w:p>
              </w:tc>
              <w:tc>
                <w:tcPr>
                  <w:tcW w:w="709" w:type="dxa"/>
                  <w:vAlign w:val="center"/>
                </w:tcPr>
                <w:p w14:paraId="4E9A18F1">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0</w:t>
                  </w:r>
                </w:p>
              </w:tc>
              <w:tc>
                <w:tcPr>
                  <w:tcW w:w="425" w:type="dxa"/>
                  <w:vMerge w:val="continue"/>
                  <w:noWrap/>
                  <w:vAlign w:val="center"/>
                </w:tcPr>
                <w:p w14:paraId="08BBB1A4">
                  <w:pPr>
                    <w:adjustRightInd w:val="0"/>
                    <w:snapToGrid w:val="0"/>
                    <w:ind w:left="-105" w:leftChars="-50" w:right="-105" w:rightChars="-50"/>
                    <w:jc w:val="center"/>
                    <w:rPr>
                      <w:bCs/>
                      <w:color w:val="7030A0"/>
                    </w:rPr>
                  </w:pPr>
                </w:p>
              </w:tc>
              <w:tc>
                <w:tcPr>
                  <w:tcW w:w="425" w:type="dxa"/>
                  <w:vMerge w:val="continue"/>
                  <w:noWrap/>
                  <w:vAlign w:val="center"/>
                </w:tcPr>
                <w:p w14:paraId="239A9D1F">
                  <w:pPr>
                    <w:adjustRightInd w:val="0"/>
                    <w:snapToGrid w:val="0"/>
                    <w:ind w:left="-105" w:leftChars="-50" w:right="-105" w:rightChars="-50"/>
                    <w:jc w:val="center"/>
                    <w:rPr>
                      <w:bCs/>
                      <w:color w:val="7030A0"/>
                    </w:rPr>
                  </w:pPr>
                </w:p>
              </w:tc>
              <w:tc>
                <w:tcPr>
                  <w:tcW w:w="426" w:type="dxa"/>
                  <w:vMerge w:val="continue"/>
                  <w:noWrap/>
                  <w:vAlign w:val="center"/>
                </w:tcPr>
                <w:p w14:paraId="7D8A7F1B">
                  <w:pPr>
                    <w:adjustRightInd w:val="0"/>
                    <w:snapToGrid w:val="0"/>
                    <w:ind w:left="-105" w:leftChars="-50" w:right="-105" w:rightChars="-50"/>
                    <w:jc w:val="center"/>
                    <w:rPr>
                      <w:bCs/>
                      <w:color w:val="7030A0"/>
                    </w:rPr>
                  </w:pPr>
                </w:p>
              </w:tc>
              <w:tc>
                <w:tcPr>
                  <w:tcW w:w="489" w:type="dxa"/>
                  <w:gridSpan w:val="2"/>
                  <w:vMerge w:val="continue"/>
                  <w:noWrap/>
                  <w:vAlign w:val="center"/>
                </w:tcPr>
                <w:p w14:paraId="453B2EA3">
                  <w:pPr>
                    <w:adjustRightInd w:val="0"/>
                    <w:snapToGrid w:val="0"/>
                    <w:ind w:left="-105" w:leftChars="-50" w:right="-105" w:rightChars="-50"/>
                    <w:jc w:val="center"/>
                    <w:rPr>
                      <w:bCs/>
                      <w:color w:val="7030A0"/>
                    </w:rPr>
                  </w:pPr>
                </w:p>
              </w:tc>
              <w:tc>
                <w:tcPr>
                  <w:tcW w:w="632" w:type="dxa"/>
                  <w:vMerge w:val="continue"/>
                  <w:noWrap/>
                  <w:vAlign w:val="center"/>
                </w:tcPr>
                <w:p w14:paraId="0A78F890">
                  <w:pPr>
                    <w:adjustRightInd w:val="0"/>
                    <w:snapToGrid w:val="0"/>
                    <w:ind w:left="-105" w:leftChars="-50" w:right="-105" w:rightChars="-50"/>
                    <w:jc w:val="center"/>
                    <w:rPr>
                      <w:bCs/>
                      <w:color w:val="000000" w:themeColor="text1"/>
                      <w14:textFill>
                        <w14:solidFill>
                          <w14:schemeClr w14:val="tx1"/>
                        </w14:solidFill>
                      </w14:textFill>
                    </w:rPr>
                  </w:pPr>
                </w:p>
              </w:tc>
            </w:tr>
            <w:tr w14:paraId="4ADA4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dxa"/>
                  <w:noWrap/>
                  <w:vAlign w:val="center"/>
                </w:tcPr>
                <w:p w14:paraId="1C97C16E">
                  <w:pPr>
                    <w:adjustRightInd w:val="0"/>
                    <w:snapToGrid w:val="0"/>
                    <w:ind w:left="-105" w:leftChars="-50" w:right="-105" w:rightChars="-50"/>
                    <w:jc w:val="center"/>
                    <w:rPr>
                      <w:bCs/>
                      <w:color w:val="7030A0"/>
                    </w:rPr>
                  </w:pPr>
                  <w:r>
                    <w:rPr>
                      <w:bCs/>
                      <w:color w:val="000000" w:themeColor="text1"/>
                      <w14:textFill>
                        <w14:solidFill>
                          <w14:schemeClr w14:val="tx1"/>
                        </w14:solidFill>
                      </w14:textFill>
                    </w:rPr>
                    <w:t>3</w:t>
                  </w:r>
                </w:p>
              </w:tc>
              <w:tc>
                <w:tcPr>
                  <w:tcW w:w="733" w:type="dxa"/>
                  <w:vAlign w:val="center"/>
                </w:tcPr>
                <w:p w14:paraId="04E450B6">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雕刻机</w:t>
                  </w:r>
                </w:p>
              </w:tc>
              <w:tc>
                <w:tcPr>
                  <w:tcW w:w="709" w:type="dxa"/>
                  <w:vAlign w:val="center"/>
                </w:tcPr>
                <w:p w14:paraId="45F90EFD">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75</w:t>
                  </w:r>
                </w:p>
              </w:tc>
              <w:tc>
                <w:tcPr>
                  <w:tcW w:w="850" w:type="dxa"/>
                  <w:vMerge w:val="continue"/>
                  <w:noWrap/>
                  <w:vAlign w:val="center"/>
                </w:tcPr>
                <w:p w14:paraId="7EC0D493">
                  <w:pPr>
                    <w:adjustRightInd w:val="0"/>
                    <w:snapToGrid w:val="0"/>
                    <w:ind w:left="-105" w:leftChars="-50" w:right="-105" w:rightChars="-50"/>
                    <w:jc w:val="center"/>
                    <w:rPr>
                      <w:bCs/>
                      <w:color w:val="7030A0"/>
                    </w:rPr>
                  </w:pPr>
                </w:p>
              </w:tc>
              <w:tc>
                <w:tcPr>
                  <w:tcW w:w="426" w:type="dxa"/>
                  <w:vMerge w:val="continue"/>
                  <w:noWrap/>
                  <w:vAlign w:val="center"/>
                </w:tcPr>
                <w:p w14:paraId="46A81558">
                  <w:pPr>
                    <w:adjustRightInd w:val="0"/>
                    <w:snapToGrid w:val="0"/>
                    <w:ind w:left="-105" w:leftChars="-50" w:right="-105" w:rightChars="-50"/>
                    <w:jc w:val="center"/>
                    <w:rPr>
                      <w:bCs/>
                      <w:color w:val="7030A0"/>
                    </w:rPr>
                  </w:pPr>
                </w:p>
              </w:tc>
              <w:tc>
                <w:tcPr>
                  <w:tcW w:w="425" w:type="dxa"/>
                  <w:vMerge w:val="continue"/>
                  <w:noWrap/>
                  <w:vAlign w:val="center"/>
                </w:tcPr>
                <w:p w14:paraId="3947BA3E">
                  <w:pPr>
                    <w:adjustRightInd w:val="0"/>
                    <w:snapToGrid w:val="0"/>
                    <w:ind w:left="-105" w:leftChars="-50" w:right="-105" w:rightChars="-50"/>
                    <w:jc w:val="center"/>
                    <w:rPr>
                      <w:bCs/>
                      <w:color w:val="7030A0"/>
                    </w:rPr>
                  </w:pPr>
                </w:p>
              </w:tc>
              <w:tc>
                <w:tcPr>
                  <w:tcW w:w="425" w:type="dxa"/>
                  <w:vMerge w:val="continue"/>
                  <w:noWrap/>
                  <w:vAlign w:val="center"/>
                </w:tcPr>
                <w:p w14:paraId="0FC0BE3C">
                  <w:pPr>
                    <w:adjustRightInd w:val="0"/>
                    <w:snapToGrid w:val="0"/>
                    <w:ind w:left="-105" w:leftChars="-50" w:right="-105" w:rightChars="-50"/>
                    <w:jc w:val="center"/>
                    <w:rPr>
                      <w:bCs/>
                      <w:color w:val="7030A0"/>
                    </w:rPr>
                  </w:pPr>
                </w:p>
              </w:tc>
              <w:tc>
                <w:tcPr>
                  <w:tcW w:w="425" w:type="dxa"/>
                  <w:vMerge w:val="continue"/>
                  <w:noWrap/>
                  <w:vAlign w:val="center"/>
                </w:tcPr>
                <w:p w14:paraId="704EB1E0">
                  <w:pPr>
                    <w:adjustRightInd w:val="0"/>
                    <w:snapToGrid w:val="0"/>
                    <w:ind w:left="-105" w:leftChars="-50" w:right="-105" w:rightChars="-50"/>
                    <w:jc w:val="center"/>
                    <w:rPr>
                      <w:bCs/>
                      <w:color w:val="7030A0"/>
                    </w:rPr>
                  </w:pPr>
                </w:p>
              </w:tc>
              <w:tc>
                <w:tcPr>
                  <w:tcW w:w="709" w:type="dxa"/>
                  <w:vAlign w:val="center"/>
                </w:tcPr>
                <w:p w14:paraId="160AD36A">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240</w:t>
                  </w:r>
                  <w:r>
                    <w:rPr>
                      <w:bCs/>
                      <w:color w:val="000000" w:themeColor="text1"/>
                      <w14:textFill>
                        <w14:solidFill>
                          <w14:schemeClr w14:val="tx1"/>
                        </w14:solidFill>
                      </w14:textFill>
                    </w:rPr>
                    <w:t>0</w:t>
                  </w:r>
                </w:p>
              </w:tc>
              <w:tc>
                <w:tcPr>
                  <w:tcW w:w="709" w:type="dxa"/>
                  <w:vAlign w:val="center"/>
                </w:tcPr>
                <w:p w14:paraId="385D58DC">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0</w:t>
                  </w:r>
                </w:p>
              </w:tc>
              <w:tc>
                <w:tcPr>
                  <w:tcW w:w="425" w:type="dxa"/>
                  <w:vMerge w:val="continue"/>
                  <w:noWrap/>
                  <w:vAlign w:val="center"/>
                </w:tcPr>
                <w:p w14:paraId="7026B11B">
                  <w:pPr>
                    <w:adjustRightInd w:val="0"/>
                    <w:snapToGrid w:val="0"/>
                    <w:ind w:left="-105" w:leftChars="-50" w:right="-105" w:rightChars="-50"/>
                    <w:jc w:val="center"/>
                    <w:rPr>
                      <w:bCs/>
                      <w:color w:val="7030A0"/>
                    </w:rPr>
                  </w:pPr>
                </w:p>
              </w:tc>
              <w:tc>
                <w:tcPr>
                  <w:tcW w:w="425" w:type="dxa"/>
                  <w:vMerge w:val="continue"/>
                  <w:noWrap/>
                  <w:vAlign w:val="center"/>
                </w:tcPr>
                <w:p w14:paraId="17655A10">
                  <w:pPr>
                    <w:adjustRightInd w:val="0"/>
                    <w:snapToGrid w:val="0"/>
                    <w:ind w:left="-105" w:leftChars="-50" w:right="-105" w:rightChars="-50"/>
                    <w:jc w:val="center"/>
                    <w:rPr>
                      <w:bCs/>
                      <w:color w:val="7030A0"/>
                    </w:rPr>
                  </w:pPr>
                </w:p>
              </w:tc>
              <w:tc>
                <w:tcPr>
                  <w:tcW w:w="426" w:type="dxa"/>
                  <w:vMerge w:val="continue"/>
                  <w:noWrap/>
                  <w:vAlign w:val="center"/>
                </w:tcPr>
                <w:p w14:paraId="263CD807">
                  <w:pPr>
                    <w:adjustRightInd w:val="0"/>
                    <w:snapToGrid w:val="0"/>
                    <w:ind w:left="-105" w:leftChars="-50" w:right="-105" w:rightChars="-50"/>
                    <w:jc w:val="center"/>
                    <w:rPr>
                      <w:bCs/>
                      <w:color w:val="7030A0"/>
                    </w:rPr>
                  </w:pPr>
                </w:p>
              </w:tc>
              <w:tc>
                <w:tcPr>
                  <w:tcW w:w="489" w:type="dxa"/>
                  <w:gridSpan w:val="2"/>
                  <w:vMerge w:val="continue"/>
                  <w:noWrap/>
                  <w:vAlign w:val="center"/>
                </w:tcPr>
                <w:p w14:paraId="07385193">
                  <w:pPr>
                    <w:adjustRightInd w:val="0"/>
                    <w:snapToGrid w:val="0"/>
                    <w:ind w:left="-105" w:leftChars="-50" w:right="-105" w:rightChars="-50"/>
                    <w:jc w:val="center"/>
                    <w:rPr>
                      <w:bCs/>
                      <w:color w:val="7030A0"/>
                    </w:rPr>
                  </w:pPr>
                </w:p>
              </w:tc>
              <w:tc>
                <w:tcPr>
                  <w:tcW w:w="632" w:type="dxa"/>
                  <w:vMerge w:val="continue"/>
                  <w:noWrap/>
                  <w:vAlign w:val="center"/>
                </w:tcPr>
                <w:p w14:paraId="169E1D64">
                  <w:pPr>
                    <w:adjustRightInd w:val="0"/>
                    <w:snapToGrid w:val="0"/>
                    <w:ind w:left="-105" w:leftChars="-50" w:right="-105" w:rightChars="-50"/>
                    <w:jc w:val="center"/>
                    <w:rPr>
                      <w:bCs/>
                      <w:color w:val="000000" w:themeColor="text1"/>
                      <w14:textFill>
                        <w14:solidFill>
                          <w14:schemeClr w14:val="tx1"/>
                        </w14:solidFill>
                      </w14:textFill>
                    </w:rPr>
                  </w:pPr>
                </w:p>
              </w:tc>
            </w:tr>
            <w:tr w14:paraId="1C55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dxa"/>
                  <w:noWrap/>
                  <w:vAlign w:val="center"/>
                </w:tcPr>
                <w:p w14:paraId="32D010D8">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4</w:t>
                  </w:r>
                </w:p>
              </w:tc>
              <w:tc>
                <w:tcPr>
                  <w:tcW w:w="733" w:type="dxa"/>
                  <w:vAlign w:val="center"/>
                </w:tcPr>
                <w:p w14:paraId="7322EE9B">
                  <w:pPr>
                    <w:adjustRightInd w:val="0"/>
                    <w:snapToGrid w:val="0"/>
                    <w:ind w:left="-105" w:leftChars="-50" w:right="-105" w:rightChars="-50"/>
                    <w:jc w:val="center"/>
                    <w:rPr>
                      <w:bCs/>
                      <w:color w:val="7030A0"/>
                    </w:rPr>
                  </w:pPr>
                  <w:r>
                    <w:rPr>
                      <w:rFonts w:hint="eastAsia"/>
                      <w:color w:val="000000" w:themeColor="text1"/>
                      <w14:textFill>
                        <w14:solidFill>
                          <w14:schemeClr w14:val="tx1"/>
                        </w14:solidFill>
                      </w14:textFill>
                    </w:rPr>
                    <w:t>打磨机</w:t>
                  </w:r>
                </w:p>
              </w:tc>
              <w:tc>
                <w:tcPr>
                  <w:tcW w:w="709" w:type="dxa"/>
                  <w:vAlign w:val="center"/>
                </w:tcPr>
                <w:p w14:paraId="1E289CBB">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80</w:t>
                  </w:r>
                </w:p>
              </w:tc>
              <w:tc>
                <w:tcPr>
                  <w:tcW w:w="850" w:type="dxa"/>
                  <w:vMerge w:val="continue"/>
                  <w:noWrap/>
                  <w:vAlign w:val="center"/>
                </w:tcPr>
                <w:p w14:paraId="1711857B">
                  <w:pPr>
                    <w:adjustRightInd w:val="0"/>
                    <w:snapToGrid w:val="0"/>
                    <w:ind w:left="-105" w:leftChars="-50" w:right="-105" w:rightChars="-50"/>
                    <w:jc w:val="center"/>
                    <w:rPr>
                      <w:bCs/>
                      <w:color w:val="7030A0"/>
                    </w:rPr>
                  </w:pPr>
                </w:p>
              </w:tc>
              <w:tc>
                <w:tcPr>
                  <w:tcW w:w="426" w:type="dxa"/>
                  <w:vMerge w:val="continue"/>
                  <w:noWrap/>
                  <w:vAlign w:val="center"/>
                </w:tcPr>
                <w:p w14:paraId="163A8778">
                  <w:pPr>
                    <w:adjustRightInd w:val="0"/>
                    <w:snapToGrid w:val="0"/>
                    <w:ind w:left="-105" w:leftChars="-50" w:right="-105" w:rightChars="-50"/>
                    <w:jc w:val="center"/>
                    <w:rPr>
                      <w:bCs/>
                      <w:color w:val="7030A0"/>
                    </w:rPr>
                  </w:pPr>
                </w:p>
              </w:tc>
              <w:tc>
                <w:tcPr>
                  <w:tcW w:w="425" w:type="dxa"/>
                  <w:vMerge w:val="continue"/>
                  <w:noWrap/>
                  <w:vAlign w:val="center"/>
                </w:tcPr>
                <w:p w14:paraId="5E6BBA84">
                  <w:pPr>
                    <w:adjustRightInd w:val="0"/>
                    <w:snapToGrid w:val="0"/>
                    <w:ind w:left="-105" w:leftChars="-50" w:right="-105" w:rightChars="-50"/>
                    <w:jc w:val="center"/>
                    <w:rPr>
                      <w:bCs/>
                      <w:color w:val="7030A0"/>
                    </w:rPr>
                  </w:pPr>
                </w:p>
              </w:tc>
              <w:tc>
                <w:tcPr>
                  <w:tcW w:w="425" w:type="dxa"/>
                  <w:vMerge w:val="continue"/>
                  <w:noWrap/>
                  <w:vAlign w:val="center"/>
                </w:tcPr>
                <w:p w14:paraId="65DF556F">
                  <w:pPr>
                    <w:adjustRightInd w:val="0"/>
                    <w:snapToGrid w:val="0"/>
                    <w:ind w:left="-105" w:leftChars="-50" w:right="-105" w:rightChars="-50"/>
                    <w:jc w:val="center"/>
                    <w:rPr>
                      <w:bCs/>
                      <w:color w:val="7030A0"/>
                    </w:rPr>
                  </w:pPr>
                </w:p>
              </w:tc>
              <w:tc>
                <w:tcPr>
                  <w:tcW w:w="425" w:type="dxa"/>
                  <w:vMerge w:val="continue"/>
                  <w:noWrap/>
                  <w:vAlign w:val="center"/>
                </w:tcPr>
                <w:p w14:paraId="43DD6A5A">
                  <w:pPr>
                    <w:adjustRightInd w:val="0"/>
                    <w:snapToGrid w:val="0"/>
                    <w:ind w:left="-105" w:leftChars="-50" w:right="-105" w:rightChars="-50"/>
                    <w:jc w:val="center"/>
                    <w:rPr>
                      <w:bCs/>
                      <w:color w:val="7030A0"/>
                    </w:rPr>
                  </w:pPr>
                </w:p>
              </w:tc>
              <w:tc>
                <w:tcPr>
                  <w:tcW w:w="709" w:type="dxa"/>
                  <w:vAlign w:val="center"/>
                </w:tcPr>
                <w:p w14:paraId="2045CF2C">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240</w:t>
                  </w:r>
                  <w:r>
                    <w:rPr>
                      <w:bCs/>
                      <w:color w:val="000000" w:themeColor="text1"/>
                      <w14:textFill>
                        <w14:solidFill>
                          <w14:schemeClr w14:val="tx1"/>
                        </w14:solidFill>
                      </w14:textFill>
                    </w:rPr>
                    <w:t>0</w:t>
                  </w:r>
                </w:p>
              </w:tc>
              <w:tc>
                <w:tcPr>
                  <w:tcW w:w="709" w:type="dxa"/>
                  <w:vAlign w:val="center"/>
                </w:tcPr>
                <w:p w14:paraId="3129819C">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0</w:t>
                  </w:r>
                </w:p>
              </w:tc>
              <w:tc>
                <w:tcPr>
                  <w:tcW w:w="425" w:type="dxa"/>
                  <w:vMerge w:val="continue"/>
                  <w:noWrap/>
                  <w:vAlign w:val="center"/>
                </w:tcPr>
                <w:p w14:paraId="205E011C">
                  <w:pPr>
                    <w:adjustRightInd w:val="0"/>
                    <w:snapToGrid w:val="0"/>
                    <w:ind w:left="-105" w:leftChars="-50" w:right="-105" w:rightChars="-50"/>
                    <w:jc w:val="center"/>
                    <w:rPr>
                      <w:bCs/>
                      <w:color w:val="7030A0"/>
                    </w:rPr>
                  </w:pPr>
                </w:p>
              </w:tc>
              <w:tc>
                <w:tcPr>
                  <w:tcW w:w="425" w:type="dxa"/>
                  <w:vMerge w:val="continue"/>
                  <w:noWrap/>
                  <w:vAlign w:val="center"/>
                </w:tcPr>
                <w:p w14:paraId="515D54EE">
                  <w:pPr>
                    <w:adjustRightInd w:val="0"/>
                    <w:snapToGrid w:val="0"/>
                    <w:ind w:left="-105" w:leftChars="-50" w:right="-105" w:rightChars="-50"/>
                    <w:jc w:val="center"/>
                    <w:rPr>
                      <w:bCs/>
                      <w:color w:val="7030A0"/>
                    </w:rPr>
                  </w:pPr>
                </w:p>
              </w:tc>
              <w:tc>
                <w:tcPr>
                  <w:tcW w:w="426" w:type="dxa"/>
                  <w:vMerge w:val="continue"/>
                  <w:noWrap/>
                  <w:vAlign w:val="center"/>
                </w:tcPr>
                <w:p w14:paraId="04900C6D">
                  <w:pPr>
                    <w:adjustRightInd w:val="0"/>
                    <w:snapToGrid w:val="0"/>
                    <w:ind w:left="-105" w:leftChars="-50" w:right="-105" w:rightChars="-50"/>
                    <w:jc w:val="center"/>
                    <w:rPr>
                      <w:bCs/>
                      <w:color w:val="7030A0"/>
                    </w:rPr>
                  </w:pPr>
                </w:p>
              </w:tc>
              <w:tc>
                <w:tcPr>
                  <w:tcW w:w="489" w:type="dxa"/>
                  <w:gridSpan w:val="2"/>
                  <w:vMerge w:val="continue"/>
                  <w:noWrap/>
                  <w:vAlign w:val="center"/>
                </w:tcPr>
                <w:p w14:paraId="25395C89">
                  <w:pPr>
                    <w:adjustRightInd w:val="0"/>
                    <w:snapToGrid w:val="0"/>
                    <w:ind w:left="-105" w:leftChars="-50" w:right="-105" w:rightChars="-50"/>
                    <w:jc w:val="center"/>
                    <w:rPr>
                      <w:bCs/>
                      <w:color w:val="7030A0"/>
                    </w:rPr>
                  </w:pPr>
                </w:p>
              </w:tc>
              <w:tc>
                <w:tcPr>
                  <w:tcW w:w="632" w:type="dxa"/>
                  <w:vMerge w:val="continue"/>
                  <w:noWrap/>
                  <w:vAlign w:val="center"/>
                </w:tcPr>
                <w:p w14:paraId="249FAA52">
                  <w:pPr>
                    <w:adjustRightInd w:val="0"/>
                    <w:snapToGrid w:val="0"/>
                    <w:ind w:left="-105" w:leftChars="-50" w:right="-105" w:rightChars="-50"/>
                    <w:jc w:val="center"/>
                    <w:rPr>
                      <w:bCs/>
                      <w:color w:val="000000" w:themeColor="text1"/>
                      <w14:textFill>
                        <w14:solidFill>
                          <w14:schemeClr w14:val="tx1"/>
                        </w14:solidFill>
                      </w14:textFill>
                    </w:rPr>
                  </w:pPr>
                </w:p>
              </w:tc>
            </w:tr>
            <w:tr w14:paraId="60F5A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396" w:type="dxa"/>
                  <w:noWrap/>
                  <w:vAlign w:val="center"/>
                </w:tcPr>
                <w:p w14:paraId="21F055DC">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5</w:t>
                  </w:r>
                </w:p>
              </w:tc>
              <w:tc>
                <w:tcPr>
                  <w:tcW w:w="733" w:type="dxa"/>
                  <w:vAlign w:val="center"/>
                </w:tcPr>
                <w:p w14:paraId="1C1A9026">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电焊机</w:t>
                  </w:r>
                </w:p>
              </w:tc>
              <w:tc>
                <w:tcPr>
                  <w:tcW w:w="709" w:type="dxa"/>
                  <w:vAlign w:val="center"/>
                </w:tcPr>
                <w:p w14:paraId="4218B043">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73</w:t>
                  </w:r>
                </w:p>
              </w:tc>
              <w:tc>
                <w:tcPr>
                  <w:tcW w:w="850" w:type="dxa"/>
                  <w:vMerge w:val="continue"/>
                  <w:noWrap/>
                  <w:vAlign w:val="center"/>
                </w:tcPr>
                <w:p w14:paraId="482EC57E">
                  <w:pPr>
                    <w:adjustRightInd w:val="0"/>
                    <w:snapToGrid w:val="0"/>
                    <w:ind w:left="-105" w:leftChars="-50" w:right="-105" w:rightChars="-50"/>
                    <w:jc w:val="center"/>
                    <w:rPr>
                      <w:bCs/>
                      <w:color w:val="7030A0"/>
                    </w:rPr>
                  </w:pPr>
                </w:p>
              </w:tc>
              <w:tc>
                <w:tcPr>
                  <w:tcW w:w="426" w:type="dxa"/>
                  <w:vMerge w:val="continue"/>
                  <w:noWrap/>
                  <w:vAlign w:val="center"/>
                </w:tcPr>
                <w:p w14:paraId="455B53BB">
                  <w:pPr>
                    <w:adjustRightInd w:val="0"/>
                    <w:snapToGrid w:val="0"/>
                    <w:ind w:left="-105" w:leftChars="-50" w:right="-105" w:rightChars="-50"/>
                    <w:jc w:val="center"/>
                    <w:rPr>
                      <w:bCs/>
                      <w:color w:val="7030A0"/>
                    </w:rPr>
                  </w:pPr>
                </w:p>
              </w:tc>
              <w:tc>
                <w:tcPr>
                  <w:tcW w:w="425" w:type="dxa"/>
                  <w:vMerge w:val="continue"/>
                  <w:noWrap/>
                  <w:vAlign w:val="center"/>
                </w:tcPr>
                <w:p w14:paraId="5BA8086B">
                  <w:pPr>
                    <w:adjustRightInd w:val="0"/>
                    <w:snapToGrid w:val="0"/>
                    <w:ind w:left="-105" w:leftChars="-50" w:right="-105" w:rightChars="-50"/>
                    <w:jc w:val="center"/>
                    <w:rPr>
                      <w:bCs/>
                      <w:color w:val="7030A0"/>
                    </w:rPr>
                  </w:pPr>
                </w:p>
              </w:tc>
              <w:tc>
                <w:tcPr>
                  <w:tcW w:w="425" w:type="dxa"/>
                  <w:vMerge w:val="continue"/>
                  <w:noWrap/>
                  <w:vAlign w:val="center"/>
                </w:tcPr>
                <w:p w14:paraId="5857E8C1">
                  <w:pPr>
                    <w:adjustRightInd w:val="0"/>
                    <w:snapToGrid w:val="0"/>
                    <w:ind w:left="-105" w:leftChars="-50" w:right="-105" w:rightChars="-50"/>
                    <w:jc w:val="center"/>
                    <w:rPr>
                      <w:bCs/>
                      <w:color w:val="7030A0"/>
                    </w:rPr>
                  </w:pPr>
                </w:p>
              </w:tc>
              <w:tc>
                <w:tcPr>
                  <w:tcW w:w="425" w:type="dxa"/>
                  <w:vMerge w:val="continue"/>
                  <w:noWrap/>
                  <w:vAlign w:val="center"/>
                </w:tcPr>
                <w:p w14:paraId="3F8925EE">
                  <w:pPr>
                    <w:adjustRightInd w:val="0"/>
                    <w:snapToGrid w:val="0"/>
                    <w:ind w:left="-105" w:leftChars="-50" w:right="-105" w:rightChars="-50"/>
                    <w:jc w:val="center"/>
                    <w:rPr>
                      <w:bCs/>
                      <w:color w:val="7030A0"/>
                    </w:rPr>
                  </w:pPr>
                </w:p>
              </w:tc>
              <w:tc>
                <w:tcPr>
                  <w:tcW w:w="709" w:type="dxa"/>
                  <w:vAlign w:val="center"/>
                </w:tcPr>
                <w:p w14:paraId="0B80F1EF">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240</w:t>
                  </w:r>
                  <w:r>
                    <w:rPr>
                      <w:bCs/>
                      <w:color w:val="000000" w:themeColor="text1"/>
                      <w14:textFill>
                        <w14:solidFill>
                          <w14:schemeClr w14:val="tx1"/>
                        </w14:solidFill>
                      </w14:textFill>
                    </w:rPr>
                    <w:t>0</w:t>
                  </w:r>
                </w:p>
              </w:tc>
              <w:tc>
                <w:tcPr>
                  <w:tcW w:w="709" w:type="dxa"/>
                  <w:vAlign w:val="center"/>
                </w:tcPr>
                <w:p w14:paraId="6CCE0276">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0</w:t>
                  </w:r>
                </w:p>
              </w:tc>
              <w:tc>
                <w:tcPr>
                  <w:tcW w:w="425" w:type="dxa"/>
                  <w:vMerge w:val="continue"/>
                  <w:noWrap/>
                  <w:vAlign w:val="center"/>
                </w:tcPr>
                <w:p w14:paraId="36416240">
                  <w:pPr>
                    <w:adjustRightInd w:val="0"/>
                    <w:snapToGrid w:val="0"/>
                    <w:ind w:left="-105" w:leftChars="-50" w:right="-105" w:rightChars="-50"/>
                    <w:jc w:val="center"/>
                    <w:rPr>
                      <w:bCs/>
                      <w:color w:val="7030A0"/>
                    </w:rPr>
                  </w:pPr>
                </w:p>
              </w:tc>
              <w:tc>
                <w:tcPr>
                  <w:tcW w:w="425" w:type="dxa"/>
                  <w:vMerge w:val="continue"/>
                  <w:noWrap/>
                  <w:vAlign w:val="center"/>
                </w:tcPr>
                <w:p w14:paraId="056314FC">
                  <w:pPr>
                    <w:adjustRightInd w:val="0"/>
                    <w:snapToGrid w:val="0"/>
                    <w:ind w:left="-105" w:leftChars="-50" w:right="-105" w:rightChars="-50"/>
                    <w:jc w:val="center"/>
                    <w:rPr>
                      <w:bCs/>
                      <w:color w:val="7030A0"/>
                    </w:rPr>
                  </w:pPr>
                </w:p>
              </w:tc>
              <w:tc>
                <w:tcPr>
                  <w:tcW w:w="426" w:type="dxa"/>
                  <w:vMerge w:val="continue"/>
                  <w:noWrap/>
                  <w:vAlign w:val="center"/>
                </w:tcPr>
                <w:p w14:paraId="4528B1F5">
                  <w:pPr>
                    <w:adjustRightInd w:val="0"/>
                    <w:snapToGrid w:val="0"/>
                    <w:ind w:left="-105" w:leftChars="-50" w:right="-105" w:rightChars="-50"/>
                    <w:jc w:val="center"/>
                    <w:rPr>
                      <w:bCs/>
                      <w:color w:val="7030A0"/>
                    </w:rPr>
                  </w:pPr>
                </w:p>
              </w:tc>
              <w:tc>
                <w:tcPr>
                  <w:tcW w:w="489" w:type="dxa"/>
                  <w:gridSpan w:val="2"/>
                  <w:vMerge w:val="continue"/>
                  <w:noWrap/>
                  <w:vAlign w:val="center"/>
                </w:tcPr>
                <w:p w14:paraId="453FD680">
                  <w:pPr>
                    <w:adjustRightInd w:val="0"/>
                    <w:snapToGrid w:val="0"/>
                    <w:ind w:left="-105" w:leftChars="-50" w:right="-105" w:rightChars="-50"/>
                    <w:jc w:val="center"/>
                    <w:rPr>
                      <w:bCs/>
                      <w:color w:val="7030A0"/>
                    </w:rPr>
                  </w:pPr>
                </w:p>
              </w:tc>
              <w:tc>
                <w:tcPr>
                  <w:tcW w:w="632" w:type="dxa"/>
                  <w:vMerge w:val="continue"/>
                  <w:noWrap/>
                  <w:vAlign w:val="center"/>
                </w:tcPr>
                <w:p w14:paraId="3D14C5D1">
                  <w:pPr>
                    <w:adjustRightInd w:val="0"/>
                    <w:snapToGrid w:val="0"/>
                    <w:ind w:left="-105" w:leftChars="-50" w:right="-105" w:rightChars="-50"/>
                    <w:jc w:val="center"/>
                    <w:rPr>
                      <w:bCs/>
                      <w:color w:val="000000" w:themeColor="text1"/>
                      <w14:textFill>
                        <w14:solidFill>
                          <w14:schemeClr w14:val="tx1"/>
                        </w14:solidFill>
                      </w14:textFill>
                    </w:rPr>
                  </w:pPr>
                </w:p>
              </w:tc>
            </w:tr>
            <w:tr w14:paraId="2B3D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dxa"/>
                  <w:noWrap/>
                  <w:vAlign w:val="center"/>
                </w:tcPr>
                <w:p w14:paraId="24F25995">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6</w:t>
                  </w:r>
                </w:p>
              </w:tc>
              <w:tc>
                <w:tcPr>
                  <w:tcW w:w="733" w:type="dxa"/>
                  <w:vAlign w:val="center"/>
                </w:tcPr>
                <w:p w14:paraId="00636D8B">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空压机</w:t>
                  </w:r>
                </w:p>
              </w:tc>
              <w:tc>
                <w:tcPr>
                  <w:tcW w:w="709" w:type="dxa"/>
                  <w:vAlign w:val="center"/>
                </w:tcPr>
                <w:p w14:paraId="016E1AC2">
                  <w:pPr>
                    <w:adjustRightInd w:val="0"/>
                    <w:snapToGrid w:val="0"/>
                    <w:ind w:left="-105" w:leftChars="-50" w:right="-105" w:rightChars="-50"/>
                    <w:jc w:val="center"/>
                    <w:rPr>
                      <w:bCs/>
                      <w:color w:val="7030A0"/>
                    </w:rPr>
                  </w:pPr>
                  <w:r>
                    <w:rPr>
                      <w:rFonts w:hint="eastAsia"/>
                      <w:color w:val="000000" w:themeColor="text1"/>
                      <w:szCs w:val="21"/>
                      <w14:textFill>
                        <w14:solidFill>
                          <w14:schemeClr w14:val="tx1"/>
                        </w14:solidFill>
                      </w14:textFill>
                    </w:rPr>
                    <w:t>78</w:t>
                  </w:r>
                </w:p>
              </w:tc>
              <w:tc>
                <w:tcPr>
                  <w:tcW w:w="850" w:type="dxa"/>
                  <w:vMerge w:val="continue"/>
                  <w:noWrap/>
                  <w:vAlign w:val="center"/>
                </w:tcPr>
                <w:p w14:paraId="78052CDC">
                  <w:pPr>
                    <w:adjustRightInd w:val="0"/>
                    <w:snapToGrid w:val="0"/>
                    <w:ind w:left="-105" w:leftChars="-50" w:right="-105" w:rightChars="-50"/>
                    <w:jc w:val="center"/>
                    <w:rPr>
                      <w:bCs/>
                      <w:color w:val="7030A0"/>
                    </w:rPr>
                  </w:pPr>
                </w:p>
              </w:tc>
              <w:tc>
                <w:tcPr>
                  <w:tcW w:w="426" w:type="dxa"/>
                  <w:vMerge w:val="continue"/>
                  <w:noWrap/>
                  <w:vAlign w:val="center"/>
                </w:tcPr>
                <w:p w14:paraId="7996FED3">
                  <w:pPr>
                    <w:adjustRightInd w:val="0"/>
                    <w:snapToGrid w:val="0"/>
                    <w:ind w:left="-105" w:leftChars="-50" w:right="-105" w:rightChars="-50"/>
                    <w:jc w:val="center"/>
                    <w:rPr>
                      <w:bCs/>
                      <w:color w:val="7030A0"/>
                    </w:rPr>
                  </w:pPr>
                </w:p>
              </w:tc>
              <w:tc>
                <w:tcPr>
                  <w:tcW w:w="425" w:type="dxa"/>
                  <w:vMerge w:val="continue"/>
                  <w:noWrap/>
                  <w:vAlign w:val="center"/>
                </w:tcPr>
                <w:p w14:paraId="30BAD07A">
                  <w:pPr>
                    <w:adjustRightInd w:val="0"/>
                    <w:snapToGrid w:val="0"/>
                    <w:ind w:left="-105" w:leftChars="-50" w:right="-105" w:rightChars="-50"/>
                    <w:jc w:val="center"/>
                    <w:rPr>
                      <w:bCs/>
                      <w:color w:val="7030A0"/>
                    </w:rPr>
                  </w:pPr>
                </w:p>
              </w:tc>
              <w:tc>
                <w:tcPr>
                  <w:tcW w:w="425" w:type="dxa"/>
                  <w:vMerge w:val="continue"/>
                  <w:noWrap/>
                  <w:vAlign w:val="center"/>
                </w:tcPr>
                <w:p w14:paraId="09DC9A7C">
                  <w:pPr>
                    <w:adjustRightInd w:val="0"/>
                    <w:snapToGrid w:val="0"/>
                    <w:ind w:left="-105" w:leftChars="-50" w:right="-105" w:rightChars="-50"/>
                    <w:jc w:val="center"/>
                    <w:rPr>
                      <w:bCs/>
                      <w:color w:val="7030A0"/>
                    </w:rPr>
                  </w:pPr>
                </w:p>
              </w:tc>
              <w:tc>
                <w:tcPr>
                  <w:tcW w:w="425" w:type="dxa"/>
                  <w:vMerge w:val="continue"/>
                  <w:noWrap/>
                  <w:vAlign w:val="center"/>
                </w:tcPr>
                <w:p w14:paraId="6F1F496E">
                  <w:pPr>
                    <w:adjustRightInd w:val="0"/>
                    <w:snapToGrid w:val="0"/>
                    <w:ind w:left="-105" w:leftChars="-50" w:right="-105" w:rightChars="-50"/>
                    <w:jc w:val="center"/>
                    <w:rPr>
                      <w:bCs/>
                      <w:color w:val="7030A0"/>
                    </w:rPr>
                  </w:pPr>
                </w:p>
              </w:tc>
              <w:tc>
                <w:tcPr>
                  <w:tcW w:w="709" w:type="dxa"/>
                  <w:vAlign w:val="center"/>
                </w:tcPr>
                <w:p w14:paraId="1E50FE9E">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240</w:t>
                  </w:r>
                  <w:r>
                    <w:rPr>
                      <w:bCs/>
                      <w:color w:val="000000" w:themeColor="text1"/>
                      <w14:textFill>
                        <w14:solidFill>
                          <w14:schemeClr w14:val="tx1"/>
                        </w14:solidFill>
                      </w14:textFill>
                    </w:rPr>
                    <w:t>0</w:t>
                  </w:r>
                </w:p>
              </w:tc>
              <w:tc>
                <w:tcPr>
                  <w:tcW w:w="709" w:type="dxa"/>
                  <w:vAlign w:val="center"/>
                </w:tcPr>
                <w:p w14:paraId="2444BE67">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20</w:t>
                  </w:r>
                </w:p>
              </w:tc>
              <w:tc>
                <w:tcPr>
                  <w:tcW w:w="425" w:type="dxa"/>
                  <w:vMerge w:val="continue"/>
                  <w:noWrap/>
                  <w:vAlign w:val="center"/>
                </w:tcPr>
                <w:p w14:paraId="7C49486F">
                  <w:pPr>
                    <w:adjustRightInd w:val="0"/>
                    <w:snapToGrid w:val="0"/>
                    <w:ind w:left="-105" w:leftChars="-50" w:right="-105" w:rightChars="-50"/>
                    <w:jc w:val="center"/>
                    <w:rPr>
                      <w:bCs/>
                      <w:color w:val="7030A0"/>
                    </w:rPr>
                  </w:pPr>
                </w:p>
              </w:tc>
              <w:tc>
                <w:tcPr>
                  <w:tcW w:w="425" w:type="dxa"/>
                  <w:vMerge w:val="continue"/>
                  <w:noWrap/>
                  <w:vAlign w:val="center"/>
                </w:tcPr>
                <w:p w14:paraId="226CD46B">
                  <w:pPr>
                    <w:adjustRightInd w:val="0"/>
                    <w:snapToGrid w:val="0"/>
                    <w:ind w:left="-105" w:leftChars="-50" w:right="-105" w:rightChars="-50"/>
                    <w:jc w:val="center"/>
                    <w:rPr>
                      <w:bCs/>
                      <w:color w:val="7030A0"/>
                    </w:rPr>
                  </w:pPr>
                </w:p>
              </w:tc>
              <w:tc>
                <w:tcPr>
                  <w:tcW w:w="426" w:type="dxa"/>
                  <w:vMerge w:val="continue"/>
                  <w:noWrap/>
                  <w:vAlign w:val="center"/>
                </w:tcPr>
                <w:p w14:paraId="441DDDB8">
                  <w:pPr>
                    <w:adjustRightInd w:val="0"/>
                    <w:snapToGrid w:val="0"/>
                    <w:ind w:left="-105" w:leftChars="-50" w:right="-105" w:rightChars="-50"/>
                    <w:jc w:val="center"/>
                    <w:rPr>
                      <w:bCs/>
                      <w:color w:val="7030A0"/>
                    </w:rPr>
                  </w:pPr>
                </w:p>
              </w:tc>
              <w:tc>
                <w:tcPr>
                  <w:tcW w:w="489" w:type="dxa"/>
                  <w:gridSpan w:val="2"/>
                  <w:vMerge w:val="continue"/>
                  <w:noWrap/>
                  <w:vAlign w:val="center"/>
                </w:tcPr>
                <w:p w14:paraId="48CFB54F">
                  <w:pPr>
                    <w:adjustRightInd w:val="0"/>
                    <w:snapToGrid w:val="0"/>
                    <w:ind w:left="-105" w:leftChars="-50" w:right="-105" w:rightChars="-50"/>
                    <w:jc w:val="center"/>
                    <w:rPr>
                      <w:bCs/>
                      <w:color w:val="7030A0"/>
                    </w:rPr>
                  </w:pPr>
                </w:p>
              </w:tc>
              <w:tc>
                <w:tcPr>
                  <w:tcW w:w="632" w:type="dxa"/>
                  <w:vMerge w:val="continue"/>
                  <w:noWrap/>
                  <w:vAlign w:val="center"/>
                </w:tcPr>
                <w:p w14:paraId="636B6CE4">
                  <w:pPr>
                    <w:adjustRightInd w:val="0"/>
                    <w:snapToGrid w:val="0"/>
                    <w:ind w:left="-105" w:leftChars="-50" w:right="-105" w:rightChars="-50"/>
                    <w:jc w:val="center"/>
                    <w:rPr>
                      <w:bCs/>
                      <w:color w:val="000000" w:themeColor="text1"/>
                      <w14:textFill>
                        <w14:solidFill>
                          <w14:schemeClr w14:val="tx1"/>
                        </w14:solidFill>
                      </w14:textFill>
                    </w:rPr>
                  </w:pPr>
                </w:p>
              </w:tc>
            </w:tr>
          </w:tbl>
          <w:p w14:paraId="20C27E5F">
            <w:pPr>
              <w:spacing w:line="276" w:lineRule="auto"/>
              <w:ind w:firstLine="422" w:firstLineChars="20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表4-16  厂界噪声预测结果（室外）</w:t>
            </w: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
              <w:gridCol w:w="727"/>
              <w:gridCol w:w="660"/>
              <w:gridCol w:w="684"/>
              <w:gridCol w:w="627"/>
              <w:gridCol w:w="443"/>
              <w:gridCol w:w="488"/>
              <w:gridCol w:w="526"/>
              <w:gridCol w:w="464"/>
              <w:gridCol w:w="617"/>
              <w:gridCol w:w="581"/>
              <w:gridCol w:w="591"/>
              <w:gridCol w:w="630"/>
              <w:gridCol w:w="736"/>
            </w:tblGrid>
            <w:tr w14:paraId="4FCF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 w:type="pct"/>
                  <w:vMerge w:val="restart"/>
                  <w:vAlign w:val="center"/>
                </w:tcPr>
                <w:p w14:paraId="23BD14C5">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序号</w:t>
                  </w:r>
                </w:p>
              </w:tc>
              <w:tc>
                <w:tcPr>
                  <w:tcW w:w="445" w:type="pct"/>
                  <w:vMerge w:val="restart"/>
                  <w:vAlign w:val="center"/>
                </w:tcPr>
                <w:p w14:paraId="27D27EFE">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声源名称</w:t>
                  </w:r>
                </w:p>
              </w:tc>
              <w:tc>
                <w:tcPr>
                  <w:tcW w:w="404" w:type="pct"/>
                  <w:vMerge w:val="restart"/>
                  <w:vAlign w:val="center"/>
                </w:tcPr>
                <w:p w14:paraId="515E9D4E">
                  <w:pPr>
                    <w:widowControl/>
                    <w:ind w:left="-84" w:leftChars="-40" w:right="-84" w:rightChars="-40"/>
                    <w:jc w:val="center"/>
                    <w:textAlignment w:val="center"/>
                    <w:rPr>
                      <w:b/>
                      <w:bCs/>
                      <w:color w:val="7030A0"/>
                    </w:rPr>
                  </w:pPr>
                  <w:r>
                    <w:rPr>
                      <w:rFonts w:hint="eastAsia"/>
                      <w:b/>
                      <w:bCs/>
                      <w:color w:val="000000" w:themeColor="text1"/>
                      <w14:textFill>
                        <w14:solidFill>
                          <w14:schemeClr w14:val="tx1"/>
                        </w14:solidFill>
                      </w14:textFill>
                    </w:rPr>
                    <w:t>排放噪声值dB(A)</w:t>
                  </w:r>
                </w:p>
              </w:tc>
              <w:tc>
                <w:tcPr>
                  <w:tcW w:w="419" w:type="pct"/>
                  <w:vMerge w:val="restart"/>
                  <w:vAlign w:val="center"/>
                </w:tcPr>
                <w:p w14:paraId="35C59AAB">
                  <w:pPr>
                    <w:widowControl/>
                    <w:ind w:left="-84" w:leftChars="-40" w:right="-84" w:rightChars="-40"/>
                    <w:jc w:val="center"/>
                    <w:textAlignment w:val="center"/>
                    <w:rPr>
                      <w:b/>
                      <w:bCs/>
                      <w:color w:val="7030A0"/>
                    </w:rPr>
                  </w:pPr>
                  <w:r>
                    <w:rPr>
                      <w:rFonts w:hint="eastAsia"/>
                      <w:b/>
                      <w:bCs/>
                      <w:color w:val="000000" w:themeColor="text1"/>
                      <w14:textFill>
                        <w14:solidFill>
                          <w14:schemeClr w14:val="tx1"/>
                        </w14:solidFill>
                      </w14:textFill>
                    </w:rPr>
                    <w:t>室外噪声源强dB(A)</w:t>
                  </w:r>
                </w:p>
              </w:tc>
              <w:tc>
                <w:tcPr>
                  <w:tcW w:w="384" w:type="pct"/>
                  <w:vMerge w:val="restart"/>
                  <w:vAlign w:val="center"/>
                </w:tcPr>
                <w:p w14:paraId="78CB6A15">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声源控制措施</w:t>
                  </w:r>
                </w:p>
              </w:tc>
              <w:tc>
                <w:tcPr>
                  <w:tcW w:w="1176" w:type="pct"/>
                  <w:gridSpan w:val="4"/>
                  <w:vAlign w:val="center"/>
                </w:tcPr>
                <w:p w14:paraId="2EB1B146">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距</w:t>
                  </w:r>
                  <w:r>
                    <w:rPr>
                      <w:rFonts w:hint="eastAsia"/>
                      <w:b/>
                      <w:bCs/>
                      <w:color w:val="000000" w:themeColor="text1"/>
                      <w:lang w:bidi="ar"/>
                      <w14:textFill>
                        <w14:solidFill>
                          <w14:schemeClr w14:val="tx1"/>
                        </w14:solidFill>
                      </w14:textFill>
                    </w:rPr>
                    <w:t>厂界</w:t>
                  </w:r>
                  <w:r>
                    <w:rPr>
                      <w:b/>
                      <w:bCs/>
                      <w:color w:val="000000" w:themeColor="text1"/>
                      <w:lang w:bidi="ar"/>
                      <w14:textFill>
                        <w14:solidFill>
                          <w14:schemeClr w14:val="tx1"/>
                        </w14:solidFill>
                      </w14:textFill>
                    </w:rPr>
                    <w:t>边界距离/m</w:t>
                  </w:r>
                </w:p>
              </w:tc>
              <w:tc>
                <w:tcPr>
                  <w:tcW w:w="1932" w:type="pct"/>
                  <w:gridSpan w:val="5"/>
                  <w:vAlign w:val="center"/>
                </w:tcPr>
                <w:p w14:paraId="71EA97D4">
                  <w:pPr>
                    <w:widowControl/>
                    <w:ind w:left="-84" w:leftChars="-40" w:right="-84" w:rightChars="-40"/>
                    <w:jc w:val="center"/>
                    <w:textAlignment w:val="center"/>
                    <w:rPr>
                      <w:b/>
                      <w:bCs/>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厂界</w:t>
                  </w:r>
                  <w:r>
                    <w:rPr>
                      <w:b/>
                      <w:bCs/>
                      <w:color w:val="000000" w:themeColor="text1"/>
                      <w:lang w:bidi="ar"/>
                      <w14:textFill>
                        <w14:solidFill>
                          <w14:schemeClr w14:val="tx1"/>
                        </w14:solidFill>
                      </w14:textFill>
                    </w:rPr>
                    <w:t>噪声</w:t>
                  </w:r>
                </w:p>
              </w:tc>
            </w:tr>
            <w:tr w14:paraId="07039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 w:type="pct"/>
                  <w:vMerge w:val="continue"/>
                  <w:vAlign w:val="center"/>
                </w:tcPr>
                <w:p w14:paraId="6928CE33">
                  <w:pPr>
                    <w:widowControl/>
                    <w:ind w:left="-84" w:leftChars="-40" w:right="-84" w:rightChars="-40"/>
                    <w:jc w:val="center"/>
                    <w:rPr>
                      <w:b/>
                      <w:bCs/>
                      <w:color w:val="7030A0"/>
                    </w:rPr>
                  </w:pPr>
                </w:p>
              </w:tc>
              <w:tc>
                <w:tcPr>
                  <w:tcW w:w="445" w:type="pct"/>
                  <w:vMerge w:val="continue"/>
                  <w:vAlign w:val="center"/>
                </w:tcPr>
                <w:p w14:paraId="5D7B5749">
                  <w:pPr>
                    <w:widowControl/>
                    <w:ind w:left="-84" w:leftChars="-40" w:right="-84" w:rightChars="-40"/>
                    <w:jc w:val="center"/>
                    <w:rPr>
                      <w:b/>
                      <w:bCs/>
                      <w:color w:val="7030A0"/>
                    </w:rPr>
                  </w:pPr>
                </w:p>
              </w:tc>
              <w:tc>
                <w:tcPr>
                  <w:tcW w:w="404" w:type="pct"/>
                  <w:vMerge w:val="continue"/>
                  <w:vAlign w:val="center"/>
                </w:tcPr>
                <w:p w14:paraId="5FD086C6">
                  <w:pPr>
                    <w:widowControl/>
                    <w:ind w:left="-84" w:leftChars="-40" w:right="-84" w:rightChars="-40"/>
                    <w:jc w:val="center"/>
                    <w:rPr>
                      <w:b/>
                      <w:bCs/>
                      <w:color w:val="7030A0"/>
                    </w:rPr>
                  </w:pPr>
                </w:p>
              </w:tc>
              <w:tc>
                <w:tcPr>
                  <w:tcW w:w="419" w:type="pct"/>
                  <w:vMerge w:val="continue"/>
                  <w:vAlign w:val="center"/>
                </w:tcPr>
                <w:p w14:paraId="5DCF526A">
                  <w:pPr>
                    <w:widowControl/>
                    <w:ind w:left="-84" w:leftChars="-40" w:right="-84" w:rightChars="-40"/>
                    <w:jc w:val="center"/>
                    <w:rPr>
                      <w:b/>
                      <w:bCs/>
                      <w:color w:val="7030A0"/>
                    </w:rPr>
                  </w:pPr>
                </w:p>
              </w:tc>
              <w:tc>
                <w:tcPr>
                  <w:tcW w:w="384" w:type="pct"/>
                  <w:vMerge w:val="continue"/>
                  <w:vAlign w:val="center"/>
                </w:tcPr>
                <w:p w14:paraId="75998957">
                  <w:pPr>
                    <w:widowControl/>
                    <w:ind w:left="-84" w:leftChars="-40" w:right="-84" w:rightChars="-40"/>
                    <w:jc w:val="center"/>
                    <w:rPr>
                      <w:b/>
                      <w:bCs/>
                      <w:color w:val="7030A0"/>
                    </w:rPr>
                  </w:pPr>
                </w:p>
              </w:tc>
              <w:tc>
                <w:tcPr>
                  <w:tcW w:w="271" w:type="pct"/>
                  <w:vAlign w:val="center"/>
                </w:tcPr>
                <w:p w14:paraId="1E36D0D5">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东</w:t>
                  </w:r>
                </w:p>
              </w:tc>
              <w:tc>
                <w:tcPr>
                  <w:tcW w:w="299" w:type="pct"/>
                  <w:vAlign w:val="center"/>
                </w:tcPr>
                <w:p w14:paraId="37F64988">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南</w:t>
                  </w:r>
                </w:p>
              </w:tc>
              <w:tc>
                <w:tcPr>
                  <w:tcW w:w="322" w:type="pct"/>
                  <w:vAlign w:val="center"/>
                </w:tcPr>
                <w:p w14:paraId="7E6FAB30">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西</w:t>
                  </w:r>
                </w:p>
              </w:tc>
              <w:tc>
                <w:tcPr>
                  <w:tcW w:w="284" w:type="pct"/>
                  <w:vAlign w:val="center"/>
                </w:tcPr>
                <w:p w14:paraId="1D0746E7">
                  <w:pPr>
                    <w:widowControl/>
                    <w:ind w:left="-84" w:leftChars="-40" w:right="-84" w:rightChars="-40"/>
                    <w:jc w:val="center"/>
                    <w:textAlignment w:val="center"/>
                    <w:rPr>
                      <w:b/>
                      <w:bCs/>
                      <w:color w:val="7030A0"/>
                    </w:rPr>
                  </w:pPr>
                  <w:r>
                    <w:rPr>
                      <w:b/>
                      <w:bCs/>
                      <w:color w:val="000000" w:themeColor="text1"/>
                      <w:lang w:bidi="ar"/>
                      <w14:textFill>
                        <w14:solidFill>
                          <w14:schemeClr w14:val="tx1"/>
                        </w14:solidFill>
                      </w14:textFill>
                    </w:rPr>
                    <w:t>北</w:t>
                  </w:r>
                </w:p>
              </w:tc>
              <w:tc>
                <w:tcPr>
                  <w:tcW w:w="1481" w:type="pct"/>
                  <w:gridSpan w:val="4"/>
                  <w:vAlign w:val="center"/>
                </w:tcPr>
                <w:p w14:paraId="3B37C623">
                  <w:pPr>
                    <w:widowControl/>
                    <w:ind w:left="-84" w:leftChars="-40" w:right="-84" w:rightChars="-40"/>
                    <w:jc w:val="center"/>
                    <w:textAlignment w:val="center"/>
                    <w:rPr>
                      <w:b/>
                      <w:bCs/>
                      <w:color w:val="7030A0"/>
                    </w:rPr>
                  </w:pPr>
                  <w:r>
                    <w:rPr>
                      <w:rFonts w:hint="eastAsia"/>
                      <w:b/>
                      <w:bCs/>
                      <w:color w:val="000000" w:themeColor="text1"/>
                      <w:lang w:bidi="ar"/>
                      <w14:textFill>
                        <w14:solidFill>
                          <w14:schemeClr w14:val="tx1"/>
                        </w14:solidFill>
                      </w14:textFill>
                    </w:rPr>
                    <w:t>贡献值</w:t>
                  </w:r>
                  <w:r>
                    <w:rPr>
                      <w:b/>
                      <w:bCs/>
                      <w:color w:val="000000" w:themeColor="text1"/>
                      <w:lang w:bidi="ar"/>
                      <w14:textFill>
                        <w14:solidFill>
                          <w14:schemeClr w14:val="tx1"/>
                        </w14:solidFill>
                      </w14:textFill>
                    </w:rPr>
                    <w:t>/dB(A)</w:t>
                  </w:r>
                </w:p>
              </w:tc>
              <w:tc>
                <w:tcPr>
                  <w:tcW w:w="451" w:type="pct"/>
                  <w:vAlign w:val="center"/>
                </w:tcPr>
                <w:p w14:paraId="65B90BB9">
                  <w:pPr>
                    <w:widowControl/>
                    <w:ind w:left="-84" w:leftChars="-40" w:right="-84" w:rightChars="-40"/>
                    <w:jc w:val="center"/>
                    <w:textAlignment w:val="center"/>
                    <w:rPr>
                      <w:b/>
                      <w:bCs/>
                      <w:color w:val="000000" w:themeColor="text1"/>
                      <w14:textFill>
                        <w14:solidFill>
                          <w14:schemeClr w14:val="tx1"/>
                        </w14:solidFill>
                      </w14:textFill>
                    </w:rPr>
                  </w:pPr>
                  <w:r>
                    <w:rPr>
                      <w:b/>
                      <w:bCs/>
                      <w:color w:val="000000" w:themeColor="text1"/>
                      <w:lang w:bidi="ar"/>
                      <w14:textFill>
                        <w14:solidFill>
                          <w14:schemeClr w14:val="tx1"/>
                        </w14:solidFill>
                      </w14:textFill>
                    </w:rPr>
                    <w:t>建筑物外距离/m</w:t>
                  </w:r>
                </w:p>
              </w:tc>
            </w:tr>
            <w:tr w14:paraId="6AC8C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9" w:type="pct"/>
                  <w:noWrap/>
                  <w:vAlign w:val="center"/>
                </w:tcPr>
                <w:p w14:paraId="501FD716">
                  <w:pPr>
                    <w:widowControl/>
                    <w:ind w:left="-84" w:leftChars="-40" w:right="-84" w:rightChars="-40"/>
                    <w:jc w:val="center"/>
                    <w:textAlignment w:val="center"/>
                    <w:rPr>
                      <w:color w:val="7030A0"/>
                    </w:rPr>
                  </w:pPr>
                  <w:r>
                    <w:rPr>
                      <w:color w:val="000000" w:themeColor="text1"/>
                      <w:lang w:bidi="ar"/>
                      <w14:textFill>
                        <w14:solidFill>
                          <w14:schemeClr w14:val="tx1"/>
                        </w14:solidFill>
                      </w14:textFill>
                    </w:rPr>
                    <w:t>1</w:t>
                  </w:r>
                </w:p>
              </w:tc>
              <w:tc>
                <w:tcPr>
                  <w:tcW w:w="445" w:type="pct"/>
                  <w:vAlign w:val="center"/>
                </w:tcPr>
                <w:p w14:paraId="708B5702">
                  <w:pPr>
                    <w:widowControl/>
                    <w:jc w:val="center"/>
                    <w:textAlignment w:val="center"/>
                    <w:rPr>
                      <w:color w:val="7030A0"/>
                    </w:rPr>
                  </w:pPr>
                  <w:r>
                    <w:rPr>
                      <w:rFonts w:hint="eastAsia" w:ascii="宋体" w:hAnsi="宋体" w:cs="宋体"/>
                      <w:color w:val="000000" w:themeColor="text1"/>
                      <w:lang w:bidi="ar"/>
                      <w14:textFill>
                        <w14:solidFill>
                          <w14:schemeClr w14:val="tx1"/>
                        </w14:solidFill>
                      </w14:textFill>
                    </w:rPr>
                    <w:t>风机</w:t>
                  </w:r>
                </w:p>
              </w:tc>
              <w:tc>
                <w:tcPr>
                  <w:tcW w:w="404" w:type="pct"/>
                  <w:vAlign w:val="center"/>
                </w:tcPr>
                <w:p w14:paraId="2C95D6C6">
                  <w:pPr>
                    <w:widowControl/>
                    <w:jc w:val="center"/>
                    <w:textAlignment w:val="center"/>
                    <w:rPr>
                      <w:color w:val="7030A0"/>
                    </w:rPr>
                  </w:pPr>
                  <w:r>
                    <w:rPr>
                      <w:rFonts w:hint="eastAsia"/>
                      <w:color w:val="000000" w:themeColor="text1"/>
                      <w:lang w:bidi="ar"/>
                      <w14:textFill>
                        <w14:solidFill>
                          <w14:schemeClr w14:val="tx1"/>
                        </w14:solidFill>
                      </w14:textFill>
                    </w:rPr>
                    <w:t>78</w:t>
                  </w:r>
                </w:p>
              </w:tc>
              <w:tc>
                <w:tcPr>
                  <w:tcW w:w="419" w:type="pct"/>
                  <w:vMerge w:val="restart"/>
                  <w:vAlign w:val="center"/>
                </w:tcPr>
                <w:p w14:paraId="0B5D24E7">
                  <w:pPr>
                    <w:widowControl/>
                    <w:jc w:val="center"/>
                    <w:textAlignment w:val="center"/>
                    <w:rPr>
                      <w:color w:val="7030A0"/>
                      <w:lang w:bidi="ar"/>
                    </w:rPr>
                  </w:pPr>
                  <w:r>
                    <w:rPr>
                      <w:rFonts w:hint="eastAsia"/>
                      <w:color w:val="000000" w:themeColor="text1"/>
                      <w:lang w:bidi="ar"/>
                      <w14:textFill>
                        <w14:solidFill>
                          <w14:schemeClr w14:val="tx1"/>
                        </w14:solidFill>
                      </w14:textFill>
                    </w:rPr>
                    <w:t>79.8</w:t>
                  </w:r>
                </w:p>
              </w:tc>
              <w:tc>
                <w:tcPr>
                  <w:tcW w:w="384" w:type="pct"/>
                  <w:vAlign w:val="center"/>
                </w:tcPr>
                <w:p w14:paraId="0F5D6386">
                  <w:pPr>
                    <w:widowControl/>
                    <w:ind w:left="-105" w:leftChars="-50" w:right="-105" w:rightChars="-50"/>
                    <w:jc w:val="center"/>
                    <w:textAlignment w:val="center"/>
                    <w:rPr>
                      <w:color w:val="7030A0"/>
                    </w:rPr>
                  </w:pPr>
                  <w:r>
                    <w:rPr>
                      <w:rFonts w:hint="eastAsia" w:ascii="宋体" w:hAnsi="宋体" w:cs="宋体"/>
                      <w:color w:val="000000" w:themeColor="text1"/>
                      <w:lang w:bidi="ar"/>
                      <w14:textFill>
                        <w14:solidFill>
                          <w14:schemeClr w14:val="tx1"/>
                        </w14:solidFill>
                      </w14:textFill>
                    </w:rPr>
                    <w:t>机座隔振</w:t>
                  </w:r>
                </w:p>
              </w:tc>
              <w:tc>
                <w:tcPr>
                  <w:tcW w:w="271" w:type="pct"/>
                  <w:vMerge w:val="restart"/>
                  <w:noWrap/>
                  <w:vAlign w:val="center"/>
                </w:tcPr>
                <w:p w14:paraId="0CBFC89A">
                  <w:pPr>
                    <w:jc w:val="center"/>
                    <w:textAlignment w:val="center"/>
                    <w:rPr>
                      <w:color w:val="7030A0"/>
                    </w:rPr>
                  </w:pPr>
                  <w:r>
                    <w:rPr>
                      <w:rFonts w:hint="eastAsia"/>
                      <w:color w:val="000000" w:themeColor="text1"/>
                      <w:lang w:bidi="ar"/>
                      <w14:textFill>
                        <w14:solidFill>
                          <w14:schemeClr w14:val="tx1"/>
                        </w14:solidFill>
                      </w14:textFill>
                    </w:rPr>
                    <w:t>12</w:t>
                  </w:r>
                </w:p>
              </w:tc>
              <w:tc>
                <w:tcPr>
                  <w:tcW w:w="299" w:type="pct"/>
                  <w:vMerge w:val="restart"/>
                  <w:noWrap/>
                  <w:vAlign w:val="center"/>
                </w:tcPr>
                <w:p w14:paraId="347F62E9">
                  <w:pPr>
                    <w:jc w:val="center"/>
                    <w:textAlignment w:val="center"/>
                    <w:rPr>
                      <w:color w:val="7030A0"/>
                    </w:rPr>
                  </w:pPr>
                  <w:r>
                    <w:rPr>
                      <w:rFonts w:hint="eastAsia"/>
                      <w:color w:val="000000" w:themeColor="text1"/>
                      <w:lang w:bidi="ar"/>
                      <w14:textFill>
                        <w14:solidFill>
                          <w14:schemeClr w14:val="tx1"/>
                        </w14:solidFill>
                      </w14:textFill>
                    </w:rPr>
                    <w:t>23</w:t>
                  </w:r>
                </w:p>
              </w:tc>
              <w:tc>
                <w:tcPr>
                  <w:tcW w:w="322" w:type="pct"/>
                  <w:vMerge w:val="restart"/>
                  <w:noWrap/>
                  <w:vAlign w:val="center"/>
                </w:tcPr>
                <w:p w14:paraId="16024982">
                  <w:pPr>
                    <w:jc w:val="center"/>
                    <w:textAlignment w:val="center"/>
                    <w:rPr>
                      <w:color w:val="7030A0"/>
                    </w:rPr>
                  </w:pPr>
                  <w:r>
                    <w:rPr>
                      <w:rFonts w:hint="eastAsia"/>
                      <w:color w:val="000000" w:themeColor="text1"/>
                      <w:lang w:bidi="ar"/>
                      <w14:textFill>
                        <w14:solidFill>
                          <w14:schemeClr w14:val="tx1"/>
                        </w14:solidFill>
                      </w14:textFill>
                    </w:rPr>
                    <w:t>50</w:t>
                  </w:r>
                </w:p>
              </w:tc>
              <w:tc>
                <w:tcPr>
                  <w:tcW w:w="284" w:type="pct"/>
                  <w:vMerge w:val="restart"/>
                  <w:noWrap/>
                  <w:vAlign w:val="center"/>
                </w:tcPr>
                <w:p w14:paraId="70CAB0ED">
                  <w:pPr>
                    <w:jc w:val="center"/>
                    <w:textAlignment w:val="center"/>
                    <w:rPr>
                      <w:color w:val="7030A0"/>
                    </w:rPr>
                  </w:pPr>
                  <w:r>
                    <w:rPr>
                      <w:rFonts w:hint="eastAsia"/>
                      <w:color w:val="000000" w:themeColor="text1"/>
                      <w:lang w:bidi="ar"/>
                      <w14:textFill>
                        <w14:solidFill>
                          <w14:schemeClr w14:val="tx1"/>
                        </w14:solidFill>
                      </w14:textFill>
                    </w:rPr>
                    <w:t>51</w:t>
                  </w:r>
                </w:p>
              </w:tc>
              <w:tc>
                <w:tcPr>
                  <w:tcW w:w="378" w:type="pct"/>
                  <w:vMerge w:val="restart"/>
                  <w:noWrap/>
                  <w:vAlign w:val="center"/>
                </w:tcPr>
                <w:p w14:paraId="2AF276D9">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58.2</w:t>
                  </w:r>
                </w:p>
              </w:tc>
              <w:tc>
                <w:tcPr>
                  <w:tcW w:w="356" w:type="pct"/>
                  <w:vMerge w:val="restart"/>
                  <w:noWrap/>
                  <w:vAlign w:val="center"/>
                </w:tcPr>
                <w:p w14:paraId="32C63B53">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52.6</w:t>
                  </w:r>
                </w:p>
              </w:tc>
              <w:tc>
                <w:tcPr>
                  <w:tcW w:w="362" w:type="pct"/>
                  <w:vMerge w:val="restart"/>
                  <w:noWrap/>
                  <w:vAlign w:val="center"/>
                </w:tcPr>
                <w:p w14:paraId="79DEA67B">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45.8</w:t>
                  </w:r>
                </w:p>
              </w:tc>
              <w:tc>
                <w:tcPr>
                  <w:tcW w:w="386" w:type="pct"/>
                  <w:vMerge w:val="restart"/>
                  <w:noWrap/>
                  <w:vAlign w:val="center"/>
                </w:tcPr>
                <w:p w14:paraId="6DA5B9E3">
                  <w:pPr>
                    <w:adjustRightInd w:val="0"/>
                    <w:snapToGrid w:val="0"/>
                    <w:ind w:left="-105" w:leftChars="-50" w:right="-105" w:rightChars="-50"/>
                    <w:jc w:val="center"/>
                    <w:rPr>
                      <w:bCs/>
                      <w:color w:val="7030A0"/>
                    </w:rPr>
                  </w:pPr>
                  <w:r>
                    <w:rPr>
                      <w:rFonts w:hint="eastAsia"/>
                      <w:bCs/>
                      <w:color w:val="000000" w:themeColor="text1"/>
                      <w14:textFill>
                        <w14:solidFill>
                          <w14:schemeClr w14:val="tx1"/>
                        </w14:solidFill>
                      </w14:textFill>
                    </w:rPr>
                    <w:t>45.6</w:t>
                  </w:r>
                </w:p>
              </w:tc>
              <w:tc>
                <w:tcPr>
                  <w:tcW w:w="451" w:type="pct"/>
                  <w:vMerge w:val="restart"/>
                  <w:noWrap/>
                  <w:vAlign w:val="center"/>
                </w:tcPr>
                <w:p w14:paraId="09D92763">
                  <w:pPr>
                    <w:widowControl/>
                    <w:jc w:val="center"/>
                    <w:textAlignment w:val="center"/>
                    <w:rPr>
                      <w:color w:val="000000" w:themeColor="text1"/>
                      <w14:textFill>
                        <w14:solidFill>
                          <w14:schemeClr w14:val="tx1"/>
                        </w14:solidFill>
                      </w14:textFill>
                    </w:rPr>
                  </w:pPr>
                  <w:r>
                    <w:rPr>
                      <w:color w:val="000000" w:themeColor="text1"/>
                      <w:lang w:bidi="ar"/>
                      <w14:textFill>
                        <w14:solidFill>
                          <w14:schemeClr w14:val="tx1"/>
                        </w14:solidFill>
                      </w14:textFill>
                    </w:rPr>
                    <w:t>1</w:t>
                  </w:r>
                </w:p>
              </w:tc>
            </w:tr>
            <w:tr w14:paraId="03A2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9" w:type="pct"/>
                  <w:noWrap/>
                  <w:vAlign w:val="center"/>
                </w:tcPr>
                <w:p w14:paraId="35E7C527">
                  <w:pPr>
                    <w:widowControl/>
                    <w:ind w:left="-84" w:leftChars="-40" w:right="-84" w:rightChars="-40"/>
                    <w:jc w:val="center"/>
                    <w:textAlignment w:val="center"/>
                    <w:rPr>
                      <w:color w:val="7030A0"/>
                      <w:lang w:bidi="ar"/>
                    </w:rPr>
                  </w:pPr>
                  <w:r>
                    <w:rPr>
                      <w:rFonts w:hint="eastAsia"/>
                      <w:color w:val="000000" w:themeColor="text1"/>
                      <w:lang w:bidi="ar"/>
                      <w14:textFill>
                        <w14:solidFill>
                          <w14:schemeClr w14:val="tx1"/>
                        </w14:solidFill>
                      </w14:textFill>
                    </w:rPr>
                    <w:t>2</w:t>
                  </w:r>
                </w:p>
              </w:tc>
              <w:tc>
                <w:tcPr>
                  <w:tcW w:w="445" w:type="pct"/>
                  <w:vAlign w:val="center"/>
                </w:tcPr>
                <w:p w14:paraId="17832F87">
                  <w:pPr>
                    <w:widowControl/>
                    <w:jc w:val="center"/>
                    <w:textAlignment w:val="center"/>
                    <w:rPr>
                      <w:rFonts w:hint="eastAsia" w:ascii="宋体" w:hAnsi="宋体" w:cs="宋体"/>
                      <w:color w:val="7030A0"/>
                      <w:lang w:bidi="ar"/>
                    </w:rPr>
                  </w:pPr>
                  <w:r>
                    <w:rPr>
                      <w:rFonts w:hint="eastAsia" w:ascii="宋体" w:hAnsi="宋体" w:cs="宋体"/>
                      <w:color w:val="000000" w:themeColor="text1"/>
                      <w:lang w:bidi="ar"/>
                      <w14:textFill>
                        <w14:solidFill>
                          <w14:schemeClr w14:val="tx1"/>
                        </w14:solidFill>
                      </w14:textFill>
                    </w:rPr>
                    <w:t>喷淋塔</w:t>
                  </w:r>
                </w:p>
              </w:tc>
              <w:tc>
                <w:tcPr>
                  <w:tcW w:w="404" w:type="pct"/>
                  <w:vAlign w:val="center"/>
                </w:tcPr>
                <w:p w14:paraId="1EC31707">
                  <w:pPr>
                    <w:widowControl/>
                    <w:jc w:val="center"/>
                    <w:textAlignment w:val="center"/>
                    <w:rPr>
                      <w:color w:val="7030A0"/>
                      <w:lang w:bidi="ar"/>
                    </w:rPr>
                  </w:pPr>
                  <w:r>
                    <w:rPr>
                      <w:rFonts w:hint="eastAsia"/>
                      <w:color w:val="000000" w:themeColor="text1"/>
                      <w:lang w:bidi="ar"/>
                      <w14:textFill>
                        <w14:solidFill>
                          <w14:schemeClr w14:val="tx1"/>
                        </w14:solidFill>
                      </w14:textFill>
                    </w:rPr>
                    <w:t>75</w:t>
                  </w:r>
                </w:p>
              </w:tc>
              <w:tc>
                <w:tcPr>
                  <w:tcW w:w="419" w:type="pct"/>
                  <w:vMerge w:val="continue"/>
                  <w:vAlign w:val="center"/>
                </w:tcPr>
                <w:p w14:paraId="3D5717DF">
                  <w:pPr>
                    <w:widowControl/>
                    <w:jc w:val="center"/>
                    <w:textAlignment w:val="center"/>
                    <w:rPr>
                      <w:color w:val="7030A0"/>
                      <w:lang w:bidi="ar"/>
                    </w:rPr>
                  </w:pPr>
                </w:p>
              </w:tc>
              <w:tc>
                <w:tcPr>
                  <w:tcW w:w="384" w:type="pct"/>
                  <w:vAlign w:val="center"/>
                </w:tcPr>
                <w:p w14:paraId="513BA5EB">
                  <w:pPr>
                    <w:widowControl/>
                    <w:ind w:left="-105" w:leftChars="-50" w:right="-105" w:rightChars="-50"/>
                    <w:jc w:val="center"/>
                    <w:textAlignment w:val="center"/>
                    <w:rPr>
                      <w:rFonts w:hint="eastAsia" w:ascii="宋体" w:hAnsi="宋体" w:cs="宋体"/>
                      <w:color w:val="7030A0"/>
                      <w:lang w:bidi="ar"/>
                    </w:rPr>
                  </w:pPr>
                  <w:r>
                    <w:rPr>
                      <w:rFonts w:hint="eastAsia" w:ascii="宋体" w:hAnsi="宋体" w:cs="宋体"/>
                      <w:color w:val="000000" w:themeColor="text1"/>
                      <w:lang w:bidi="ar"/>
                      <w14:textFill>
                        <w14:solidFill>
                          <w14:schemeClr w14:val="tx1"/>
                        </w14:solidFill>
                      </w14:textFill>
                    </w:rPr>
                    <w:t>机座隔振</w:t>
                  </w:r>
                </w:p>
              </w:tc>
              <w:tc>
                <w:tcPr>
                  <w:tcW w:w="271" w:type="pct"/>
                  <w:vMerge w:val="continue"/>
                  <w:noWrap/>
                  <w:vAlign w:val="center"/>
                </w:tcPr>
                <w:p w14:paraId="78591563">
                  <w:pPr>
                    <w:widowControl/>
                    <w:jc w:val="center"/>
                    <w:textAlignment w:val="center"/>
                    <w:rPr>
                      <w:color w:val="7030A0"/>
                      <w:lang w:bidi="ar"/>
                    </w:rPr>
                  </w:pPr>
                </w:p>
              </w:tc>
              <w:tc>
                <w:tcPr>
                  <w:tcW w:w="299" w:type="pct"/>
                  <w:vMerge w:val="continue"/>
                  <w:noWrap/>
                  <w:vAlign w:val="center"/>
                </w:tcPr>
                <w:p w14:paraId="0C96822F">
                  <w:pPr>
                    <w:widowControl/>
                    <w:jc w:val="center"/>
                    <w:textAlignment w:val="center"/>
                    <w:rPr>
                      <w:color w:val="7030A0"/>
                      <w:lang w:bidi="ar"/>
                    </w:rPr>
                  </w:pPr>
                </w:p>
              </w:tc>
              <w:tc>
                <w:tcPr>
                  <w:tcW w:w="322" w:type="pct"/>
                  <w:vMerge w:val="continue"/>
                  <w:noWrap/>
                  <w:vAlign w:val="center"/>
                </w:tcPr>
                <w:p w14:paraId="050D0B70">
                  <w:pPr>
                    <w:widowControl/>
                    <w:jc w:val="center"/>
                    <w:textAlignment w:val="center"/>
                    <w:rPr>
                      <w:color w:val="7030A0"/>
                      <w:lang w:bidi="ar"/>
                    </w:rPr>
                  </w:pPr>
                </w:p>
              </w:tc>
              <w:tc>
                <w:tcPr>
                  <w:tcW w:w="284" w:type="pct"/>
                  <w:vMerge w:val="continue"/>
                  <w:noWrap/>
                  <w:vAlign w:val="center"/>
                </w:tcPr>
                <w:p w14:paraId="607C6A4D">
                  <w:pPr>
                    <w:widowControl/>
                    <w:jc w:val="center"/>
                    <w:textAlignment w:val="center"/>
                    <w:rPr>
                      <w:color w:val="7030A0"/>
                      <w:lang w:bidi="ar"/>
                    </w:rPr>
                  </w:pPr>
                </w:p>
              </w:tc>
              <w:tc>
                <w:tcPr>
                  <w:tcW w:w="378" w:type="pct"/>
                  <w:vMerge w:val="continue"/>
                  <w:noWrap/>
                  <w:vAlign w:val="center"/>
                </w:tcPr>
                <w:p w14:paraId="20070908">
                  <w:pPr>
                    <w:widowControl/>
                    <w:jc w:val="center"/>
                    <w:textAlignment w:val="center"/>
                    <w:rPr>
                      <w:color w:val="7030A0"/>
                      <w:lang w:bidi="ar"/>
                    </w:rPr>
                  </w:pPr>
                </w:p>
              </w:tc>
              <w:tc>
                <w:tcPr>
                  <w:tcW w:w="356" w:type="pct"/>
                  <w:vMerge w:val="continue"/>
                  <w:noWrap/>
                  <w:vAlign w:val="center"/>
                </w:tcPr>
                <w:p w14:paraId="48F23173">
                  <w:pPr>
                    <w:widowControl/>
                    <w:jc w:val="center"/>
                    <w:textAlignment w:val="center"/>
                    <w:rPr>
                      <w:color w:val="7030A0"/>
                      <w:lang w:bidi="ar"/>
                    </w:rPr>
                  </w:pPr>
                </w:p>
              </w:tc>
              <w:tc>
                <w:tcPr>
                  <w:tcW w:w="362" w:type="pct"/>
                  <w:vMerge w:val="continue"/>
                  <w:noWrap/>
                  <w:vAlign w:val="center"/>
                </w:tcPr>
                <w:p w14:paraId="0E5FF5CD">
                  <w:pPr>
                    <w:widowControl/>
                    <w:jc w:val="center"/>
                    <w:textAlignment w:val="center"/>
                    <w:rPr>
                      <w:color w:val="7030A0"/>
                      <w:lang w:bidi="ar"/>
                    </w:rPr>
                  </w:pPr>
                </w:p>
              </w:tc>
              <w:tc>
                <w:tcPr>
                  <w:tcW w:w="386" w:type="pct"/>
                  <w:vMerge w:val="continue"/>
                  <w:noWrap/>
                  <w:vAlign w:val="center"/>
                </w:tcPr>
                <w:p w14:paraId="126577F7">
                  <w:pPr>
                    <w:widowControl/>
                    <w:jc w:val="center"/>
                    <w:textAlignment w:val="center"/>
                    <w:rPr>
                      <w:color w:val="7030A0"/>
                      <w:lang w:bidi="ar"/>
                    </w:rPr>
                  </w:pPr>
                </w:p>
              </w:tc>
              <w:tc>
                <w:tcPr>
                  <w:tcW w:w="451" w:type="pct"/>
                  <w:vMerge w:val="continue"/>
                  <w:noWrap/>
                  <w:vAlign w:val="center"/>
                </w:tcPr>
                <w:p w14:paraId="59B804F0">
                  <w:pPr>
                    <w:widowControl/>
                    <w:jc w:val="center"/>
                    <w:textAlignment w:val="center"/>
                    <w:rPr>
                      <w:color w:val="000000" w:themeColor="text1"/>
                      <w:lang w:bidi="ar"/>
                      <w14:textFill>
                        <w14:solidFill>
                          <w14:schemeClr w14:val="tx1"/>
                        </w14:solidFill>
                      </w14:textFill>
                    </w:rPr>
                  </w:pPr>
                </w:p>
              </w:tc>
            </w:tr>
          </w:tbl>
          <w:p w14:paraId="45477B8C">
            <w:pPr>
              <w:spacing w:line="276" w:lineRule="auto"/>
              <w:ind w:firstLine="422" w:firstLineChars="20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表4-17  厂界噪声预测结果（叠加厂界噪声）</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861"/>
              <w:gridCol w:w="1078"/>
              <w:gridCol w:w="791"/>
              <w:gridCol w:w="508"/>
              <w:gridCol w:w="443"/>
              <w:gridCol w:w="435"/>
              <w:gridCol w:w="516"/>
              <w:gridCol w:w="637"/>
              <w:gridCol w:w="655"/>
              <w:gridCol w:w="590"/>
              <w:gridCol w:w="668"/>
              <w:gridCol w:w="555"/>
            </w:tblGrid>
            <w:tr w14:paraId="4D734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Merge w:val="restart"/>
                  <w:noWrap/>
                  <w:vAlign w:val="center"/>
                </w:tcPr>
                <w:p w14:paraId="2673BCDE">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序号</w:t>
                  </w:r>
                </w:p>
              </w:tc>
              <w:tc>
                <w:tcPr>
                  <w:tcW w:w="527" w:type="pct"/>
                  <w:vMerge w:val="restart"/>
                  <w:noWrap/>
                  <w:vAlign w:val="center"/>
                </w:tcPr>
                <w:p w14:paraId="4121525C">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位置</w:t>
                  </w:r>
                </w:p>
              </w:tc>
              <w:tc>
                <w:tcPr>
                  <w:tcW w:w="660" w:type="pct"/>
                  <w:vMerge w:val="restart"/>
                  <w:noWrap/>
                  <w:vAlign w:val="center"/>
                </w:tcPr>
                <w:p w14:paraId="366178BA">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噪声源</w:t>
                  </w:r>
                </w:p>
              </w:tc>
              <w:tc>
                <w:tcPr>
                  <w:tcW w:w="484" w:type="pct"/>
                  <w:vMerge w:val="restart"/>
                  <w:noWrap/>
                  <w:vAlign w:val="center"/>
                </w:tcPr>
                <w:p w14:paraId="54614139">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声压级/dB(A)</w:t>
                  </w:r>
                </w:p>
              </w:tc>
              <w:tc>
                <w:tcPr>
                  <w:tcW w:w="1164" w:type="pct"/>
                  <w:gridSpan w:val="4"/>
                  <w:noWrap/>
                  <w:vAlign w:val="center"/>
                </w:tcPr>
                <w:p w14:paraId="321016C0">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距厂边界距离/m</w:t>
                  </w:r>
                </w:p>
              </w:tc>
              <w:tc>
                <w:tcPr>
                  <w:tcW w:w="1561" w:type="pct"/>
                  <w:gridSpan w:val="4"/>
                  <w:noWrap/>
                  <w:vAlign w:val="center"/>
                </w:tcPr>
                <w:p w14:paraId="2E45A4EF">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厂界噪声</w:t>
                  </w:r>
                </w:p>
              </w:tc>
              <w:tc>
                <w:tcPr>
                  <w:tcW w:w="340" w:type="pct"/>
                  <w:vMerge w:val="restart"/>
                  <w:vAlign w:val="center"/>
                </w:tcPr>
                <w:p w14:paraId="40D52EDB">
                  <w:pPr>
                    <w:widowControl/>
                    <w:ind w:left="-105" w:leftChars="-50" w:right="-105" w:rightChars="-50"/>
                    <w:jc w:val="center"/>
                    <w:textAlignment w:val="center"/>
                    <w:rPr>
                      <w:b/>
                      <w:bCs/>
                      <w:color w:val="000000" w:themeColor="text1"/>
                      <w14:textFill>
                        <w14:solidFill>
                          <w14:schemeClr w14:val="tx1"/>
                        </w14:solidFill>
                      </w14:textFill>
                    </w:rPr>
                  </w:pPr>
                  <w:r>
                    <w:rPr>
                      <w:b/>
                      <w:bCs/>
                      <w:color w:val="000000" w:themeColor="text1"/>
                      <w:lang w:bidi="ar"/>
                      <w14:textFill>
                        <w14:solidFill>
                          <w14:schemeClr w14:val="tx1"/>
                        </w14:solidFill>
                      </w14:textFill>
                    </w:rPr>
                    <w:t>厂界外距离/m</w:t>
                  </w:r>
                </w:p>
              </w:tc>
            </w:tr>
            <w:tr w14:paraId="446F0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Merge w:val="continue"/>
                  <w:noWrap/>
                  <w:vAlign w:val="center"/>
                </w:tcPr>
                <w:p w14:paraId="5B52FB6B">
                  <w:pPr>
                    <w:widowControl/>
                    <w:ind w:left="-105" w:leftChars="-50" w:right="-105" w:rightChars="-50"/>
                    <w:jc w:val="center"/>
                    <w:rPr>
                      <w:b/>
                      <w:bCs/>
                      <w:color w:val="7030A0"/>
                    </w:rPr>
                  </w:pPr>
                </w:p>
              </w:tc>
              <w:tc>
                <w:tcPr>
                  <w:tcW w:w="527" w:type="pct"/>
                  <w:vMerge w:val="continue"/>
                  <w:noWrap/>
                  <w:vAlign w:val="center"/>
                </w:tcPr>
                <w:p w14:paraId="19842A24">
                  <w:pPr>
                    <w:widowControl/>
                    <w:ind w:left="-105" w:leftChars="-50" w:right="-105" w:rightChars="-50"/>
                    <w:jc w:val="center"/>
                    <w:rPr>
                      <w:b/>
                      <w:bCs/>
                      <w:color w:val="7030A0"/>
                    </w:rPr>
                  </w:pPr>
                </w:p>
              </w:tc>
              <w:tc>
                <w:tcPr>
                  <w:tcW w:w="660" w:type="pct"/>
                  <w:vMerge w:val="continue"/>
                  <w:noWrap/>
                  <w:vAlign w:val="center"/>
                </w:tcPr>
                <w:p w14:paraId="7E515AA0">
                  <w:pPr>
                    <w:widowControl/>
                    <w:ind w:left="-105" w:leftChars="-50" w:right="-105" w:rightChars="-50"/>
                    <w:jc w:val="center"/>
                    <w:rPr>
                      <w:b/>
                      <w:bCs/>
                      <w:color w:val="7030A0"/>
                    </w:rPr>
                  </w:pPr>
                </w:p>
              </w:tc>
              <w:tc>
                <w:tcPr>
                  <w:tcW w:w="484" w:type="pct"/>
                  <w:vMerge w:val="continue"/>
                  <w:noWrap/>
                  <w:vAlign w:val="center"/>
                </w:tcPr>
                <w:p w14:paraId="120EAB22">
                  <w:pPr>
                    <w:widowControl/>
                    <w:ind w:left="-105" w:leftChars="-50" w:right="-105" w:rightChars="-50"/>
                    <w:jc w:val="center"/>
                    <w:rPr>
                      <w:b/>
                      <w:bCs/>
                      <w:color w:val="7030A0"/>
                    </w:rPr>
                  </w:pPr>
                </w:p>
              </w:tc>
              <w:tc>
                <w:tcPr>
                  <w:tcW w:w="311" w:type="pct"/>
                  <w:vMerge w:val="restart"/>
                  <w:noWrap/>
                  <w:vAlign w:val="center"/>
                </w:tcPr>
                <w:p w14:paraId="57C7E655">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东</w:t>
                  </w:r>
                </w:p>
              </w:tc>
              <w:tc>
                <w:tcPr>
                  <w:tcW w:w="271" w:type="pct"/>
                  <w:vMerge w:val="restart"/>
                  <w:noWrap/>
                  <w:vAlign w:val="center"/>
                </w:tcPr>
                <w:p w14:paraId="2ADC2073">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南</w:t>
                  </w:r>
                </w:p>
              </w:tc>
              <w:tc>
                <w:tcPr>
                  <w:tcW w:w="266" w:type="pct"/>
                  <w:vMerge w:val="restart"/>
                  <w:noWrap/>
                  <w:vAlign w:val="center"/>
                </w:tcPr>
                <w:p w14:paraId="59D59FE3">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西</w:t>
                  </w:r>
                </w:p>
              </w:tc>
              <w:tc>
                <w:tcPr>
                  <w:tcW w:w="316" w:type="pct"/>
                  <w:vMerge w:val="restart"/>
                  <w:noWrap/>
                  <w:vAlign w:val="center"/>
                </w:tcPr>
                <w:p w14:paraId="7363A592">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北</w:t>
                  </w:r>
                </w:p>
              </w:tc>
              <w:tc>
                <w:tcPr>
                  <w:tcW w:w="1561" w:type="pct"/>
                  <w:gridSpan w:val="4"/>
                  <w:noWrap/>
                  <w:vAlign w:val="center"/>
                </w:tcPr>
                <w:p w14:paraId="50D3D7A3">
                  <w:pPr>
                    <w:widowControl/>
                    <w:ind w:left="-105" w:leftChars="-50" w:right="-105" w:rightChars="-50"/>
                    <w:jc w:val="center"/>
                    <w:textAlignment w:val="center"/>
                    <w:rPr>
                      <w:b/>
                      <w:bCs/>
                      <w:color w:val="7030A0"/>
                    </w:rPr>
                  </w:pPr>
                  <w:r>
                    <w:rPr>
                      <w:rFonts w:hint="eastAsia"/>
                      <w:b/>
                      <w:bCs/>
                      <w:color w:val="000000" w:themeColor="text1"/>
                      <w:lang w:bidi="ar"/>
                      <w14:textFill>
                        <w14:solidFill>
                          <w14:schemeClr w14:val="tx1"/>
                        </w14:solidFill>
                      </w14:textFill>
                    </w:rPr>
                    <w:t>贡献值</w:t>
                  </w:r>
                  <w:r>
                    <w:rPr>
                      <w:b/>
                      <w:bCs/>
                      <w:color w:val="000000" w:themeColor="text1"/>
                      <w:lang w:bidi="ar"/>
                      <w14:textFill>
                        <w14:solidFill>
                          <w14:schemeClr w14:val="tx1"/>
                        </w14:solidFill>
                      </w14:textFill>
                    </w:rPr>
                    <w:t>/dB(A)</w:t>
                  </w:r>
                </w:p>
              </w:tc>
              <w:tc>
                <w:tcPr>
                  <w:tcW w:w="340" w:type="pct"/>
                  <w:vMerge w:val="continue"/>
                  <w:vAlign w:val="center"/>
                </w:tcPr>
                <w:p w14:paraId="6A045CF5">
                  <w:pPr>
                    <w:widowControl/>
                    <w:ind w:left="-105" w:leftChars="-50" w:right="-105" w:rightChars="-50"/>
                    <w:jc w:val="center"/>
                    <w:rPr>
                      <w:b/>
                      <w:bCs/>
                      <w:color w:val="000000" w:themeColor="text1"/>
                      <w14:textFill>
                        <w14:solidFill>
                          <w14:schemeClr w14:val="tx1"/>
                        </w14:solidFill>
                      </w14:textFill>
                    </w:rPr>
                  </w:pPr>
                </w:p>
              </w:tc>
            </w:tr>
            <w:tr w14:paraId="13526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Merge w:val="continue"/>
                  <w:noWrap/>
                  <w:vAlign w:val="center"/>
                </w:tcPr>
                <w:p w14:paraId="7367BF4C">
                  <w:pPr>
                    <w:widowControl/>
                    <w:ind w:left="-105" w:leftChars="-50" w:right="-105" w:rightChars="-50"/>
                    <w:jc w:val="center"/>
                    <w:rPr>
                      <w:color w:val="7030A0"/>
                    </w:rPr>
                  </w:pPr>
                </w:p>
              </w:tc>
              <w:tc>
                <w:tcPr>
                  <w:tcW w:w="527" w:type="pct"/>
                  <w:vMerge w:val="continue"/>
                  <w:noWrap/>
                  <w:vAlign w:val="center"/>
                </w:tcPr>
                <w:p w14:paraId="6E22C815">
                  <w:pPr>
                    <w:widowControl/>
                    <w:ind w:left="-105" w:leftChars="-50" w:right="-105" w:rightChars="-50"/>
                    <w:jc w:val="center"/>
                    <w:rPr>
                      <w:color w:val="7030A0"/>
                    </w:rPr>
                  </w:pPr>
                </w:p>
              </w:tc>
              <w:tc>
                <w:tcPr>
                  <w:tcW w:w="660" w:type="pct"/>
                  <w:vMerge w:val="continue"/>
                  <w:noWrap/>
                  <w:vAlign w:val="center"/>
                </w:tcPr>
                <w:p w14:paraId="4762C909">
                  <w:pPr>
                    <w:widowControl/>
                    <w:ind w:left="-105" w:leftChars="-50" w:right="-105" w:rightChars="-50"/>
                    <w:jc w:val="center"/>
                    <w:rPr>
                      <w:color w:val="7030A0"/>
                    </w:rPr>
                  </w:pPr>
                </w:p>
              </w:tc>
              <w:tc>
                <w:tcPr>
                  <w:tcW w:w="484" w:type="pct"/>
                  <w:vMerge w:val="continue"/>
                  <w:noWrap/>
                  <w:vAlign w:val="center"/>
                </w:tcPr>
                <w:p w14:paraId="33C73E67">
                  <w:pPr>
                    <w:widowControl/>
                    <w:ind w:left="-105" w:leftChars="-50" w:right="-105" w:rightChars="-50"/>
                    <w:jc w:val="center"/>
                    <w:rPr>
                      <w:color w:val="7030A0"/>
                    </w:rPr>
                  </w:pPr>
                </w:p>
              </w:tc>
              <w:tc>
                <w:tcPr>
                  <w:tcW w:w="311" w:type="pct"/>
                  <w:vMerge w:val="continue"/>
                  <w:noWrap/>
                  <w:vAlign w:val="center"/>
                </w:tcPr>
                <w:p w14:paraId="7DB1D0FA">
                  <w:pPr>
                    <w:widowControl/>
                    <w:ind w:left="-105" w:leftChars="-50" w:right="-105" w:rightChars="-50"/>
                    <w:jc w:val="center"/>
                    <w:rPr>
                      <w:color w:val="7030A0"/>
                    </w:rPr>
                  </w:pPr>
                </w:p>
              </w:tc>
              <w:tc>
                <w:tcPr>
                  <w:tcW w:w="271" w:type="pct"/>
                  <w:vMerge w:val="continue"/>
                  <w:noWrap/>
                  <w:vAlign w:val="center"/>
                </w:tcPr>
                <w:p w14:paraId="29AB05AD">
                  <w:pPr>
                    <w:widowControl/>
                    <w:ind w:left="-105" w:leftChars="-50" w:right="-105" w:rightChars="-50"/>
                    <w:jc w:val="center"/>
                    <w:rPr>
                      <w:color w:val="7030A0"/>
                    </w:rPr>
                  </w:pPr>
                </w:p>
              </w:tc>
              <w:tc>
                <w:tcPr>
                  <w:tcW w:w="266" w:type="pct"/>
                  <w:vMerge w:val="continue"/>
                  <w:noWrap/>
                  <w:vAlign w:val="center"/>
                </w:tcPr>
                <w:p w14:paraId="21058542">
                  <w:pPr>
                    <w:widowControl/>
                    <w:ind w:left="-105" w:leftChars="-50" w:right="-105" w:rightChars="-50"/>
                    <w:jc w:val="center"/>
                    <w:rPr>
                      <w:color w:val="7030A0"/>
                    </w:rPr>
                  </w:pPr>
                </w:p>
              </w:tc>
              <w:tc>
                <w:tcPr>
                  <w:tcW w:w="316" w:type="pct"/>
                  <w:vMerge w:val="continue"/>
                  <w:noWrap/>
                  <w:vAlign w:val="center"/>
                </w:tcPr>
                <w:p w14:paraId="6BD5EC6C">
                  <w:pPr>
                    <w:widowControl/>
                    <w:ind w:left="-105" w:leftChars="-50" w:right="-105" w:rightChars="-50"/>
                    <w:jc w:val="center"/>
                    <w:rPr>
                      <w:color w:val="7030A0"/>
                    </w:rPr>
                  </w:pPr>
                </w:p>
              </w:tc>
              <w:tc>
                <w:tcPr>
                  <w:tcW w:w="390" w:type="pct"/>
                  <w:noWrap/>
                  <w:vAlign w:val="center"/>
                </w:tcPr>
                <w:p w14:paraId="08DBD4F6">
                  <w:pPr>
                    <w:widowControl/>
                    <w:ind w:left="-105" w:leftChars="-50" w:right="-105" w:rightChars="-50"/>
                    <w:jc w:val="center"/>
                    <w:textAlignment w:val="center"/>
                    <w:rPr>
                      <w:b/>
                      <w:bCs/>
                      <w:color w:val="7030A0"/>
                    </w:rPr>
                  </w:pPr>
                  <w:r>
                    <w:rPr>
                      <w:b/>
                      <w:bCs/>
                      <w:color w:val="000000" w:themeColor="text1"/>
                      <w14:textFill>
                        <w14:solidFill>
                          <w14:schemeClr w14:val="tx1"/>
                        </w14:solidFill>
                      </w14:textFill>
                    </w:rPr>
                    <w:t>东</w:t>
                  </w:r>
                </w:p>
              </w:tc>
              <w:tc>
                <w:tcPr>
                  <w:tcW w:w="401" w:type="pct"/>
                  <w:noWrap/>
                  <w:vAlign w:val="center"/>
                </w:tcPr>
                <w:p w14:paraId="7485A03B">
                  <w:pPr>
                    <w:widowControl/>
                    <w:ind w:left="-105" w:leftChars="-50" w:right="-105" w:rightChars="-50"/>
                    <w:jc w:val="center"/>
                    <w:textAlignment w:val="center"/>
                    <w:rPr>
                      <w:b/>
                      <w:bCs/>
                      <w:color w:val="7030A0"/>
                    </w:rPr>
                  </w:pPr>
                  <w:r>
                    <w:rPr>
                      <w:b/>
                      <w:bCs/>
                      <w:color w:val="000000" w:themeColor="text1"/>
                      <w14:textFill>
                        <w14:solidFill>
                          <w14:schemeClr w14:val="tx1"/>
                        </w14:solidFill>
                      </w14:textFill>
                    </w:rPr>
                    <w:t>南</w:t>
                  </w:r>
                </w:p>
              </w:tc>
              <w:tc>
                <w:tcPr>
                  <w:tcW w:w="361" w:type="pct"/>
                  <w:noWrap/>
                  <w:vAlign w:val="center"/>
                </w:tcPr>
                <w:p w14:paraId="4560E07C">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西</w:t>
                  </w:r>
                </w:p>
              </w:tc>
              <w:tc>
                <w:tcPr>
                  <w:tcW w:w="409" w:type="pct"/>
                  <w:noWrap/>
                  <w:vAlign w:val="center"/>
                </w:tcPr>
                <w:p w14:paraId="3090C200">
                  <w:pPr>
                    <w:widowControl/>
                    <w:ind w:left="-105" w:leftChars="-50" w:right="-105" w:rightChars="-50"/>
                    <w:jc w:val="center"/>
                    <w:textAlignment w:val="center"/>
                    <w:rPr>
                      <w:b/>
                      <w:bCs/>
                      <w:color w:val="7030A0"/>
                    </w:rPr>
                  </w:pPr>
                  <w:r>
                    <w:rPr>
                      <w:b/>
                      <w:bCs/>
                      <w:color w:val="000000" w:themeColor="text1"/>
                      <w:lang w:bidi="ar"/>
                      <w14:textFill>
                        <w14:solidFill>
                          <w14:schemeClr w14:val="tx1"/>
                        </w14:solidFill>
                      </w14:textFill>
                    </w:rPr>
                    <w:t>北</w:t>
                  </w:r>
                </w:p>
              </w:tc>
              <w:tc>
                <w:tcPr>
                  <w:tcW w:w="340" w:type="pct"/>
                  <w:vMerge w:val="continue"/>
                  <w:vAlign w:val="center"/>
                </w:tcPr>
                <w:p w14:paraId="3C6F4262">
                  <w:pPr>
                    <w:widowControl/>
                    <w:ind w:left="-105" w:leftChars="-50" w:right="-105" w:rightChars="-50"/>
                    <w:jc w:val="center"/>
                    <w:rPr>
                      <w:b/>
                      <w:bCs/>
                      <w:color w:val="000000" w:themeColor="text1"/>
                      <w14:textFill>
                        <w14:solidFill>
                          <w14:schemeClr w14:val="tx1"/>
                        </w14:solidFill>
                      </w14:textFill>
                    </w:rPr>
                  </w:pPr>
                </w:p>
              </w:tc>
            </w:tr>
            <w:tr w14:paraId="04DDA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noWrap/>
                  <w:vAlign w:val="center"/>
                </w:tcPr>
                <w:p w14:paraId="5C75BB28">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1</w:t>
                  </w:r>
                </w:p>
              </w:tc>
              <w:tc>
                <w:tcPr>
                  <w:tcW w:w="527" w:type="pct"/>
                  <w:noWrap/>
                  <w:vAlign w:val="center"/>
                </w:tcPr>
                <w:p w14:paraId="2B99D78E">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生产车间</w:t>
                  </w:r>
                </w:p>
              </w:tc>
              <w:tc>
                <w:tcPr>
                  <w:tcW w:w="660" w:type="pct"/>
                  <w:vAlign w:val="center"/>
                </w:tcPr>
                <w:p w14:paraId="47EF3D40">
                  <w:pPr>
                    <w:widowControl/>
                    <w:ind w:left="-105" w:leftChars="-50" w:right="-105" w:rightChars="-50"/>
                    <w:jc w:val="center"/>
                    <w:textAlignment w:val="center"/>
                    <w:rPr>
                      <w:color w:val="7030A0"/>
                      <w:lang w:bidi="ar"/>
                    </w:rPr>
                  </w:pPr>
                  <w:r>
                    <w:rPr>
                      <w:rFonts w:hint="eastAsia"/>
                      <w:color w:val="000000" w:themeColor="text1"/>
                      <w14:textFill>
                        <w14:solidFill>
                          <w14:schemeClr w14:val="tx1"/>
                        </w14:solidFill>
                      </w14:textFill>
                    </w:rPr>
                    <w:t>车间内设备</w:t>
                  </w:r>
                </w:p>
              </w:tc>
              <w:tc>
                <w:tcPr>
                  <w:tcW w:w="484" w:type="pct"/>
                  <w:noWrap/>
                  <w:vAlign w:val="center"/>
                </w:tcPr>
                <w:p w14:paraId="400D91D9">
                  <w:pPr>
                    <w:widowControl/>
                    <w:ind w:left="-105" w:leftChars="-50" w:right="-105" w:rightChars="-50"/>
                    <w:jc w:val="center"/>
                    <w:textAlignment w:val="center"/>
                    <w:rPr>
                      <w:color w:val="7030A0"/>
                      <w:lang w:bidi="ar"/>
                    </w:rPr>
                  </w:pPr>
                  <w:r>
                    <w:rPr>
                      <w:rFonts w:hint="eastAsia"/>
                      <w:bCs/>
                      <w:color w:val="000000" w:themeColor="text1"/>
                      <w14:textFill>
                        <w14:solidFill>
                          <w14:schemeClr w14:val="tx1"/>
                        </w14:solidFill>
                      </w14:textFill>
                    </w:rPr>
                    <w:t>84.2</w:t>
                  </w:r>
                </w:p>
              </w:tc>
              <w:tc>
                <w:tcPr>
                  <w:tcW w:w="311" w:type="pct"/>
                  <w:noWrap/>
                  <w:vAlign w:val="center"/>
                </w:tcPr>
                <w:p w14:paraId="63A10440">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12</w:t>
                  </w:r>
                </w:p>
              </w:tc>
              <w:tc>
                <w:tcPr>
                  <w:tcW w:w="271" w:type="pct"/>
                  <w:noWrap/>
                  <w:vAlign w:val="center"/>
                </w:tcPr>
                <w:p w14:paraId="332D03F6">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0</w:t>
                  </w:r>
                </w:p>
              </w:tc>
              <w:tc>
                <w:tcPr>
                  <w:tcW w:w="266" w:type="pct"/>
                  <w:noWrap/>
                  <w:vAlign w:val="center"/>
                </w:tcPr>
                <w:p w14:paraId="60FDBFBE">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0</w:t>
                  </w:r>
                </w:p>
              </w:tc>
              <w:tc>
                <w:tcPr>
                  <w:tcW w:w="316" w:type="pct"/>
                  <w:noWrap/>
                  <w:vAlign w:val="center"/>
                </w:tcPr>
                <w:p w14:paraId="01B1D1E4">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0</w:t>
                  </w:r>
                </w:p>
              </w:tc>
              <w:tc>
                <w:tcPr>
                  <w:tcW w:w="390" w:type="pct"/>
                  <w:noWrap/>
                  <w:vAlign w:val="center"/>
                </w:tcPr>
                <w:p w14:paraId="1DCDC097">
                  <w:pPr>
                    <w:widowControl/>
                    <w:ind w:left="-105" w:leftChars="-50" w:right="-105" w:rightChars="-50"/>
                    <w:jc w:val="center"/>
                    <w:textAlignment w:val="center"/>
                    <w:rPr>
                      <w:bCs/>
                      <w:color w:val="7030A0"/>
                    </w:rPr>
                  </w:pPr>
                  <w:r>
                    <w:rPr>
                      <w:rFonts w:hint="eastAsia"/>
                      <w:bCs/>
                      <w:color w:val="000000" w:themeColor="text1"/>
                      <w14:textFill>
                        <w14:solidFill>
                          <w14:schemeClr w14:val="tx1"/>
                        </w14:solidFill>
                      </w14:textFill>
                    </w:rPr>
                    <w:t>14.0</w:t>
                  </w:r>
                </w:p>
              </w:tc>
              <w:tc>
                <w:tcPr>
                  <w:tcW w:w="401" w:type="pct"/>
                  <w:noWrap/>
                  <w:vAlign w:val="center"/>
                </w:tcPr>
                <w:p w14:paraId="79623380">
                  <w:pPr>
                    <w:widowControl/>
                    <w:ind w:left="-105" w:leftChars="-50" w:right="-105" w:rightChars="-50"/>
                    <w:jc w:val="center"/>
                    <w:textAlignment w:val="center"/>
                    <w:rPr>
                      <w:bCs/>
                      <w:color w:val="7030A0"/>
                    </w:rPr>
                  </w:pPr>
                  <w:r>
                    <w:rPr>
                      <w:rFonts w:hint="eastAsia"/>
                      <w:bCs/>
                      <w:color w:val="000000" w:themeColor="text1"/>
                      <w14:textFill>
                        <w14:solidFill>
                          <w14:schemeClr w14:val="tx1"/>
                        </w14:solidFill>
                      </w14:textFill>
                    </w:rPr>
                    <w:t>37.4</w:t>
                  </w:r>
                </w:p>
              </w:tc>
              <w:tc>
                <w:tcPr>
                  <w:tcW w:w="361" w:type="pct"/>
                  <w:noWrap/>
                  <w:vAlign w:val="center"/>
                </w:tcPr>
                <w:p w14:paraId="475EB3C1">
                  <w:pPr>
                    <w:widowControl/>
                    <w:ind w:left="-105" w:leftChars="-50" w:right="-105" w:rightChars="-50"/>
                    <w:jc w:val="center"/>
                    <w:textAlignment w:val="center"/>
                    <w:rPr>
                      <w:bCs/>
                      <w:color w:val="7030A0"/>
                    </w:rPr>
                  </w:pPr>
                  <w:r>
                    <w:rPr>
                      <w:rFonts w:hint="eastAsia"/>
                      <w:bCs/>
                      <w:color w:val="000000" w:themeColor="text1"/>
                      <w14:textFill>
                        <w14:solidFill>
                          <w14:schemeClr w14:val="tx1"/>
                        </w14:solidFill>
                      </w14:textFill>
                    </w:rPr>
                    <w:t>37.0</w:t>
                  </w:r>
                </w:p>
              </w:tc>
              <w:tc>
                <w:tcPr>
                  <w:tcW w:w="409" w:type="pct"/>
                  <w:noWrap/>
                  <w:vAlign w:val="center"/>
                </w:tcPr>
                <w:p w14:paraId="1722CF81">
                  <w:pPr>
                    <w:widowControl/>
                    <w:ind w:left="-105" w:leftChars="-50" w:right="-105" w:rightChars="-50"/>
                    <w:jc w:val="center"/>
                    <w:textAlignment w:val="center"/>
                    <w:rPr>
                      <w:bCs/>
                      <w:color w:val="7030A0"/>
                    </w:rPr>
                  </w:pPr>
                  <w:r>
                    <w:rPr>
                      <w:rFonts w:hint="eastAsia"/>
                      <w:bCs/>
                      <w:color w:val="000000" w:themeColor="text1"/>
                      <w14:textFill>
                        <w14:solidFill>
                          <w14:schemeClr w14:val="tx1"/>
                        </w14:solidFill>
                      </w14:textFill>
                    </w:rPr>
                    <w:t>32.8</w:t>
                  </w:r>
                </w:p>
              </w:tc>
              <w:tc>
                <w:tcPr>
                  <w:tcW w:w="340" w:type="pct"/>
                  <w:vMerge w:val="restart"/>
                  <w:noWrap/>
                  <w:vAlign w:val="center"/>
                </w:tcPr>
                <w:p w14:paraId="2D7F39EB">
                  <w:pPr>
                    <w:ind w:left="-105" w:leftChars="-50" w:right="-105" w:rightChars="-50"/>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1</w:t>
                  </w:r>
                </w:p>
              </w:tc>
            </w:tr>
            <w:tr w14:paraId="521DF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noWrap/>
                  <w:vAlign w:val="center"/>
                </w:tcPr>
                <w:p w14:paraId="593E7750">
                  <w:pPr>
                    <w:widowControl/>
                    <w:ind w:left="-105" w:leftChars="-50" w:right="-105" w:rightChars="-50"/>
                    <w:jc w:val="center"/>
                    <w:textAlignment w:val="center"/>
                    <w:rPr>
                      <w:color w:val="7030A0"/>
                    </w:rPr>
                  </w:pPr>
                  <w:r>
                    <w:rPr>
                      <w:rFonts w:hint="eastAsia"/>
                      <w:color w:val="000000" w:themeColor="text1"/>
                      <w:lang w:bidi="ar"/>
                      <w14:textFill>
                        <w14:solidFill>
                          <w14:schemeClr w14:val="tx1"/>
                        </w14:solidFill>
                      </w14:textFill>
                    </w:rPr>
                    <w:t>2</w:t>
                  </w:r>
                </w:p>
              </w:tc>
              <w:tc>
                <w:tcPr>
                  <w:tcW w:w="527" w:type="pct"/>
                  <w:noWrap/>
                  <w:vAlign w:val="center"/>
                </w:tcPr>
                <w:p w14:paraId="4C74224F">
                  <w:pPr>
                    <w:widowControl/>
                    <w:ind w:left="-105" w:leftChars="-50" w:right="-105" w:rightChars="-50"/>
                    <w:jc w:val="center"/>
                    <w:textAlignment w:val="center"/>
                    <w:rPr>
                      <w:color w:val="7030A0"/>
                    </w:rPr>
                  </w:pPr>
                  <w:r>
                    <w:rPr>
                      <w:rFonts w:hint="eastAsia"/>
                      <w:color w:val="000000" w:themeColor="text1"/>
                      <w:lang w:bidi="ar"/>
                      <w14:textFill>
                        <w14:solidFill>
                          <w14:schemeClr w14:val="tx1"/>
                        </w14:solidFill>
                      </w14:textFill>
                    </w:rPr>
                    <w:t>生产车间东侧外</w:t>
                  </w:r>
                </w:p>
              </w:tc>
              <w:tc>
                <w:tcPr>
                  <w:tcW w:w="660" w:type="pct"/>
                  <w:vAlign w:val="center"/>
                </w:tcPr>
                <w:p w14:paraId="1E552045">
                  <w:pPr>
                    <w:widowControl/>
                    <w:ind w:left="-105" w:leftChars="-50" w:right="-105" w:rightChars="-50"/>
                    <w:jc w:val="center"/>
                    <w:textAlignment w:val="center"/>
                    <w:rPr>
                      <w:color w:val="7030A0"/>
                    </w:rPr>
                  </w:pPr>
                  <w:r>
                    <w:rPr>
                      <w:rFonts w:hint="eastAsia"/>
                      <w:color w:val="000000" w:themeColor="text1"/>
                      <w:lang w:bidi="ar"/>
                      <w14:textFill>
                        <w14:solidFill>
                          <w14:schemeClr w14:val="tx1"/>
                        </w14:solidFill>
                      </w14:textFill>
                    </w:rPr>
                    <w:t>室外设备</w:t>
                  </w:r>
                </w:p>
              </w:tc>
              <w:tc>
                <w:tcPr>
                  <w:tcW w:w="484" w:type="pct"/>
                  <w:noWrap/>
                  <w:vAlign w:val="center"/>
                </w:tcPr>
                <w:p w14:paraId="42C3BC4D">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79.8</w:t>
                  </w:r>
                </w:p>
              </w:tc>
              <w:tc>
                <w:tcPr>
                  <w:tcW w:w="311" w:type="pct"/>
                  <w:noWrap/>
                  <w:vAlign w:val="center"/>
                </w:tcPr>
                <w:p w14:paraId="6A1BA984">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12</w:t>
                  </w:r>
                </w:p>
              </w:tc>
              <w:tc>
                <w:tcPr>
                  <w:tcW w:w="271" w:type="pct"/>
                  <w:noWrap/>
                  <w:vAlign w:val="center"/>
                </w:tcPr>
                <w:p w14:paraId="42431B19">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23</w:t>
                  </w:r>
                </w:p>
              </w:tc>
              <w:tc>
                <w:tcPr>
                  <w:tcW w:w="266" w:type="pct"/>
                  <w:noWrap/>
                  <w:vAlign w:val="center"/>
                </w:tcPr>
                <w:p w14:paraId="2373685F">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50</w:t>
                  </w:r>
                </w:p>
              </w:tc>
              <w:tc>
                <w:tcPr>
                  <w:tcW w:w="316" w:type="pct"/>
                  <w:noWrap/>
                  <w:vAlign w:val="center"/>
                </w:tcPr>
                <w:p w14:paraId="1D77D9A2">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51</w:t>
                  </w:r>
                </w:p>
              </w:tc>
              <w:tc>
                <w:tcPr>
                  <w:tcW w:w="390" w:type="pct"/>
                  <w:noWrap/>
                  <w:vAlign w:val="center"/>
                </w:tcPr>
                <w:p w14:paraId="19E4DC84">
                  <w:pPr>
                    <w:widowControl/>
                    <w:ind w:left="-105" w:leftChars="-50" w:right="-105" w:rightChars="-50"/>
                    <w:jc w:val="center"/>
                    <w:textAlignment w:val="center"/>
                    <w:rPr>
                      <w:color w:val="7030A0"/>
                      <w:lang w:bidi="ar"/>
                    </w:rPr>
                  </w:pPr>
                  <w:r>
                    <w:rPr>
                      <w:rFonts w:hint="eastAsia"/>
                      <w:bCs/>
                      <w:color w:val="000000" w:themeColor="text1"/>
                      <w14:textFill>
                        <w14:solidFill>
                          <w14:schemeClr w14:val="tx1"/>
                        </w14:solidFill>
                      </w14:textFill>
                    </w:rPr>
                    <w:t>58.2</w:t>
                  </w:r>
                </w:p>
              </w:tc>
              <w:tc>
                <w:tcPr>
                  <w:tcW w:w="401" w:type="pct"/>
                  <w:noWrap/>
                  <w:vAlign w:val="center"/>
                </w:tcPr>
                <w:p w14:paraId="7BEC846C">
                  <w:pPr>
                    <w:widowControl/>
                    <w:ind w:left="-105" w:leftChars="-50" w:right="-105" w:rightChars="-50"/>
                    <w:jc w:val="center"/>
                    <w:textAlignment w:val="center"/>
                    <w:rPr>
                      <w:color w:val="7030A0"/>
                      <w:lang w:bidi="ar"/>
                    </w:rPr>
                  </w:pPr>
                  <w:r>
                    <w:rPr>
                      <w:rFonts w:hint="eastAsia"/>
                      <w:bCs/>
                      <w:color w:val="000000" w:themeColor="text1"/>
                      <w14:textFill>
                        <w14:solidFill>
                          <w14:schemeClr w14:val="tx1"/>
                        </w14:solidFill>
                      </w14:textFill>
                    </w:rPr>
                    <w:t>52.6</w:t>
                  </w:r>
                </w:p>
              </w:tc>
              <w:tc>
                <w:tcPr>
                  <w:tcW w:w="361" w:type="pct"/>
                  <w:noWrap/>
                  <w:vAlign w:val="center"/>
                </w:tcPr>
                <w:p w14:paraId="3BA12696">
                  <w:pPr>
                    <w:widowControl/>
                    <w:ind w:left="-105" w:leftChars="-50" w:right="-105" w:rightChars="-50"/>
                    <w:jc w:val="center"/>
                    <w:textAlignment w:val="center"/>
                    <w:rPr>
                      <w:color w:val="7030A0"/>
                      <w:lang w:bidi="ar"/>
                    </w:rPr>
                  </w:pPr>
                  <w:r>
                    <w:rPr>
                      <w:rFonts w:hint="eastAsia"/>
                      <w:bCs/>
                      <w:color w:val="000000" w:themeColor="text1"/>
                      <w14:textFill>
                        <w14:solidFill>
                          <w14:schemeClr w14:val="tx1"/>
                        </w14:solidFill>
                      </w14:textFill>
                    </w:rPr>
                    <w:t>45.8</w:t>
                  </w:r>
                </w:p>
              </w:tc>
              <w:tc>
                <w:tcPr>
                  <w:tcW w:w="409" w:type="pct"/>
                  <w:noWrap/>
                  <w:vAlign w:val="center"/>
                </w:tcPr>
                <w:p w14:paraId="30520C01">
                  <w:pPr>
                    <w:widowControl/>
                    <w:ind w:left="-105" w:leftChars="-50" w:right="-105" w:rightChars="-50"/>
                    <w:jc w:val="center"/>
                    <w:textAlignment w:val="center"/>
                    <w:rPr>
                      <w:color w:val="7030A0"/>
                      <w:lang w:bidi="ar"/>
                    </w:rPr>
                  </w:pPr>
                  <w:r>
                    <w:rPr>
                      <w:rFonts w:hint="eastAsia"/>
                      <w:bCs/>
                      <w:color w:val="000000" w:themeColor="text1"/>
                      <w14:textFill>
                        <w14:solidFill>
                          <w14:schemeClr w14:val="tx1"/>
                        </w14:solidFill>
                      </w14:textFill>
                    </w:rPr>
                    <w:t>45.6</w:t>
                  </w:r>
                </w:p>
              </w:tc>
              <w:tc>
                <w:tcPr>
                  <w:tcW w:w="340" w:type="pct"/>
                  <w:vMerge w:val="continue"/>
                  <w:noWrap/>
                  <w:vAlign w:val="center"/>
                </w:tcPr>
                <w:p w14:paraId="56A34F17">
                  <w:pPr>
                    <w:widowControl/>
                    <w:ind w:left="-105" w:leftChars="-50" w:right="-105" w:rightChars="-50"/>
                    <w:jc w:val="center"/>
                    <w:textAlignment w:val="center"/>
                    <w:rPr>
                      <w:color w:val="000000" w:themeColor="text1"/>
                      <w14:textFill>
                        <w14:solidFill>
                          <w14:schemeClr w14:val="tx1"/>
                        </w14:solidFill>
                      </w14:textFill>
                    </w:rPr>
                  </w:pPr>
                </w:p>
              </w:tc>
            </w:tr>
            <w:tr w14:paraId="1CB53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9" w:type="pct"/>
                  <w:gridSpan w:val="8"/>
                  <w:noWrap/>
                  <w:vAlign w:val="center"/>
                </w:tcPr>
                <w:p w14:paraId="26821036">
                  <w:pPr>
                    <w:widowControl/>
                    <w:ind w:left="-105" w:leftChars="-50" w:right="-105" w:rightChars="-50"/>
                    <w:jc w:val="center"/>
                    <w:textAlignment w:val="center"/>
                    <w:rPr>
                      <w:color w:val="7030A0"/>
                    </w:rPr>
                  </w:pPr>
                  <w:r>
                    <w:rPr>
                      <w:color w:val="000000" w:themeColor="text1"/>
                      <w:lang w:bidi="ar"/>
                      <w14:textFill>
                        <w14:solidFill>
                          <w14:schemeClr w14:val="tx1"/>
                        </w14:solidFill>
                      </w14:textFill>
                    </w:rPr>
                    <w:t>叠加值</w:t>
                  </w:r>
                </w:p>
              </w:tc>
              <w:tc>
                <w:tcPr>
                  <w:tcW w:w="390" w:type="pct"/>
                  <w:noWrap/>
                  <w:vAlign w:val="center"/>
                </w:tcPr>
                <w:p w14:paraId="66B4A3B5">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58.2</w:t>
                  </w:r>
                </w:p>
              </w:tc>
              <w:tc>
                <w:tcPr>
                  <w:tcW w:w="401" w:type="pct"/>
                  <w:noWrap/>
                  <w:vAlign w:val="center"/>
                </w:tcPr>
                <w:p w14:paraId="3AF94A85">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52.7</w:t>
                  </w:r>
                </w:p>
              </w:tc>
              <w:tc>
                <w:tcPr>
                  <w:tcW w:w="361" w:type="pct"/>
                  <w:noWrap/>
                  <w:vAlign w:val="center"/>
                </w:tcPr>
                <w:p w14:paraId="08AC9C26">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46.3</w:t>
                  </w:r>
                </w:p>
              </w:tc>
              <w:tc>
                <w:tcPr>
                  <w:tcW w:w="409" w:type="pct"/>
                  <w:noWrap/>
                  <w:vAlign w:val="center"/>
                </w:tcPr>
                <w:p w14:paraId="60EF0A63">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45.8</w:t>
                  </w:r>
                </w:p>
              </w:tc>
              <w:tc>
                <w:tcPr>
                  <w:tcW w:w="340" w:type="pct"/>
                  <w:vMerge w:val="continue"/>
                  <w:noWrap/>
                  <w:vAlign w:val="center"/>
                </w:tcPr>
                <w:p w14:paraId="4D6E54BA">
                  <w:pPr>
                    <w:widowControl/>
                    <w:ind w:left="-105" w:leftChars="-50" w:right="-105" w:rightChars="-50"/>
                    <w:jc w:val="center"/>
                    <w:rPr>
                      <w:color w:val="000000" w:themeColor="text1"/>
                      <w14:textFill>
                        <w14:solidFill>
                          <w14:schemeClr w14:val="tx1"/>
                        </w14:solidFill>
                      </w14:textFill>
                    </w:rPr>
                  </w:pPr>
                </w:p>
              </w:tc>
            </w:tr>
            <w:tr w14:paraId="54D7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9" w:type="pct"/>
                  <w:gridSpan w:val="8"/>
                  <w:noWrap/>
                  <w:vAlign w:val="center"/>
                </w:tcPr>
                <w:p w14:paraId="6F43FF59">
                  <w:pPr>
                    <w:widowControl/>
                    <w:ind w:left="-105" w:leftChars="-50" w:right="-105" w:rightChars="-50"/>
                    <w:jc w:val="center"/>
                    <w:textAlignment w:val="center"/>
                    <w:rPr>
                      <w:color w:val="7030A0"/>
                      <w:lang w:bidi="ar"/>
                    </w:rPr>
                  </w:pPr>
                  <w:r>
                    <w:rPr>
                      <w:rFonts w:hint="eastAsia"/>
                      <w:color w:val="000000" w:themeColor="text1"/>
                      <w:lang w:bidi="ar"/>
                      <w14:textFill>
                        <w14:solidFill>
                          <w14:schemeClr w14:val="tx1"/>
                        </w14:solidFill>
                      </w14:textFill>
                    </w:rPr>
                    <w:t>执行标准（昼间）</w:t>
                  </w:r>
                </w:p>
              </w:tc>
              <w:tc>
                <w:tcPr>
                  <w:tcW w:w="390" w:type="pct"/>
                  <w:noWrap/>
                  <w:vAlign w:val="center"/>
                </w:tcPr>
                <w:p w14:paraId="1EA7FC89">
                  <w:pPr>
                    <w:widowControl/>
                    <w:ind w:left="-105" w:leftChars="-50" w:right="-105" w:rightChars="-50"/>
                    <w:jc w:val="center"/>
                    <w:textAlignment w:val="center"/>
                    <w:rPr>
                      <w:color w:val="7030A0"/>
                      <w:lang w:bidi="ar"/>
                    </w:rPr>
                  </w:pPr>
                  <w:r>
                    <w:rPr>
                      <w:color w:val="000000" w:themeColor="text1"/>
                      <w14:textFill>
                        <w14:solidFill>
                          <w14:schemeClr w14:val="tx1"/>
                        </w14:solidFill>
                      </w14:textFill>
                    </w:rPr>
                    <w:t>60</w:t>
                  </w:r>
                </w:p>
              </w:tc>
              <w:tc>
                <w:tcPr>
                  <w:tcW w:w="401" w:type="pct"/>
                  <w:noWrap/>
                  <w:vAlign w:val="center"/>
                </w:tcPr>
                <w:p w14:paraId="2D8FC958">
                  <w:pPr>
                    <w:widowControl/>
                    <w:ind w:left="-105" w:leftChars="-50" w:right="-105" w:rightChars="-50"/>
                    <w:jc w:val="center"/>
                    <w:textAlignment w:val="center"/>
                    <w:rPr>
                      <w:color w:val="7030A0"/>
                      <w:lang w:bidi="ar"/>
                    </w:rPr>
                  </w:pPr>
                  <w:r>
                    <w:rPr>
                      <w:color w:val="000000" w:themeColor="text1"/>
                      <w14:textFill>
                        <w14:solidFill>
                          <w14:schemeClr w14:val="tx1"/>
                        </w14:solidFill>
                      </w14:textFill>
                    </w:rPr>
                    <w:t>60</w:t>
                  </w:r>
                </w:p>
              </w:tc>
              <w:tc>
                <w:tcPr>
                  <w:tcW w:w="361" w:type="pct"/>
                  <w:noWrap/>
                  <w:vAlign w:val="center"/>
                </w:tcPr>
                <w:p w14:paraId="002C09F1">
                  <w:pPr>
                    <w:widowControl/>
                    <w:ind w:left="-105" w:leftChars="-50" w:right="-105" w:rightChars="-50"/>
                    <w:jc w:val="center"/>
                    <w:textAlignment w:val="center"/>
                    <w:rPr>
                      <w:color w:val="7030A0"/>
                      <w:lang w:bidi="ar"/>
                    </w:rPr>
                  </w:pPr>
                  <w:r>
                    <w:rPr>
                      <w:color w:val="000000" w:themeColor="text1"/>
                      <w14:textFill>
                        <w14:solidFill>
                          <w14:schemeClr w14:val="tx1"/>
                        </w14:solidFill>
                      </w14:textFill>
                    </w:rPr>
                    <w:t>60</w:t>
                  </w:r>
                </w:p>
              </w:tc>
              <w:tc>
                <w:tcPr>
                  <w:tcW w:w="409" w:type="pct"/>
                  <w:noWrap/>
                  <w:vAlign w:val="center"/>
                </w:tcPr>
                <w:p w14:paraId="34861547">
                  <w:pPr>
                    <w:widowControl/>
                    <w:ind w:left="-105" w:leftChars="-50" w:right="-105" w:rightChars="-50"/>
                    <w:jc w:val="center"/>
                    <w:textAlignment w:val="center"/>
                    <w:rPr>
                      <w:color w:val="7030A0"/>
                      <w:lang w:bidi="ar"/>
                    </w:rPr>
                  </w:pPr>
                  <w:r>
                    <w:rPr>
                      <w:color w:val="000000" w:themeColor="text1"/>
                      <w14:textFill>
                        <w14:solidFill>
                          <w14:schemeClr w14:val="tx1"/>
                        </w14:solidFill>
                      </w14:textFill>
                    </w:rPr>
                    <w:t>60</w:t>
                  </w:r>
                </w:p>
              </w:tc>
              <w:tc>
                <w:tcPr>
                  <w:tcW w:w="340" w:type="pct"/>
                  <w:noWrap/>
                  <w:vAlign w:val="center"/>
                </w:tcPr>
                <w:p w14:paraId="16EB1D83">
                  <w:pPr>
                    <w:widowControl/>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14:paraId="3AEFE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13"/>
                  <w:noWrap/>
                  <w:vAlign w:val="center"/>
                </w:tcPr>
                <w:p w14:paraId="35774070">
                  <w:pPr>
                    <w:ind w:firstLine="420" w:firstLineChars="20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注：本项目夜间不运营。</w:t>
                  </w:r>
                </w:p>
              </w:tc>
            </w:tr>
          </w:tbl>
          <w:p w14:paraId="6113EDCB">
            <w:pPr>
              <w:spacing w:line="276" w:lineRule="auto"/>
              <w:ind w:firstLine="422" w:firstLineChars="200"/>
              <w:jc w:val="center"/>
              <w:rPr>
                <w:b/>
                <w:bCs/>
                <w:color w:val="000000" w:themeColor="text1"/>
                <w:szCs w:val="21"/>
                <w14:textFill>
                  <w14:solidFill>
                    <w14:schemeClr w14:val="tx1"/>
                  </w14:solidFill>
                </w14:textFill>
              </w:rPr>
            </w:pPr>
          </w:p>
          <w:p w14:paraId="2C95F32F">
            <w:pPr>
              <w:spacing w:line="276" w:lineRule="auto"/>
              <w:ind w:firstLine="422" w:firstLineChars="20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表4-18  最近敏感点噪声预测结果一览表（昼间，单位</w:t>
            </w:r>
            <w:r>
              <w:rPr>
                <w:b/>
                <w:bCs/>
                <w:color w:val="000000" w:themeColor="text1"/>
                <w:szCs w:val="21"/>
                <w14:textFill>
                  <w14:solidFill>
                    <w14:schemeClr w14:val="tx1"/>
                  </w14:solidFill>
                </w14:textFill>
              </w:rPr>
              <w:t>（dB（A））</w:t>
            </w:r>
            <w:r>
              <w:rPr>
                <w:rFonts w:hint="eastAsia"/>
                <w:b/>
                <w:bCs/>
                <w:color w:val="000000" w:themeColor="text1"/>
                <w:szCs w:val="21"/>
                <w14:textFill>
                  <w14:solidFill>
                    <w14:schemeClr w14:val="tx1"/>
                  </w14:solidFill>
                </w14:textFill>
              </w:rPr>
              <w:t>）</w:t>
            </w: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604"/>
              <w:gridCol w:w="944"/>
              <w:gridCol w:w="874"/>
              <w:gridCol w:w="1026"/>
              <w:gridCol w:w="2567"/>
            </w:tblGrid>
            <w:tr w14:paraId="5A97B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pct"/>
                  <w:vAlign w:val="center"/>
                </w:tcPr>
                <w:p w14:paraId="5F0DCBE0">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预测点</w:t>
                  </w:r>
                </w:p>
              </w:tc>
              <w:tc>
                <w:tcPr>
                  <w:tcW w:w="982" w:type="pct"/>
                  <w:vAlign w:val="center"/>
                </w:tcPr>
                <w:p w14:paraId="2F533E1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与厂界距离/m</w:t>
                  </w:r>
                </w:p>
              </w:tc>
              <w:tc>
                <w:tcPr>
                  <w:tcW w:w="578" w:type="pct"/>
                  <w:vAlign w:val="center"/>
                </w:tcPr>
                <w:p w14:paraId="27810F62">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贡献值</w:t>
                  </w:r>
                </w:p>
              </w:tc>
              <w:tc>
                <w:tcPr>
                  <w:tcW w:w="535" w:type="pct"/>
                  <w:vAlign w:val="center"/>
                </w:tcPr>
                <w:p w14:paraId="1D37EA16">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背景值</w:t>
                  </w:r>
                </w:p>
              </w:tc>
              <w:tc>
                <w:tcPr>
                  <w:tcW w:w="628" w:type="pct"/>
                  <w:vAlign w:val="center"/>
                </w:tcPr>
                <w:p w14:paraId="051C0C69">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预测值</w:t>
                  </w:r>
                </w:p>
              </w:tc>
              <w:tc>
                <w:tcPr>
                  <w:tcW w:w="1572" w:type="pct"/>
                  <w:vAlign w:val="center"/>
                </w:tcPr>
                <w:p w14:paraId="2014D763">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执行标准</w:t>
                  </w:r>
                </w:p>
              </w:tc>
            </w:tr>
            <w:tr w14:paraId="11736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pct"/>
                  <w:vAlign w:val="center"/>
                </w:tcPr>
                <w:p w14:paraId="084CC08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北侧民居</w:t>
                  </w:r>
                </w:p>
              </w:tc>
              <w:tc>
                <w:tcPr>
                  <w:tcW w:w="982" w:type="pct"/>
                  <w:vAlign w:val="center"/>
                </w:tcPr>
                <w:p w14:paraId="03839D8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578" w:type="pct"/>
                  <w:vAlign w:val="center"/>
                </w:tcPr>
                <w:p w14:paraId="6B3F997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45.8</w:t>
                  </w:r>
                </w:p>
              </w:tc>
              <w:tc>
                <w:tcPr>
                  <w:tcW w:w="535" w:type="pct"/>
                  <w:vAlign w:val="center"/>
                </w:tcPr>
                <w:p w14:paraId="01EE438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55</w:t>
                  </w:r>
                </w:p>
              </w:tc>
              <w:tc>
                <w:tcPr>
                  <w:tcW w:w="628" w:type="pct"/>
                  <w:vAlign w:val="center"/>
                </w:tcPr>
                <w:p w14:paraId="2CA0F31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55</w:t>
                  </w:r>
                </w:p>
              </w:tc>
              <w:tc>
                <w:tcPr>
                  <w:tcW w:w="1572" w:type="pct"/>
                  <w:vAlign w:val="center"/>
                </w:tcPr>
                <w:p w14:paraId="359ADF4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GB</w:t>
                  </w:r>
                  <w:r>
                    <w:rPr>
                      <w:rFonts w:hint="eastAsia"/>
                      <w:color w:val="000000" w:themeColor="text1"/>
                      <w:szCs w:val="21"/>
                      <w14:textFill>
                        <w14:solidFill>
                          <w14:schemeClr w14:val="tx1"/>
                        </w14:solidFill>
                      </w14:textFill>
                    </w:rPr>
                    <w:t>3096</w:t>
                  </w:r>
                  <w:r>
                    <w:rPr>
                      <w:color w:val="000000" w:themeColor="text1"/>
                      <w:szCs w:val="21"/>
                      <w14:textFill>
                        <w14:solidFill>
                          <w14:schemeClr w14:val="tx1"/>
                        </w14:solidFill>
                      </w14:textFill>
                    </w:rPr>
                    <w:t>-2008 中</w:t>
                  </w: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类标准，即昼间6</w:t>
                  </w: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dB（A）</w:t>
                  </w:r>
                </w:p>
              </w:tc>
            </w:tr>
          </w:tbl>
          <w:p w14:paraId="09802797">
            <w:pPr>
              <w:spacing w:before="156" w:beforeLines="50"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由上表预测结果可见，在考虑车间墙体及其它控制措施等对声源的削减作用，在主要声源同时排放噪声这种最严重影响情况下，项目昼间生产，进行生产时厂界噪声贡献值符合《工业企业厂界环境噪声排放标准》（GB12348-2008）2类标准中的昼间标准值，在北侧民居的噪声预测值符合《声环境质量标准》（GB3096-2008）2类标准中的昼间标准值，项目夜间不生产，因此本项目产生的噪声对周围声境影响较小。</w:t>
            </w:r>
          </w:p>
          <w:p w14:paraId="1D2499A5">
            <w:pPr>
              <w:widowControl/>
              <w:spacing w:line="360" w:lineRule="auto"/>
              <w:ind w:firstLine="482" w:firstLineChars="200"/>
              <w:jc w:val="left"/>
              <w:rPr>
                <w:color w:val="000000" w:themeColor="text1"/>
                <w:sz w:val="24"/>
                <w14:textFill>
                  <w14:solidFill>
                    <w14:schemeClr w14:val="tx1"/>
                  </w14:solidFill>
                </w14:textFill>
              </w:rPr>
            </w:pPr>
            <w:r>
              <w:rPr>
                <w:rFonts w:hint="eastAsia"/>
                <w:b/>
                <w:color w:val="000000" w:themeColor="text1"/>
                <w:sz w:val="24"/>
                <w:szCs w:val="22"/>
                <w14:textFill>
                  <w14:solidFill>
                    <w14:schemeClr w14:val="tx1"/>
                  </w14:solidFill>
                </w14:textFill>
              </w:rPr>
              <w:t>3</w:t>
            </w:r>
            <w:r>
              <w:rPr>
                <w:b/>
                <w:color w:val="000000" w:themeColor="text1"/>
                <w:sz w:val="24"/>
                <w:szCs w:val="22"/>
                <w14:textFill>
                  <w14:solidFill>
                    <w14:schemeClr w14:val="tx1"/>
                  </w14:solidFill>
                </w14:textFill>
              </w:rPr>
              <w:t>、</w:t>
            </w:r>
            <w:r>
              <w:rPr>
                <w:b/>
                <w:bCs/>
                <w:color w:val="000000" w:themeColor="text1"/>
                <w:kern w:val="0"/>
                <w:sz w:val="24"/>
                <w14:textFill>
                  <w14:solidFill>
                    <w14:schemeClr w14:val="tx1"/>
                  </w14:solidFill>
                </w14:textFill>
              </w:rPr>
              <w:t xml:space="preserve">降噪措施 </w:t>
            </w:r>
          </w:p>
          <w:p w14:paraId="202706D7">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为减少项目噪声对厂界及区域声环境的影响，建议采取以下防治措施：</w:t>
            </w:r>
          </w:p>
          <w:p w14:paraId="143E2CEA">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w:t>
            </w:r>
            <w:r>
              <w:rPr>
                <w:color w:val="000000" w:themeColor="text1"/>
                <w:sz w:val="24"/>
                <w14:textFill>
                  <w14:solidFill>
                    <w14:schemeClr w14:val="tx1"/>
                  </w14:solidFill>
                </w14:textFill>
              </w:rPr>
              <w:t>设备选用低噪、低振设备</w:t>
            </w:r>
            <w:r>
              <w:rPr>
                <w:rFonts w:hint="eastAsia"/>
                <w:color w:val="000000" w:themeColor="text1"/>
                <w:sz w:val="24"/>
                <w14:textFill>
                  <w14:solidFill>
                    <w14:schemeClr w14:val="tx1"/>
                  </w14:solidFill>
                </w14:textFill>
              </w:rPr>
              <w:t>；</w:t>
            </w:r>
          </w:p>
          <w:p w14:paraId="304DD970">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w:t>
            </w:r>
            <w:r>
              <w:rPr>
                <w:color w:val="000000" w:themeColor="text1"/>
                <w:sz w:val="24"/>
                <w14:textFill>
                  <w14:solidFill>
                    <w14:schemeClr w14:val="tx1"/>
                  </w14:solidFill>
                </w14:textFill>
              </w:rPr>
              <w:t>基础减震、进排气口安装消声器</w:t>
            </w:r>
            <w:r>
              <w:rPr>
                <w:rFonts w:hint="eastAsia"/>
                <w:color w:val="000000" w:themeColor="text1"/>
                <w:sz w:val="24"/>
                <w14:textFill>
                  <w14:solidFill>
                    <w14:schemeClr w14:val="tx1"/>
                  </w14:solidFill>
                </w14:textFill>
              </w:rPr>
              <w:t>；</w:t>
            </w:r>
          </w:p>
          <w:p w14:paraId="359B5BA7">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③设备合理布局，主要噪声源远离厂界，使主要噪声源设备与厂界有足够的距离衰减；</w:t>
            </w:r>
          </w:p>
          <w:p w14:paraId="2417F7D3">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④加强管理，降低人为噪声。</w:t>
            </w:r>
          </w:p>
          <w:p w14:paraId="468B318B">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经过以上降噪措施，项目产生的噪声对周围的环境影响较小。</w:t>
            </w:r>
          </w:p>
          <w:p w14:paraId="64F87DCE">
            <w:pPr>
              <w:spacing w:line="360" w:lineRule="auto"/>
              <w:ind w:firstLine="482" w:firstLineChars="200"/>
              <w:rPr>
                <w:b/>
                <w:color w:val="000000" w:themeColor="text1"/>
                <w:sz w:val="24"/>
                <w:szCs w:val="22"/>
                <w14:textFill>
                  <w14:solidFill>
                    <w14:schemeClr w14:val="tx1"/>
                  </w14:solidFill>
                </w14:textFill>
              </w:rPr>
            </w:pPr>
            <w:r>
              <w:rPr>
                <w:rFonts w:hint="eastAsia"/>
                <w:b/>
                <w:color w:val="000000" w:themeColor="text1"/>
                <w:sz w:val="24"/>
                <w:szCs w:val="22"/>
                <w14:textFill>
                  <w14:solidFill>
                    <w14:schemeClr w14:val="tx1"/>
                  </w14:solidFill>
                </w14:textFill>
              </w:rPr>
              <w:t>4</w:t>
            </w:r>
            <w:r>
              <w:rPr>
                <w:b/>
                <w:color w:val="000000" w:themeColor="text1"/>
                <w:sz w:val="24"/>
                <w:szCs w:val="22"/>
                <w14:textFill>
                  <w14:solidFill>
                    <w14:schemeClr w14:val="tx1"/>
                  </w14:solidFill>
                </w14:textFill>
              </w:rPr>
              <w:t>、监测计划</w:t>
            </w:r>
          </w:p>
          <w:p w14:paraId="2BFF3FA6">
            <w:pPr>
              <w:spacing w:line="360" w:lineRule="auto"/>
              <w:ind w:firstLine="480" w:firstLineChars="200"/>
              <w:contextualSpacing/>
              <w:rPr>
                <w:color w:val="000000" w:themeColor="text1"/>
                <w:sz w:val="24"/>
                <w14:textFill>
                  <w14:solidFill>
                    <w14:schemeClr w14:val="tx1"/>
                  </w14:solidFill>
                </w14:textFill>
              </w:rPr>
            </w:pPr>
            <w:r>
              <w:rPr>
                <w:color w:val="000000" w:themeColor="text1"/>
                <w:sz w:val="24"/>
                <w14:textFill>
                  <w14:solidFill>
                    <w14:schemeClr w14:val="tx1"/>
                  </w14:solidFill>
                </w14:textFill>
              </w:rPr>
              <w:t>本项目涉及</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工序，自行监测计划参考</w:t>
            </w:r>
            <w:r>
              <w:rPr>
                <w:color w:val="000000" w:themeColor="text1"/>
                <w:sz w:val="24"/>
                <w:shd w:val="clear" w:color="auto" w:fill="FFFFFF"/>
                <w14:textFill>
                  <w14:solidFill>
                    <w14:schemeClr w14:val="tx1"/>
                  </w14:solidFill>
                </w14:textFill>
              </w:rPr>
              <w:t>《排污单位自行监测技术指南 涂装》（HJ 1086）执行</w:t>
            </w:r>
            <w:r>
              <w:rPr>
                <w:rFonts w:hint="eastAsia"/>
                <w:color w:val="000000" w:themeColor="text1"/>
                <w:sz w:val="24"/>
                <w:shd w:val="clear" w:color="auto" w:fill="FFFFFF"/>
                <w14:textFill>
                  <w14:solidFill>
                    <w14:schemeClr w14:val="tx1"/>
                  </w14:solidFill>
                </w14:textFill>
              </w:rPr>
              <w:t>，</w:t>
            </w:r>
            <w:r>
              <w:rPr>
                <w:color w:val="000000" w:themeColor="text1"/>
                <w:sz w:val="24"/>
                <w14:textFill>
                  <w14:solidFill>
                    <w14:schemeClr w14:val="tx1"/>
                  </w14:solidFill>
                </w14:textFill>
              </w:rPr>
              <w:t>根据《排污单位自行监测技术指南总则》（HJ819-2017）及</w:t>
            </w:r>
            <w:r>
              <w:rPr>
                <w:color w:val="000000" w:themeColor="text1"/>
                <w:sz w:val="24"/>
                <w:shd w:val="clear" w:color="auto" w:fill="FFFFFF"/>
                <w14:textFill>
                  <w14:solidFill>
                    <w14:schemeClr w14:val="tx1"/>
                  </w14:solidFill>
                </w14:textFill>
              </w:rPr>
              <w:t>《排污单位自行监测技术指南 涂装》（HJ 1086）</w:t>
            </w:r>
            <w:r>
              <w:rPr>
                <w:color w:val="000000" w:themeColor="text1"/>
                <w:sz w:val="24"/>
                <w14:textFill>
                  <w14:solidFill>
                    <w14:schemeClr w14:val="tx1"/>
                  </w14:solidFill>
                </w14:textFill>
              </w:rPr>
              <w:t>中对监测指标要求，具体监测内容见下表。</w:t>
            </w:r>
          </w:p>
          <w:p w14:paraId="7A3987C9">
            <w:pPr>
              <w:widowControl/>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表4-1</w:t>
            </w:r>
            <w:r>
              <w:rPr>
                <w:rFonts w:hint="eastAsia"/>
                <w:b/>
                <w:bCs/>
                <w:color w:val="000000" w:themeColor="text1"/>
                <w:szCs w:val="21"/>
                <w14:textFill>
                  <w14:solidFill>
                    <w14:schemeClr w14:val="tx1"/>
                  </w14:solidFill>
                </w14:textFill>
              </w:rPr>
              <w:t>9</w:t>
            </w:r>
            <w:r>
              <w:rPr>
                <w:b/>
                <w:bCs/>
                <w:color w:val="000000" w:themeColor="text1"/>
                <w:szCs w:val="21"/>
                <w14:textFill>
                  <w14:solidFill>
                    <w14:schemeClr w14:val="tx1"/>
                  </w14:solidFill>
                </w14:textFill>
              </w:rPr>
              <w:t xml:space="preserve">  噪声环境监测计划</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08"/>
              <w:gridCol w:w="1258"/>
              <w:gridCol w:w="1078"/>
              <w:gridCol w:w="4324"/>
            </w:tblGrid>
            <w:tr w14:paraId="71B37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3" w:type="pct"/>
                  <w:vAlign w:val="center"/>
                </w:tcPr>
                <w:p w14:paraId="0C1B2AFA">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监测点位</w:t>
                  </w:r>
                </w:p>
              </w:tc>
              <w:tc>
                <w:tcPr>
                  <w:tcW w:w="770" w:type="pct"/>
                  <w:vAlign w:val="center"/>
                </w:tcPr>
                <w:p w14:paraId="094C5D2A">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监测指标</w:t>
                  </w:r>
                </w:p>
              </w:tc>
              <w:tc>
                <w:tcPr>
                  <w:tcW w:w="660" w:type="pct"/>
                  <w:vAlign w:val="center"/>
                </w:tcPr>
                <w:p w14:paraId="519ECB67">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监测频次</w:t>
                  </w:r>
                </w:p>
              </w:tc>
              <w:tc>
                <w:tcPr>
                  <w:tcW w:w="2647" w:type="pct"/>
                  <w:vAlign w:val="center"/>
                </w:tcPr>
                <w:p w14:paraId="53EE22A1">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执行排放标准</w:t>
                  </w:r>
                </w:p>
              </w:tc>
            </w:tr>
            <w:tr w14:paraId="66E5F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0" w:hRule="atLeast"/>
                <w:jc w:val="center"/>
              </w:trPr>
              <w:tc>
                <w:tcPr>
                  <w:tcW w:w="923" w:type="pct"/>
                  <w:vAlign w:val="center"/>
                </w:tcPr>
                <w:p w14:paraId="0BE15C3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项目四周厂界1m处</w:t>
                  </w:r>
                </w:p>
              </w:tc>
              <w:tc>
                <w:tcPr>
                  <w:tcW w:w="770" w:type="pct"/>
                  <w:vAlign w:val="center"/>
                </w:tcPr>
                <w:p w14:paraId="5F9B3C5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等效连续A声级</w:t>
                  </w:r>
                </w:p>
              </w:tc>
              <w:tc>
                <w:tcPr>
                  <w:tcW w:w="660" w:type="pct"/>
                  <w:vAlign w:val="center"/>
                </w:tcPr>
                <w:p w14:paraId="61669C5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1次/季度</w:t>
                  </w:r>
                </w:p>
              </w:tc>
              <w:tc>
                <w:tcPr>
                  <w:tcW w:w="2647" w:type="pct"/>
                  <w:vAlign w:val="center"/>
                </w:tcPr>
                <w:p w14:paraId="38887B1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《工业企业厂界环境噪声排放标准》（GB12348-2008）2类标准</w:t>
                  </w:r>
                </w:p>
              </w:tc>
            </w:tr>
          </w:tbl>
          <w:p w14:paraId="2031D520">
            <w:pPr>
              <w:spacing w:line="360" w:lineRule="auto"/>
              <w:ind w:firstLine="482" w:firstLineChars="200"/>
              <w:contextualSpacing/>
              <w:rPr>
                <w:b/>
                <w:color w:val="000000" w:themeColor="text1"/>
                <w:sz w:val="24"/>
                <w14:textFill>
                  <w14:solidFill>
                    <w14:schemeClr w14:val="tx1"/>
                  </w14:solidFill>
                </w14:textFill>
              </w:rPr>
            </w:pPr>
            <w:r>
              <w:rPr>
                <w:b/>
                <w:color w:val="000000" w:themeColor="text1"/>
                <w:sz w:val="24"/>
                <w14:textFill>
                  <w14:solidFill>
                    <w14:schemeClr w14:val="tx1"/>
                  </w14:solidFill>
                </w14:textFill>
              </w:rPr>
              <w:t>四、固体废物</w:t>
            </w:r>
            <w:r>
              <w:rPr>
                <w:rFonts w:hint="eastAsia"/>
                <w:b/>
                <w:color w:val="000000" w:themeColor="text1"/>
                <w:sz w:val="24"/>
                <w14:textFill>
                  <w14:solidFill>
                    <w14:schemeClr w14:val="tx1"/>
                  </w14:solidFill>
                </w14:textFill>
              </w:rPr>
              <w:t>环境</w:t>
            </w:r>
            <w:r>
              <w:rPr>
                <w:b/>
                <w:color w:val="000000" w:themeColor="text1"/>
                <w:sz w:val="24"/>
                <w14:textFill>
                  <w14:solidFill>
                    <w14:schemeClr w14:val="tx1"/>
                  </w14:solidFill>
                </w14:textFill>
              </w:rPr>
              <w:t>影响分析</w:t>
            </w:r>
          </w:p>
          <w:p w14:paraId="32C9E1AD">
            <w:pPr>
              <w:spacing w:line="360" w:lineRule="auto"/>
              <w:ind w:firstLine="482" w:firstLineChars="200"/>
              <w:contextualSpacing/>
              <w:rPr>
                <w:b/>
                <w:color w:val="000000" w:themeColor="text1"/>
                <w:sz w:val="24"/>
                <w14:textFill>
                  <w14:solidFill>
                    <w14:schemeClr w14:val="tx1"/>
                  </w14:solidFill>
                </w14:textFill>
              </w:rPr>
            </w:pPr>
            <w:r>
              <w:rPr>
                <w:b/>
                <w:color w:val="000000" w:themeColor="text1"/>
                <w:sz w:val="24"/>
                <w14:textFill>
                  <w14:solidFill>
                    <w14:schemeClr w14:val="tx1"/>
                  </w14:solidFill>
                </w14:textFill>
              </w:rPr>
              <w:t>1、固体废物产生情况</w:t>
            </w:r>
          </w:p>
          <w:p w14:paraId="05E3746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本项目运营期固废主要有员工生活垃圾</w:t>
            </w:r>
            <w:r>
              <w:rPr>
                <w:rFonts w:hint="eastAsia"/>
                <w:color w:val="000000" w:themeColor="text1"/>
                <w:sz w:val="24"/>
                <w14:textFill>
                  <w14:solidFill>
                    <w14:schemeClr w14:val="tx1"/>
                  </w14:solidFill>
                </w14:textFill>
              </w:rPr>
              <w:t>，木材边角料，金属边角料，包装废物，车间地面及布袋除尘器收集到的颗粒物，漆渣，废包装桶，水帘柜更换废水，喷枪清洗废水，废活性炭，喷漆，晾干废气处理装置喷淋塔定期更换废水，干式过滤器废滤料，废机油，废含机油抹布及手套、废含油漆抹布及手套，废机油包装桶</w:t>
            </w:r>
            <w:r>
              <w:rPr>
                <w:color w:val="000000" w:themeColor="text1"/>
                <w:sz w:val="24"/>
                <w14:textFill>
                  <w14:solidFill>
                    <w14:schemeClr w14:val="tx1"/>
                  </w14:solidFill>
                </w14:textFill>
              </w:rPr>
              <w:t>等。</w:t>
            </w:r>
          </w:p>
          <w:p w14:paraId="01F562FF">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（1）生活垃圾</w:t>
            </w:r>
          </w:p>
          <w:p w14:paraId="3DE3805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项目拟安排员工</w:t>
            </w:r>
            <w:r>
              <w:rPr>
                <w:rFonts w:hint="eastAsia"/>
                <w:color w:val="000000" w:themeColor="text1"/>
                <w:sz w:val="24"/>
                <w14:textFill>
                  <w14:solidFill>
                    <w14:schemeClr w14:val="tx1"/>
                  </w14:solidFill>
                </w14:textFill>
              </w:rPr>
              <w:t>16</w:t>
            </w:r>
            <w:r>
              <w:rPr>
                <w:color w:val="000000" w:themeColor="text1"/>
                <w:sz w:val="24"/>
                <w14:textFill>
                  <w14:solidFill>
                    <w14:schemeClr w14:val="tx1"/>
                  </w14:solidFill>
                </w14:textFill>
              </w:rPr>
              <w:t>人</w:t>
            </w:r>
            <w:r>
              <w:rPr>
                <w:rFonts w:hint="eastAsia"/>
                <w:color w:val="000000" w:themeColor="text1"/>
                <w:sz w:val="24"/>
                <w14:textFill>
                  <w14:solidFill>
                    <w14:schemeClr w14:val="tx1"/>
                  </w14:solidFill>
                </w14:textFill>
              </w:rPr>
              <w:t>，厂区内设食堂和宿舍</w:t>
            </w:r>
            <w:r>
              <w:rPr>
                <w:color w:val="000000" w:themeColor="text1"/>
                <w:sz w:val="24"/>
                <w14:textFill>
                  <w14:solidFill>
                    <w14:schemeClr w14:val="tx1"/>
                  </w14:solidFill>
                </w14:textFill>
              </w:rPr>
              <w:t>。根据《社会区域类环境影响评价》（中国环境出版社）中固体废物污染源推荐数据，</w:t>
            </w:r>
            <w:r>
              <w:rPr>
                <w:rFonts w:hint="eastAsia"/>
                <w:color w:val="000000" w:themeColor="text1"/>
                <w:sz w:val="24"/>
                <w14:textFill>
                  <w14:solidFill>
                    <w14:schemeClr w14:val="tx1"/>
                  </w14:solidFill>
                </w14:textFill>
              </w:rPr>
              <w:t>厂内食宿员工生活垃圾产生量按</w:t>
            </w:r>
            <w:r>
              <w:rPr>
                <w:color w:val="000000" w:themeColor="text1"/>
                <w:sz w:val="24"/>
                <w14:textFill>
                  <w14:solidFill>
                    <w14:schemeClr w14:val="tx1"/>
                  </w14:solidFill>
                </w14:textFill>
              </w:rPr>
              <w:t>1.0kg/（人•d）计算</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年工作日300天，则项目的生活垃圾产生量约</w:t>
            </w:r>
            <w:r>
              <w:rPr>
                <w:rFonts w:hint="eastAsia"/>
                <w:color w:val="000000" w:themeColor="text1"/>
                <w:sz w:val="24"/>
                <w14:textFill>
                  <w14:solidFill>
                    <w14:schemeClr w14:val="tx1"/>
                  </w14:solidFill>
                </w14:textFill>
              </w:rPr>
              <w:t>4.80</w:t>
            </w:r>
            <w:r>
              <w:rPr>
                <w:color w:val="000000" w:themeColor="text1"/>
                <w:sz w:val="24"/>
                <w14:textFill>
                  <w14:solidFill>
                    <w14:schemeClr w14:val="tx1"/>
                  </w14:solidFill>
                </w14:textFill>
              </w:rPr>
              <w:t>t/a，交由环卫部门清运。</w:t>
            </w:r>
          </w:p>
          <w:p w14:paraId="5BC064AD">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一般工业</w:t>
            </w:r>
            <w:r>
              <w:rPr>
                <w:b/>
                <w:bCs/>
                <w:color w:val="000000" w:themeColor="text1"/>
                <w:sz w:val="24"/>
                <w14:textFill>
                  <w14:solidFill>
                    <w14:schemeClr w14:val="tx1"/>
                  </w14:solidFill>
                </w14:textFill>
              </w:rPr>
              <w:t>固废</w:t>
            </w:r>
          </w:p>
          <w:p w14:paraId="7EE3191C">
            <w:pPr>
              <w:numPr>
                <w:ilvl w:val="0"/>
                <w:numId w:val="13"/>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木材边角料</w:t>
            </w:r>
          </w:p>
          <w:p w14:paraId="69474653">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项目在开料、雕刻工序中会产生木材边角料，根据建设单位提供的资料，其产生量约为35.46t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a，属于一般工业固体废物，交由专业的回收公司处理。</w:t>
            </w:r>
          </w:p>
          <w:p w14:paraId="6E61C16E">
            <w:pPr>
              <w:numPr>
                <w:ilvl w:val="0"/>
                <w:numId w:val="13"/>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金属边角料</w:t>
            </w:r>
          </w:p>
          <w:p w14:paraId="37468CA7">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项目在切割工序中会产生金属边角料，根据建设单位提供的资料，其产生量约为</w:t>
            </w:r>
            <w:r>
              <w:rPr>
                <w:color w:val="000000" w:themeColor="text1"/>
                <w:sz w:val="24"/>
                <w14:textFill>
                  <w14:solidFill>
                    <w14:schemeClr w14:val="tx1"/>
                  </w14:solidFill>
                </w14:textFill>
              </w:rPr>
              <w:t>0.50</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a，属于一般工业固体废物，交由专业的回收公司处理。</w:t>
            </w:r>
          </w:p>
          <w:p w14:paraId="288EA787">
            <w:pPr>
              <w:numPr>
                <w:ilvl w:val="0"/>
                <w:numId w:val="13"/>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包装废物</w:t>
            </w:r>
          </w:p>
          <w:p w14:paraId="03BDBD1D">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根据企业提供的资料，项目在包装工序中原料拆封及产品打包运输是会产生废包装材料，主要为纸箱、塑料绳等，根据建设单位提供的资料，废包装材料产生量为</w:t>
            </w:r>
            <w:r>
              <w:rPr>
                <w:color w:val="000000" w:themeColor="text1"/>
                <w:sz w:val="24"/>
                <w14:textFill>
                  <w14:solidFill>
                    <w14:schemeClr w14:val="tx1"/>
                  </w14:solidFill>
                </w14:textFill>
              </w:rPr>
              <w:t>0.02t/</w:t>
            </w:r>
            <w:r>
              <w:rPr>
                <w:rFonts w:hint="eastAsia"/>
                <w:color w:val="000000" w:themeColor="text1"/>
                <w:sz w:val="24"/>
                <w14:textFill>
                  <w14:solidFill>
                    <w14:schemeClr w14:val="tx1"/>
                  </w14:solidFill>
                </w14:textFill>
              </w:rPr>
              <w:t>a，交由专业的回收公司处理。</w:t>
            </w:r>
          </w:p>
          <w:p w14:paraId="210CB790">
            <w:pPr>
              <w:numPr>
                <w:ilvl w:val="0"/>
                <w:numId w:val="13"/>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车间地面及布袋除尘器收集到的颗粒物</w:t>
            </w:r>
          </w:p>
          <w:p w14:paraId="7FEAC15C">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根据工程分析的结果，开料、雕刻、打磨、切割、焊接工序废气处理装置收集到的颗粒物量为2.04t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a，车间地面收集到的颗粒物量为1.93t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a，合计3.97t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a，主要为木屑粉尘和金属粉尘，属于一般固体废物，经收集后交由业的回收公司处理。</w:t>
            </w:r>
          </w:p>
          <w:p w14:paraId="03C7C5A4">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（3）危险废物</w:t>
            </w:r>
          </w:p>
          <w:p w14:paraId="21F5E95D">
            <w:pPr>
              <w:numPr>
                <w:ilvl w:val="0"/>
                <w:numId w:val="14"/>
              </w:numPr>
              <w:spacing w:line="360" w:lineRule="auto"/>
              <w:ind w:firstLine="482"/>
              <w:rPr>
                <w:b/>
                <w:bCs/>
                <w:color w:val="000000" w:themeColor="text1"/>
                <w14:textFill>
                  <w14:solidFill>
                    <w14:schemeClr w14:val="tx1"/>
                  </w14:solidFill>
                </w14:textFill>
              </w:rPr>
            </w:pPr>
            <w:r>
              <w:rPr>
                <w:b/>
                <w:bCs/>
                <w:color w:val="000000" w:themeColor="text1"/>
                <w:sz w:val="24"/>
                <w14:textFill>
                  <w14:solidFill>
                    <w14:schemeClr w14:val="tx1"/>
                  </w14:solidFill>
                </w14:textFill>
              </w:rPr>
              <w:t xml:space="preserve">废活性炭 </w:t>
            </w:r>
          </w:p>
          <w:p w14:paraId="0FE4FB36">
            <w:pPr>
              <w:adjustRightInd w:val="0"/>
              <w:spacing w:line="360" w:lineRule="auto"/>
              <w:ind w:firstLine="480" w:firstLineChars="200"/>
              <w:textAlignment w:val="baseline"/>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项目设置一套“喷淋塔+过滤除雾器+二级活性炭吸附”装置处理</w:t>
            </w:r>
            <w:r>
              <w:rPr>
                <w:bCs/>
                <w:color w:val="000000" w:themeColor="text1"/>
                <w:sz w:val="24"/>
                <w14:textFill>
                  <w14:solidFill>
                    <w14:schemeClr w14:val="tx1"/>
                  </w14:solidFill>
                </w14:textFill>
              </w:rPr>
              <w:t>有机废气，活性炭需定期更换。</w:t>
            </w:r>
          </w:p>
          <w:p w14:paraId="3D61CE22">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项目采用了活性炭吸附装置处理产生的有机废气，活性炭吸附一段时间后饱和，需要更换，活性炭吸附装置主要参数见下表。根据</w:t>
            </w:r>
            <w:r>
              <w:rPr>
                <w:rFonts w:hint="eastAsia"/>
                <w:color w:val="000000" w:themeColor="text1"/>
                <w:sz w:val="24"/>
                <w14:textFill>
                  <w14:solidFill>
                    <w14:schemeClr w14:val="tx1"/>
                  </w14:solidFill>
                </w14:textFill>
              </w:rPr>
              <w:t>《广东省生态环境厅关于印发工业源挥发性有机物和氮氧化物减排量核算方法的通知》（粤环函〔2023〕538号）</w:t>
            </w:r>
            <w:r>
              <w:rPr>
                <w:color w:val="000000" w:themeColor="text1"/>
                <w:sz w:val="24"/>
                <w14:textFill>
                  <w14:solidFill>
                    <w14:schemeClr w14:val="tx1"/>
                  </w14:solidFill>
                </w14:textFill>
              </w:rPr>
              <w:t>，活性炭</w:t>
            </w:r>
            <w:r>
              <w:rPr>
                <w:rFonts w:hint="eastAsia"/>
                <w:color w:val="000000" w:themeColor="text1"/>
                <w:sz w:val="24"/>
                <w14:textFill>
                  <w14:solidFill>
                    <w14:schemeClr w14:val="tx1"/>
                  </w14:solidFill>
                </w14:textFill>
              </w:rPr>
              <w:t>吸附比例取15%。</w:t>
            </w:r>
          </w:p>
          <w:p w14:paraId="6C2DC21E">
            <w:pPr>
              <w:widowControl/>
              <w:spacing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表4-20  项目活性炭吸附情况一览表</w:t>
            </w:r>
          </w:p>
          <w:tbl>
            <w:tblPr>
              <w:tblStyle w:val="40"/>
              <w:tblW w:w="5000" w:type="pct"/>
              <w:tblInd w:w="0" w:type="dxa"/>
              <w:tblLayout w:type="fixed"/>
              <w:tblCellMar>
                <w:top w:w="0" w:type="dxa"/>
                <w:left w:w="57" w:type="dxa"/>
                <w:bottom w:w="0" w:type="dxa"/>
                <w:right w:w="57" w:type="dxa"/>
              </w:tblCellMar>
            </w:tblPr>
            <w:tblGrid>
              <w:gridCol w:w="913"/>
              <w:gridCol w:w="1024"/>
              <w:gridCol w:w="1033"/>
              <w:gridCol w:w="924"/>
              <w:gridCol w:w="1069"/>
              <w:gridCol w:w="1071"/>
              <w:gridCol w:w="1071"/>
              <w:gridCol w:w="1071"/>
            </w:tblGrid>
            <w:tr w14:paraId="42AFAE74">
              <w:tblPrEx>
                <w:tblCellMar>
                  <w:top w:w="0" w:type="dxa"/>
                  <w:left w:w="57" w:type="dxa"/>
                  <w:bottom w:w="0" w:type="dxa"/>
                  <w:right w:w="57" w:type="dxa"/>
                </w:tblCellMar>
              </w:tblPrEx>
              <w:trPr>
                <w:trHeight w:val="363" w:hRule="atLeast"/>
              </w:trPr>
              <w:tc>
                <w:tcPr>
                  <w:tcW w:w="558" w:type="pct"/>
                  <w:vMerge w:val="restart"/>
                  <w:tcBorders>
                    <w:top w:val="single" w:color="000000" w:sz="4" w:space="0"/>
                    <w:left w:val="single" w:color="000000" w:sz="4" w:space="0"/>
                    <w:bottom w:val="single" w:color="000000" w:sz="4" w:space="0"/>
                    <w:right w:val="single" w:color="000000" w:sz="4" w:space="0"/>
                  </w:tcBorders>
                  <w:vAlign w:val="center"/>
                </w:tcPr>
                <w:p w14:paraId="327CFBF3">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产排污环节</w:t>
                  </w:r>
                </w:p>
              </w:tc>
              <w:tc>
                <w:tcPr>
                  <w:tcW w:w="626" w:type="pct"/>
                  <w:vMerge w:val="restart"/>
                  <w:tcBorders>
                    <w:top w:val="single" w:color="000000" w:sz="4" w:space="0"/>
                    <w:left w:val="single" w:color="000000" w:sz="4" w:space="0"/>
                    <w:bottom w:val="single" w:color="000000" w:sz="4" w:space="0"/>
                    <w:right w:val="single" w:color="000000" w:sz="4" w:space="0"/>
                  </w:tcBorders>
                  <w:vAlign w:val="center"/>
                </w:tcPr>
                <w:p w14:paraId="7FDA6746">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污染源</w:t>
                  </w:r>
                </w:p>
              </w:tc>
              <w:tc>
                <w:tcPr>
                  <w:tcW w:w="632" w:type="pct"/>
                  <w:vMerge w:val="restart"/>
                  <w:tcBorders>
                    <w:top w:val="single" w:color="000000" w:sz="4" w:space="0"/>
                    <w:left w:val="single" w:color="000000" w:sz="4" w:space="0"/>
                    <w:bottom w:val="single" w:color="000000" w:sz="4" w:space="0"/>
                    <w:right w:val="single" w:color="000000" w:sz="4" w:space="0"/>
                  </w:tcBorders>
                  <w:vAlign w:val="center"/>
                </w:tcPr>
                <w:p w14:paraId="78B8EC00">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有机废气总产生量（</w:t>
                  </w:r>
                  <w:r>
                    <w:rPr>
                      <w:b/>
                      <w:bCs/>
                      <w:color w:val="000000" w:themeColor="text1"/>
                      <w:lang w:bidi="ar"/>
                      <w14:textFill>
                        <w14:solidFill>
                          <w14:schemeClr w14:val="tx1"/>
                        </w14:solidFill>
                      </w14:textFill>
                    </w:rPr>
                    <w:t>t/a</w:t>
                  </w:r>
                  <w:r>
                    <w:rPr>
                      <w:rFonts w:hint="eastAsia"/>
                      <w:b/>
                      <w:bCs/>
                      <w:color w:val="000000" w:themeColor="text1"/>
                      <w:lang w:bidi="ar"/>
                      <w14:textFill>
                        <w14:solidFill>
                          <w14:schemeClr w14:val="tx1"/>
                        </w14:solidFill>
                      </w14:textFill>
                    </w:rPr>
                    <w:t>）</w:t>
                  </w:r>
                </w:p>
              </w:tc>
              <w:tc>
                <w:tcPr>
                  <w:tcW w:w="565" w:type="pct"/>
                  <w:vMerge w:val="restart"/>
                  <w:tcBorders>
                    <w:top w:val="single" w:color="000000" w:sz="4" w:space="0"/>
                    <w:left w:val="single" w:color="000000" w:sz="4" w:space="0"/>
                    <w:bottom w:val="single" w:color="000000" w:sz="4" w:space="0"/>
                    <w:right w:val="single" w:color="000000" w:sz="4" w:space="0"/>
                  </w:tcBorders>
                  <w:vAlign w:val="center"/>
                </w:tcPr>
                <w:p w14:paraId="6942BAB4">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废气收集效率</w:t>
                  </w:r>
                </w:p>
              </w:tc>
              <w:tc>
                <w:tcPr>
                  <w:tcW w:w="654" w:type="pct"/>
                  <w:vMerge w:val="restart"/>
                  <w:tcBorders>
                    <w:top w:val="single" w:color="000000" w:sz="4" w:space="0"/>
                    <w:left w:val="single" w:color="000000" w:sz="4" w:space="0"/>
                    <w:bottom w:val="single" w:color="000000" w:sz="4" w:space="0"/>
                    <w:right w:val="single" w:color="000000" w:sz="4" w:space="0"/>
                  </w:tcBorders>
                  <w:vAlign w:val="center"/>
                </w:tcPr>
                <w:p w14:paraId="40016B39">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废气治理效率</w:t>
                  </w:r>
                </w:p>
              </w:tc>
              <w:tc>
                <w:tcPr>
                  <w:tcW w:w="1965" w:type="pct"/>
                  <w:gridSpan w:val="3"/>
                  <w:tcBorders>
                    <w:top w:val="single" w:color="000000" w:sz="4" w:space="0"/>
                    <w:left w:val="single" w:color="000000" w:sz="4" w:space="0"/>
                    <w:bottom w:val="single" w:color="000000" w:sz="4" w:space="0"/>
                    <w:right w:val="single" w:color="000000" w:sz="4" w:space="0"/>
                  </w:tcBorders>
                  <w:vAlign w:val="center"/>
                </w:tcPr>
                <w:p w14:paraId="117B4FC3">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活性炭吸附情况</w:t>
                  </w:r>
                </w:p>
              </w:tc>
            </w:tr>
            <w:tr w14:paraId="2E218F43">
              <w:tblPrEx>
                <w:tblCellMar>
                  <w:top w:w="0" w:type="dxa"/>
                  <w:left w:w="57" w:type="dxa"/>
                  <w:bottom w:w="0" w:type="dxa"/>
                  <w:right w:w="57" w:type="dxa"/>
                </w:tblCellMar>
              </w:tblPrEx>
              <w:trPr>
                <w:trHeight w:val="701" w:hRule="atLeast"/>
              </w:trPr>
              <w:tc>
                <w:tcPr>
                  <w:tcW w:w="558" w:type="pct"/>
                  <w:vMerge w:val="continue"/>
                  <w:tcBorders>
                    <w:top w:val="single" w:color="000000" w:sz="4" w:space="0"/>
                    <w:left w:val="single" w:color="000000" w:sz="4" w:space="0"/>
                    <w:bottom w:val="single" w:color="000000" w:sz="4" w:space="0"/>
                    <w:right w:val="single" w:color="000000" w:sz="4" w:space="0"/>
                  </w:tcBorders>
                  <w:vAlign w:val="center"/>
                </w:tcPr>
                <w:p w14:paraId="68C45DF9">
                  <w:pPr>
                    <w:widowControl/>
                    <w:jc w:val="center"/>
                    <w:textAlignment w:val="center"/>
                    <w:rPr>
                      <w:b/>
                      <w:bCs/>
                      <w:color w:val="7030A0"/>
                      <w:lang w:bidi="ar"/>
                    </w:rPr>
                  </w:pPr>
                </w:p>
              </w:tc>
              <w:tc>
                <w:tcPr>
                  <w:tcW w:w="626" w:type="pct"/>
                  <w:vMerge w:val="continue"/>
                  <w:tcBorders>
                    <w:top w:val="single" w:color="000000" w:sz="4" w:space="0"/>
                    <w:left w:val="single" w:color="000000" w:sz="4" w:space="0"/>
                    <w:bottom w:val="single" w:color="000000" w:sz="4" w:space="0"/>
                    <w:right w:val="single" w:color="000000" w:sz="4" w:space="0"/>
                  </w:tcBorders>
                  <w:vAlign w:val="center"/>
                </w:tcPr>
                <w:p w14:paraId="5055FE63">
                  <w:pPr>
                    <w:widowControl/>
                    <w:jc w:val="center"/>
                    <w:textAlignment w:val="center"/>
                    <w:rPr>
                      <w:b/>
                      <w:bCs/>
                      <w:color w:val="7030A0"/>
                      <w:lang w:bidi="ar"/>
                    </w:rPr>
                  </w:pPr>
                </w:p>
              </w:tc>
              <w:tc>
                <w:tcPr>
                  <w:tcW w:w="632" w:type="pct"/>
                  <w:vMerge w:val="continue"/>
                  <w:tcBorders>
                    <w:top w:val="single" w:color="000000" w:sz="4" w:space="0"/>
                    <w:left w:val="single" w:color="000000" w:sz="4" w:space="0"/>
                    <w:bottom w:val="single" w:color="000000" w:sz="4" w:space="0"/>
                    <w:right w:val="single" w:color="000000" w:sz="4" w:space="0"/>
                  </w:tcBorders>
                  <w:vAlign w:val="center"/>
                </w:tcPr>
                <w:p w14:paraId="0E0CE925">
                  <w:pPr>
                    <w:widowControl/>
                    <w:jc w:val="center"/>
                    <w:textAlignment w:val="center"/>
                    <w:rPr>
                      <w:b/>
                      <w:bCs/>
                      <w:color w:val="7030A0"/>
                      <w:lang w:bidi="ar"/>
                    </w:rPr>
                  </w:pPr>
                </w:p>
              </w:tc>
              <w:tc>
                <w:tcPr>
                  <w:tcW w:w="565" w:type="pct"/>
                  <w:vMerge w:val="continue"/>
                  <w:tcBorders>
                    <w:top w:val="single" w:color="000000" w:sz="4" w:space="0"/>
                    <w:left w:val="single" w:color="000000" w:sz="4" w:space="0"/>
                    <w:bottom w:val="single" w:color="000000" w:sz="4" w:space="0"/>
                    <w:right w:val="single" w:color="000000" w:sz="4" w:space="0"/>
                  </w:tcBorders>
                  <w:vAlign w:val="center"/>
                </w:tcPr>
                <w:p w14:paraId="2058E75E">
                  <w:pPr>
                    <w:widowControl/>
                    <w:jc w:val="center"/>
                    <w:textAlignment w:val="center"/>
                    <w:rPr>
                      <w:b/>
                      <w:bCs/>
                      <w:color w:val="7030A0"/>
                      <w:lang w:bidi="ar"/>
                    </w:rPr>
                  </w:pPr>
                </w:p>
              </w:tc>
              <w:tc>
                <w:tcPr>
                  <w:tcW w:w="654" w:type="pct"/>
                  <w:vMerge w:val="continue"/>
                  <w:tcBorders>
                    <w:top w:val="single" w:color="000000" w:sz="4" w:space="0"/>
                    <w:left w:val="single" w:color="000000" w:sz="4" w:space="0"/>
                    <w:bottom w:val="single" w:color="000000" w:sz="4" w:space="0"/>
                    <w:right w:val="single" w:color="000000" w:sz="4" w:space="0"/>
                  </w:tcBorders>
                  <w:vAlign w:val="center"/>
                </w:tcPr>
                <w:p w14:paraId="0DB0BA19">
                  <w:pPr>
                    <w:widowControl/>
                    <w:jc w:val="center"/>
                    <w:textAlignment w:val="center"/>
                    <w:rPr>
                      <w:b/>
                      <w:bCs/>
                      <w:color w:val="000000" w:themeColor="text1"/>
                      <w:lang w:bidi="ar"/>
                      <w14:textFill>
                        <w14:solidFill>
                          <w14:schemeClr w14:val="tx1"/>
                        </w14:solidFill>
                      </w14:textFill>
                    </w:rPr>
                  </w:pPr>
                </w:p>
              </w:tc>
              <w:tc>
                <w:tcPr>
                  <w:tcW w:w="655" w:type="pct"/>
                  <w:tcBorders>
                    <w:top w:val="single" w:color="000000" w:sz="4" w:space="0"/>
                    <w:left w:val="single" w:color="000000" w:sz="4" w:space="0"/>
                    <w:bottom w:val="single" w:color="000000" w:sz="4" w:space="0"/>
                    <w:right w:val="single" w:color="000000" w:sz="4" w:space="0"/>
                  </w:tcBorders>
                  <w:vAlign w:val="center"/>
                </w:tcPr>
                <w:p w14:paraId="4FE0065B">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吸附系数</w:t>
                  </w:r>
                </w:p>
              </w:tc>
              <w:tc>
                <w:tcPr>
                  <w:tcW w:w="655" w:type="pct"/>
                  <w:tcBorders>
                    <w:top w:val="single" w:color="000000" w:sz="4" w:space="0"/>
                    <w:left w:val="single" w:color="000000" w:sz="4" w:space="0"/>
                    <w:bottom w:val="single" w:color="000000" w:sz="4" w:space="0"/>
                    <w:right w:val="single" w:color="000000" w:sz="4" w:space="0"/>
                  </w:tcBorders>
                  <w:vAlign w:val="center"/>
                </w:tcPr>
                <w:p w14:paraId="6060B084">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吸附有机废气的量（</w:t>
                  </w:r>
                  <w:r>
                    <w:rPr>
                      <w:b/>
                      <w:bCs/>
                      <w:color w:val="000000" w:themeColor="text1"/>
                      <w:lang w:bidi="ar"/>
                      <w14:textFill>
                        <w14:solidFill>
                          <w14:schemeClr w14:val="tx1"/>
                        </w14:solidFill>
                      </w14:textFill>
                    </w:rPr>
                    <w:t>t/a</w:t>
                  </w:r>
                  <w:r>
                    <w:rPr>
                      <w:rFonts w:hint="eastAsia"/>
                      <w:b/>
                      <w:bCs/>
                      <w:color w:val="000000" w:themeColor="text1"/>
                      <w:lang w:bidi="ar"/>
                      <w14:textFill>
                        <w14:solidFill>
                          <w14:schemeClr w14:val="tx1"/>
                        </w14:solidFill>
                      </w14:textFill>
                    </w:rPr>
                    <w:t>）</w:t>
                  </w:r>
                </w:p>
              </w:tc>
              <w:tc>
                <w:tcPr>
                  <w:tcW w:w="655" w:type="pct"/>
                  <w:tcBorders>
                    <w:top w:val="single" w:color="000000" w:sz="4" w:space="0"/>
                    <w:left w:val="single" w:color="000000" w:sz="4" w:space="0"/>
                    <w:bottom w:val="single" w:color="000000" w:sz="4" w:space="0"/>
                    <w:right w:val="single" w:color="000000" w:sz="4" w:space="0"/>
                  </w:tcBorders>
                  <w:vAlign w:val="center"/>
                </w:tcPr>
                <w:p w14:paraId="7860A186">
                  <w:pPr>
                    <w:widowControl/>
                    <w:jc w:val="center"/>
                    <w:textAlignment w:val="center"/>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理论活性炭用量（</w:t>
                  </w:r>
                  <w:r>
                    <w:rPr>
                      <w:b/>
                      <w:bCs/>
                      <w:color w:val="000000" w:themeColor="text1"/>
                      <w:lang w:bidi="ar"/>
                      <w14:textFill>
                        <w14:solidFill>
                          <w14:schemeClr w14:val="tx1"/>
                        </w14:solidFill>
                      </w14:textFill>
                    </w:rPr>
                    <w:t>t/a</w:t>
                  </w:r>
                  <w:r>
                    <w:rPr>
                      <w:rFonts w:hint="eastAsia"/>
                      <w:b/>
                      <w:bCs/>
                      <w:color w:val="000000" w:themeColor="text1"/>
                      <w:lang w:bidi="ar"/>
                      <w14:textFill>
                        <w14:solidFill>
                          <w14:schemeClr w14:val="tx1"/>
                        </w14:solidFill>
                      </w14:textFill>
                    </w:rPr>
                    <w:t>）</w:t>
                  </w:r>
                </w:p>
              </w:tc>
            </w:tr>
            <w:tr w14:paraId="3C49E264">
              <w:tblPrEx>
                <w:tblCellMar>
                  <w:top w:w="0" w:type="dxa"/>
                  <w:left w:w="57" w:type="dxa"/>
                  <w:bottom w:w="0" w:type="dxa"/>
                  <w:right w:w="57" w:type="dxa"/>
                </w:tblCellMar>
              </w:tblPrEx>
              <w:trPr>
                <w:trHeight w:val="320" w:hRule="atLeast"/>
              </w:trPr>
              <w:tc>
                <w:tcPr>
                  <w:tcW w:w="558" w:type="pct"/>
                  <w:tcBorders>
                    <w:top w:val="single" w:color="000000" w:sz="4" w:space="0"/>
                    <w:left w:val="single" w:color="000000" w:sz="4" w:space="0"/>
                    <w:bottom w:val="single" w:color="000000" w:sz="4" w:space="0"/>
                    <w:right w:val="single" w:color="000000" w:sz="4" w:space="0"/>
                  </w:tcBorders>
                  <w:vAlign w:val="center"/>
                </w:tcPr>
                <w:p w14:paraId="5881C14C">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喷漆、晾干</w:t>
                  </w:r>
                </w:p>
              </w:tc>
              <w:tc>
                <w:tcPr>
                  <w:tcW w:w="626" w:type="pct"/>
                  <w:tcBorders>
                    <w:top w:val="single" w:color="000000" w:sz="4" w:space="0"/>
                    <w:left w:val="single" w:color="000000" w:sz="4" w:space="0"/>
                    <w:bottom w:val="single" w:color="000000" w:sz="4" w:space="0"/>
                    <w:right w:val="single" w:color="000000" w:sz="4" w:space="0"/>
                  </w:tcBorders>
                  <w:vAlign w:val="center"/>
                </w:tcPr>
                <w:p w14:paraId="04E17726">
                  <w:pPr>
                    <w:widowControl/>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DA00</w:t>
                  </w:r>
                  <w:r>
                    <w:rPr>
                      <w:rFonts w:hint="eastAsia"/>
                      <w:color w:val="000000" w:themeColor="text1"/>
                      <w:lang w:bidi="ar"/>
                      <w14:textFill>
                        <w14:solidFill>
                          <w14:schemeClr w14:val="tx1"/>
                        </w14:solidFill>
                      </w14:textFill>
                    </w:rPr>
                    <w:t>2</w:t>
                  </w:r>
                </w:p>
              </w:tc>
              <w:tc>
                <w:tcPr>
                  <w:tcW w:w="632" w:type="pct"/>
                  <w:tcBorders>
                    <w:top w:val="single" w:color="000000" w:sz="4" w:space="0"/>
                    <w:left w:val="single" w:color="000000" w:sz="4" w:space="0"/>
                    <w:bottom w:val="single" w:color="000000" w:sz="4" w:space="0"/>
                    <w:right w:val="single" w:color="000000" w:sz="4" w:space="0"/>
                  </w:tcBorders>
                  <w:vAlign w:val="center"/>
                </w:tcPr>
                <w:p w14:paraId="58A4ADEB">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3.275</w:t>
                  </w:r>
                </w:p>
              </w:tc>
              <w:tc>
                <w:tcPr>
                  <w:tcW w:w="565" w:type="pct"/>
                  <w:tcBorders>
                    <w:top w:val="single" w:color="000000" w:sz="4" w:space="0"/>
                    <w:left w:val="single" w:color="000000" w:sz="4" w:space="0"/>
                    <w:bottom w:val="single" w:color="000000" w:sz="4" w:space="0"/>
                    <w:right w:val="single" w:color="000000" w:sz="4" w:space="0"/>
                  </w:tcBorders>
                  <w:vAlign w:val="center"/>
                </w:tcPr>
                <w:p w14:paraId="40B0E44B">
                  <w:pPr>
                    <w:widowControl/>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90%</w:t>
                  </w:r>
                </w:p>
              </w:tc>
              <w:tc>
                <w:tcPr>
                  <w:tcW w:w="654" w:type="pct"/>
                  <w:tcBorders>
                    <w:top w:val="single" w:color="000000" w:sz="4" w:space="0"/>
                    <w:left w:val="single" w:color="000000" w:sz="4" w:space="0"/>
                    <w:bottom w:val="single" w:color="000000" w:sz="4" w:space="0"/>
                    <w:right w:val="single" w:color="000000" w:sz="4" w:space="0"/>
                  </w:tcBorders>
                  <w:vAlign w:val="center"/>
                </w:tcPr>
                <w:p w14:paraId="5D32D581">
                  <w:pPr>
                    <w:widowControl/>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80%</w:t>
                  </w:r>
                </w:p>
              </w:tc>
              <w:tc>
                <w:tcPr>
                  <w:tcW w:w="655" w:type="pct"/>
                  <w:tcBorders>
                    <w:top w:val="single" w:color="000000" w:sz="4" w:space="0"/>
                    <w:left w:val="single" w:color="000000" w:sz="4" w:space="0"/>
                    <w:bottom w:val="single" w:color="000000" w:sz="4" w:space="0"/>
                    <w:right w:val="single" w:color="000000" w:sz="4" w:space="0"/>
                  </w:tcBorders>
                  <w:vAlign w:val="center"/>
                </w:tcPr>
                <w:p w14:paraId="0235A1EA">
                  <w:pPr>
                    <w:widowControl/>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15%</w:t>
                  </w:r>
                </w:p>
              </w:tc>
              <w:tc>
                <w:tcPr>
                  <w:tcW w:w="655" w:type="pct"/>
                  <w:tcBorders>
                    <w:top w:val="single" w:color="000000" w:sz="4" w:space="0"/>
                    <w:left w:val="single" w:color="000000" w:sz="4" w:space="0"/>
                    <w:bottom w:val="single" w:color="000000" w:sz="4" w:space="0"/>
                    <w:right w:val="single" w:color="000000" w:sz="4" w:space="0"/>
                  </w:tcBorders>
                  <w:vAlign w:val="center"/>
                </w:tcPr>
                <w:p w14:paraId="5E913EA2">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2.211</w:t>
                  </w:r>
                </w:p>
              </w:tc>
              <w:tc>
                <w:tcPr>
                  <w:tcW w:w="655" w:type="pct"/>
                  <w:tcBorders>
                    <w:top w:val="single" w:color="000000" w:sz="4" w:space="0"/>
                    <w:left w:val="single" w:color="000000" w:sz="4" w:space="0"/>
                    <w:bottom w:val="single" w:color="000000" w:sz="4" w:space="0"/>
                    <w:right w:val="single" w:color="000000" w:sz="4" w:space="0"/>
                  </w:tcBorders>
                  <w:vAlign w:val="center"/>
                </w:tcPr>
                <w:p w14:paraId="051CC8A4">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14.74</w:t>
                  </w:r>
                </w:p>
              </w:tc>
            </w:tr>
          </w:tbl>
          <w:p w14:paraId="7940E416">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参考《吸附法工业有机废气治理工程技术规范》（</w:t>
            </w:r>
            <w:r>
              <w:rPr>
                <w:color w:val="000000" w:themeColor="text1"/>
                <w:sz w:val="24"/>
                <w14:textFill>
                  <w14:solidFill>
                    <w14:schemeClr w14:val="tx1"/>
                  </w14:solidFill>
                </w14:textFill>
              </w:rPr>
              <w:t>HJ 2026-2013</w:t>
            </w:r>
            <w:r>
              <w:rPr>
                <w:rFonts w:hint="eastAsia"/>
                <w:color w:val="000000" w:themeColor="text1"/>
                <w:sz w:val="24"/>
                <w14:textFill>
                  <w14:solidFill>
                    <w14:schemeClr w14:val="tx1"/>
                  </w14:solidFill>
                </w14:textFill>
              </w:rPr>
              <w:t>），采用蜂窝状活性炭时，气体流速应低于</w:t>
            </w:r>
            <w:r>
              <w:rPr>
                <w:color w:val="000000" w:themeColor="text1"/>
                <w:sz w:val="24"/>
                <w14:textFill>
                  <w14:solidFill>
                    <w14:schemeClr w14:val="tx1"/>
                  </w14:solidFill>
                </w14:textFill>
              </w:rPr>
              <w:t>1.2m/s</w:t>
            </w:r>
            <w:r>
              <w:rPr>
                <w:rFonts w:hint="eastAsia"/>
                <w:color w:val="000000" w:themeColor="text1"/>
                <w:sz w:val="24"/>
                <w14:textFill>
                  <w14:solidFill>
                    <w14:schemeClr w14:val="tx1"/>
                  </w14:solidFill>
                </w14:textFill>
              </w:rPr>
              <w:t>，废气在蜂窝活性炭中的停留时间应维持在</w:t>
            </w:r>
            <w:r>
              <w:rPr>
                <w:color w:val="000000" w:themeColor="text1"/>
                <w:sz w:val="24"/>
                <w14:textFill>
                  <w14:solidFill>
                    <w14:schemeClr w14:val="tx1"/>
                  </w14:solidFill>
                </w14:textFill>
              </w:rPr>
              <w:t>0.5-1</w:t>
            </w:r>
            <w:r>
              <w:rPr>
                <w:rFonts w:hint="eastAsia"/>
                <w:color w:val="000000" w:themeColor="text1"/>
                <w:sz w:val="24"/>
                <w14:textFill>
                  <w14:solidFill>
                    <w14:schemeClr w14:val="tx1"/>
                  </w14:solidFill>
                </w14:textFill>
              </w:rPr>
              <w:t>.0秒之间。项目各个活性炭箱参数如下表。</w:t>
            </w:r>
          </w:p>
          <w:p w14:paraId="497B11E2">
            <w:pPr>
              <w:widowControl/>
              <w:spacing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表4-21  项目活性炭箱设计参数一览表</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4"/>
              <w:gridCol w:w="2674"/>
            </w:tblGrid>
            <w:tr w14:paraId="62021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vMerge w:val="restart"/>
                  <w:tcBorders>
                    <w:top w:val="single" w:color="auto" w:sz="4" w:space="0"/>
                    <w:left w:val="single" w:color="auto" w:sz="4" w:space="0"/>
                    <w:bottom w:val="single" w:color="auto" w:sz="4" w:space="0"/>
                    <w:right w:val="single" w:color="auto" w:sz="4" w:space="0"/>
                  </w:tcBorders>
                  <w:vAlign w:val="center"/>
                </w:tcPr>
                <w:p w14:paraId="1169E88A">
                  <w:pPr>
                    <w:widowControl/>
                    <w:jc w:val="center"/>
                    <w:textAlignment w:val="center"/>
                    <w:rPr>
                      <w:b/>
                      <w:bCs/>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指标名称</w:t>
                  </w:r>
                </w:p>
              </w:tc>
              <w:tc>
                <w:tcPr>
                  <w:tcW w:w="1637" w:type="pct"/>
                  <w:tcBorders>
                    <w:top w:val="single" w:color="auto" w:sz="4" w:space="0"/>
                    <w:left w:val="single" w:color="auto" w:sz="4" w:space="0"/>
                    <w:bottom w:val="single" w:color="auto" w:sz="4" w:space="0"/>
                    <w:right w:val="single" w:color="auto" w:sz="4" w:space="0"/>
                  </w:tcBorders>
                  <w:vAlign w:val="center"/>
                </w:tcPr>
                <w:p w14:paraId="13E7A248">
                  <w:pPr>
                    <w:widowControl/>
                    <w:jc w:val="center"/>
                    <w:textAlignment w:val="center"/>
                    <w:rPr>
                      <w:b/>
                      <w:bCs/>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设计参数</w:t>
                  </w:r>
                </w:p>
              </w:tc>
            </w:tr>
            <w:tr w14:paraId="7A47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vMerge w:val="continue"/>
                  <w:tcBorders>
                    <w:top w:val="single" w:color="auto" w:sz="4" w:space="0"/>
                    <w:left w:val="single" w:color="auto" w:sz="4" w:space="0"/>
                    <w:bottom w:val="single" w:color="auto" w:sz="4" w:space="0"/>
                    <w:right w:val="single" w:color="auto" w:sz="4" w:space="0"/>
                  </w:tcBorders>
                  <w:vAlign w:val="center"/>
                </w:tcPr>
                <w:p w14:paraId="050D060B">
                  <w:pPr>
                    <w:widowControl/>
                    <w:jc w:val="left"/>
                    <w:rPr>
                      <w:b/>
                      <w:bCs/>
                      <w:color w:val="000000" w:themeColor="text1"/>
                      <w14:textFill>
                        <w14:solidFill>
                          <w14:schemeClr w14:val="tx1"/>
                        </w14:solidFill>
                      </w14:textFill>
                    </w:rPr>
                  </w:pPr>
                </w:p>
              </w:tc>
              <w:tc>
                <w:tcPr>
                  <w:tcW w:w="1637" w:type="pct"/>
                  <w:tcBorders>
                    <w:top w:val="single" w:color="auto" w:sz="4" w:space="0"/>
                    <w:left w:val="single" w:color="auto" w:sz="4" w:space="0"/>
                    <w:bottom w:val="single" w:color="auto" w:sz="4" w:space="0"/>
                    <w:right w:val="single" w:color="auto" w:sz="4" w:space="0"/>
                  </w:tcBorders>
                  <w:vAlign w:val="center"/>
                </w:tcPr>
                <w:p w14:paraId="5FAD9029">
                  <w:pPr>
                    <w:widowControl/>
                    <w:jc w:val="center"/>
                    <w:textAlignment w:val="center"/>
                    <w:rPr>
                      <w:b/>
                      <w:bCs/>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喷漆、晾干废气</w:t>
                  </w:r>
                  <w:r>
                    <w:rPr>
                      <w:b/>
                      <w:bCs/>
                      <w:color w:val="000000" w:themeColor="text1"/>
                      <w:lang w:bidi="ar"/>
                      <w14:textFill>
                        <w14:solidFill>
                          <w14:schemeClr w14:val="tx1"/>
                        </w14:solidFill>
                      </w14:textFill>
                    </w:rPr>
                    <w:t>DA00</w:t>
                  </w:r>
                  <w:r>
                    <w:rPr>
                      <w:rFonts w:hint="eastAsia"/>
                      <w:b/>
                      <w:bCs/>
                      <w:color w:val="000000" w:themeColor="text1"/>
                      <w:lang w:bidi="ar"/>
                      <w14:textFill>
                        <w14:solidFill>
                          <w14:schemeClr w14:val="tx1"/>
                        </w14:solidFill>
                      </w14:textFill>
                    </w:rPr>
                    <w:t>2</w:t>
                  </w:r>
                </w:p>
              </w:tc>
            </w:tr>
            <w:tr w14:paraId="151BA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19B6C07D">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设计处理风量</w:t>
                  </w:r>
                  <w:r>
                    <w:rPr>
                      <w:color w:val="000000" w:themeColor="text1"/>
                      <w:lang w:bidi="ar"/>
                      <w14:textFill>
                        <w14:solidFill>
                          <w14:schemeClr w14:val="tx1"/>
                        </w14:solidFill>
                      </w14:textFill>
                    </w:rPr>
                    <w:t>Q</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m</w:t>
                  </w:r>
                  <w:r>
                    <w:rPr>
                      <w:color w:val="000000" w:themeColor="text1"/>
                      <w:vertAlign w:val="superscript"/>
                      <w:lang w:bidi="ar"/>
                      <w14:textFill>
                        <w14:solidFill>
                          <w14:schemeClr w14:val="tx1"/>
                        </w14:solidFill>
                      </w14:textFill>
                    </w:rPr>
                    <w:t>3</w:t>
                  </w:r>
                  <w:r>
                    <w:rPr>
                      <w:color w:val="000000" w:themeColor="text1"/>
                      <w:lang w:bidi="ar"/>
                      <w14:textFill>
                        <w14:solidFill>
                          <w14:schemeClr w14:val="tx1"/>
                        </w14:solidFill>
                      </w14:textFill>
                    </w:rPr>
                    <w:t>/h</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13032E4A">
                  <w:pPr>
                    <w:widowControl/>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35000</w:t>
                  </w:r>
                </w:p>
              </w:tc>
            </w:tr>
            <w:tr w14:paraId="07D05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6094FC7C">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活性炭箱尺（长</w:t>
                  </w:r>
                  <w:r>
                    <w:rPr>
                      <w:color w:val="000000" w:themeColor="text1"/>
                      <w:lang w:bidi="ar"/>
                      <w14:textFill>
                        <w14:solidFill>
                          <w14:schemeClr w14:val="tx1"/>
                        </w14:solidFill>
                      </w14:textFill>
                    </w:rPr>
                    <w:t>L×</w:t>
                  </w:r>
                  <w:r>
                    <w:rPr>
                      <w:rFonts w:hint="eastAsia"/>
                      <w:color w:val="000000" w:themeColor="text1"/>
                      <w:lang w:bidi="ar"/>
                      <w14:textFill>
                        <w14:solidFill>
                          <w14:schemeClr w14:val="tx1"/>
                        </w14:solidFill>
                      </w14:textFill>
                    </w:rPr>
                    <w:t>宽</w:t>
                  </w:r>
                  <w:r>
                    <w:rPr>
                      <w:color w:val="000000" w:themeColor="text1"/>
                      <w:lang w:bidi="ar"/>
                      <w14:textFill>
                        <w14:solidFill>
                          <w14:schemeClr w14:val="tx1"/>
                        </w14:solidFill>
                      </w14:textFill>
                    </w:rPr>
                    <w:t>B×</w:t>
                  </w:r>
                  <w:r>
                    <w:rPr>
                      <w:rFonts w:hint="eastAsia"/>
                      <w:color w:val="000000" w:themeColor="text1"/>
                      <w:lang w:bidi="ar"/>
                      <w14:textFill>
                        <w14:solidFill>
                          <w14:schemeClr w14:val="tx1"/>
                        </w14:solidFill>
                      </w14:textFill>
                    </w:rPr>
                    <w:t>高</w:t>
                  </w:r>
                  <w:r>
                    <w:rPr>
                      <w:color w:val="000000" w:themeColor="text1"/>
                      <w:lang w:bidi="ar"/>
                      <w14:textFill>
                        <w14:solidFill>
                          <w14:schemeClr w14:val="tx1"/>
                        </w14:solidFill>
                      </w14:textFill>
                    </w:rPr>
                    <w:t>H</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m</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4EA70FF1">
                  <w:pPr>
                    <w:widowControl/>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3.0×2.8×1.5</w:t>
                  </w:r>
                </w:p>
              </w:tc>
            </w:tr>
            <w:tr w14:paraId="62488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5F4E8329">
                  <w:pPr>
                    <w:widowControl/>
                    <w:jc w:val="center"/>
                    <w:textAlignment w:val="center"/>
                    <w:rPr>
                      <w:color w:val="000000" w:themeColor="text1"/>
                      <w:lang w:bidi="ar"/>
                      <w14:textFill>
                        <w14:solidFill>
                          <w14:schemeClr w14:val="tx1"/>
                        </w14:solidFill>
                      </w14:textFill>
                    </w:rPr>
                  </w:pPr>
                  <w:r>
                    <w:rPr>
                      <w:rFonts w:hint="eastAsia"/>
                      <w:color w:val="000000" w:themeColor="text1"/>
                      <w14:textFill>
                        <w14:solidFill>
                          <w14:schemeClr w14:val="tx1"/>
                        </w14:solidFill>
                      </w14:textFill>
                    </w:rPr>
                    <w:t>活性炭削减的</w:t>
                  </w:r>
                  <w:r>
                    <w:rPr>
                      <w:color w:val="000000" w:themeColor="text1"/>
                      <w14:textFill>
                        <w14:solidFill>
                          <w14:schemeClr w14:val="tx1"/>
                        </w14:solidFill>
                      </w14:textFill>
                    </w:rPr>
                    <w:t>VOCs</w:t>
                  </w:r>
                  <w:r>
                    <w:rPr>
                      <w:rFonts w:hint="eastAsia"/>
                      <w:color w:val="000000" w:themeColor="text1"/>
                      <w14:textFill>
                        <w14:solidFill>
                          <w14:schemeClr w14:val="tx1"/>
                        </w14:solidFill>
                      </w14:textFill>
                    </w:rPr>
                    <w:t>浓度</w:t>
                  </w:r>
                  <w:r>
                    <w:rPr>
                      <w:color w:val="000000" w:themeColor="text1"/>
                      <w14:textFill>
                        <w14:solidFill>
                          <w14:schemeClr w14:val="tx1"/>
                        </w14:solidFill>
                      </w14:textFill>
                    </w:rPr>
                    <w:t>C</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620A9D73">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15.99</w:t>
                  </w:r>
                </w:p>
              </w:tc>
            </w:tr>
            <w:tr w14:paraId="7889B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13054D29">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单级活性炭炭层截面积</w:t>
                  </w:r>
                  <w:r>
                    <w:rPr>
                      <w:color w:val="000000" w:themeColor="text1"/>
                      <w:lang w:bidi="ar"/>
                      <w14:textFill>
                        <w14:solidFill>
                          <w14:schemeClr w14:val="tx1"/>
                        </w14:solidFill>
                      </w14:textFill>
                    </w:rPr>
                    <w:t>S</w:t>
                  </w:r>
                  <w:r>
                    <w:rPr>
                      <w:rFonts w:hint="eastAsia"/>
                      <w:color w:val="000000" w:themeColor="text1"/>
                      <w:lang w:bidi="ar"/>
                      <w14:textFill>
                        <w14:solidFill>
                          <w14:schemeClr w14:val="tx1"/>
                        </w14:solidFill>
                      </w14:textFill>
                    </w:rPr>
                    <w:t>（长</w:t>
                  </w:r>
                  <w:r>
                    <w:rPr>
                      <w:color w:val="000000" w:themeColor="text1"/>
                      <w:lang w:bidi="ar"/>
                      <w14:textFill>
                        <w14:solidFill>
                          <w14:schemeClr w14:val="tx1"/>
                        </w14:solidFill>
                      </w14:textFill>
                    </w:rPr>
                    <w:t>L×</w:t>
                  </w:r>
                  <w:r>
                    <w:rPr>
                      <w:rFonts w:hint="eastAsia"/>
                      <w:color w:val="000000" w:themeColor="text1"/>
                      <w:lang w:bidi="ar"/>
                      <w14:textFill>
                        <w14:solidFill>
                          <w14:schemeClr w14:val="tx1"/>
                        </w14:solidFill>
                      </w14:textFill>
                    </w:rPr>
                    <w:t>宽</w:t>
                  </w:r>
                  <w:r>
                    <w:rPr>
                      <w:color w:val="000000" w:themeColor="text1"/>
                      <w:lang w:bidi="ar"/>
                      <w14:textFill>
                        <w14:solidFill>
                          <w14:schemeClr w14:val="tx1"/>
                        </w14:solidFill>
                      </w14:textFill>
                    </w:rPr>
                    <w:t>B</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m</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4D6DD830">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8.40</w:t>
                  </w:r>
                </w:p>
              </w:tc>
            </w:tr>
            <w:tr w14:paraId="1EAB6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56520CE8">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过滤风速</w:t>
                  </w:r>
                  <w:r>
                    <w:rPr>
                      <w:color w:val="000000" w:themeColor="text1"/>
                      <w:lang w:bidi="ar"/>
                      <w14:textFill>
                        <w14:solidFill>
                          <w14:schemeClr w14:val="tx1"/>
                        </w14:solidFill>
                      </w14:textFill>
                    </w:rPr>
                    <w:t>V</w:t>
                  </w:r>
                  <w:r>
                    <w:rPr>
                      <w:rFonts w:hint="eastAsia"/>
                      <w:color w:val="000000" w:themeColor="text1"/>
                      <w:lang w:bidi="ar"/>
                      <w14:textFill>
                        <w14:solidFill>
                          <w14:schemeClr w14:val="tx1"/>
                        </w14:solidFill>
                      </w14:textFill>
                    </w:rPr>
                    <w:t>（</w:t>
                  </w:r>
                  <w:r>
                    <w:rPr>
                      <w:rFonts w:hint="eastAsia"/>
                      <w:bCs/>
                      <w:color w:val="000000" w:themeColor="text1"/>
                      <w14:textFill>
                        <w14:solidFill>
                          <w14:schemeClr w14:val="tx1"/>
                        </w14:solidFill>
                      </w14:textFill>
                    </w:rPr>
                    <w:t>设计处理风量</w:t>
                  </w:r>
                  <w:r>
                    <w:rPr>
                      <w:bCs/>
                      <w:color w:val="000000" w:themeColor="text1"/>
                      <w14:textFill>
                        <w14:solidFill>
                          <w14:schemeClr w14:val="tx1"/>
                        </w14:solidFill>
                      </w14:textFill>
                    </w:rPr>
                    <w:t>m</w:t>
                  </w:r>
                  <w:r>
                    <w:rPr>
                      <w:bCs/>
                      <w:color w:val="000000" w:themeColor="text1"/>
                      <w:vertAlign w:val="superscript"/>
                      <w14:textFill>
                        <w14:solidFill>
                          <w14:schemeClr w14:val="tx1"/>
                        </w14:solidFill>
                      </w14:textFill>
                    </w:rPr>
                    <w:t>3</w:t>
                  </w:r>
                  <w:r>
                    <w:rPr>
                      <w:bCs/>
                      <w:color w:val="000000" w:themeColor="text1"/>
                      <w14:textFill>
                        <w14:solidFill>
                          <w14:schemeClr w14:val="tx1"/>
                        </w14:solidFill>
                      </w14:textFill>
                    </w:rPr>
                    <w:t>/h÷3600s/h÷</w:t>
                  </w:r>
                  <w:r>
                    <w:rPr>
                      <w:rFonts w:hint="eastAsia"/>
                      <w:bCs/>
                      <w:color w:val="000000" w:themeColor="text1"/>
                      <w14:textFill>
                        <w14:solidFill>
                          <w14:schemeClr w14:val="tx1"/>
                        </w14:solidFill>
                      </w14:textFill>
                    </w:rPr>
                    <w:t>截面积</w:t>
                  </w:r>
                  <w:r>
                    <w:rPr>
                      <w:bCs/>
                      <w:color w:val="000000" w:themeColor="text1"/>
                      <w14:textFill>
                        <w14:solidFill>
                          <w14:schemeClr w14:val="tx1"/>
                        </w14:solidFill>
                      </w14:textFill>
                    </w:rPr>
                    <w:t>m</w:t>
                  </w:r>
                  <w:r>
                    <w:rPr>
                      <w:bCs/>
                      <w:color w:val="000000" w:themeColor="text1"/>
                      <w:vertAlign w:val="superscript"/>
                      <w14:textFill>
                        <w14:solidFill>
                          <w14:schemeClr w14:val="tx1"/>
                        </w14:solidFill>
                      </w14:textFill>
                    </w:rPr>
                    <w:t>2</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m/s</w:t>
                  </w:r>
                  <w:r>
                    <w:rPr>
                      <w:rFonts w:hint="eastAsia"/>
                      <w:bCs/>
                      <w:color w:val="000000" w:themeColor="text1"/>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24C604E9">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1.16</w:t>
                  </w:r>
                </w:p>
              </w:tc>
            </w:tr>
            <w:tr w14:paraId="0028B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2FED7368">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堆积密度（</w:t>
                  </w:r>
                  <w:r>
                    <w:rPr>
                      <w:color w:val="000000" w:themeColor="text1"/>
                      <w:lang w:bidi="ar"/>
                      <w14:textFill>
                        <w14:solidFill>
                          <w14:schemeClr w14:val="tx1"/>
                        </w14:solidFill>
                      </w14:textFill>
                    </w:rPr>
                    <w:t>g/cm</w:t>
                  </w:r>
                  <w:r>
                    <w:rPr>
                      <w:color w:val="000000" w:themeColor="text1"/>
                      <w:vertAlign w:val="superscript"/>
                      <w:lang w:bidi="ar"/>
                      <w14:textFill>
                        <w14:solidFill>
                          <w14:schemeClr w14:val="tx1"/>
                        </w14:solidFill>
                      </w14:textFill>
                    </w:rPr>
                    <w:t>3</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43712024">
                  <w:pPr>
                    <w:widowControl/>
                    <w:jc w:val="center"/>
                    <w:textAlignment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0.45</w:t>
                  </w:r>
                </w:p>
              </w:tc>
            </w:tr>
            <w:tr w14:paraId="18B4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35AE87E0">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单级活性炭填充厚度（</w:t>
                  </w:r>
                  <w:r>
                    <w:rPr>
                      <w:color w:val="000000" w:themeColor="text1"/>
                      <w:lang w:bidi="ar"/>
                      <w14:textFill>
                        <w14:solidFill>
                          <w14:schemeClr w14:val="tx1"/>
                        </w14:solidFill>
                      </w14:textFill>
                    </w:rPr>
                    <w:t>m</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039F7CD0">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0.60</w:t>
                  </w:r>
                </w:p>
              </w:tc>
            </w:tr>
            <w:tr w14:paraId="70D97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57057F86">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活性炭形态</w:t>
                  </w:r>
                </w:p>
              </w:tc>
              <w:tc>
                <w:tcPr>
                  <w:tcW w:w="1637" w:type="pct"/>
                  <w:tcBorders>
                    <w:top w:val="single" w:color="auto" w:sz="4" w:space="0"/>
                    <w:left w:val="single" w:color="auto" w:sz="4" w:space="0"/>
                    <w:bottom w:val="single" w:color="auto" w:sz="4" w:space="0"/>
                    <w:right w:val="single" w:color="auto" w:sz="4" w:space="0"/>
                  </w:tcBorders>
                  <w:vAlign w:val="center"/>
                </w:tcPr>
                <w:p w14:paraId="08FA2202">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蜂窝状活性炭</w:t>
                  </w:r>
                </w:p>
              </w:tc>
            </w:tr>
            <w:tr w14:paraId="07FB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62F367E1">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炭层停留时间</w:t>
                  </w:r>
                  <w:r>
                    <w:rPr>
                      <w:rFonts w:hint="eastAsia"/>
                      <w:bCs/>
                      <w:color w:val="000000" w:themeColor="text1"/>
                      <w14:textFill>
                        <w14:solidFill>
                          <w14:schemeClr w14:val="tx1"/>
                        </w14:solidFill>
                      </w14:textFill>
                    </w:rPr>
                    <w:t>（炭层厚度</w:t>
                  </w:r>
                  <w:r>
                    <w:rPr>
                      <w:bCs/>
                      <w:color w:val="000000" w:themeColor="text1"/>
                      <w14:textFill>
                        <w14:solidFill>
                          <w14:schemeClr w14:val="tx1"/>
                        </w14:solidFill>
                      </w14:textFill>
                    </w:rPr>
                    <w:t>m÷</w:t>
                  </w:r>
                  <w:r>
                    <w:rPr>
                      <w:rFonts w:hint="eastAsia"/>
                      <w:bCs/>
                      <w:color w:val="000000" w:themeColor="text1"/>
                      <w14:textFill>
                        <w14:solidFill>
                          <w14:schemeClr w14:val="tx1"/>
                        </w14:solidFill>
                      </w14:textFill>
                    </w:rPr>
                    <w:t>过滤风速</w:t>
                  </w:r>
                  <w:r>
                    <w:rPr>
                      <w:bCs/>
                      <w:color w:val="000000" w:themeColor="text1"/>
                      <w14:textFill>
                        <w14:solidFill>
                          <w14:schemeClr w14:val="tx1"/>
                        </w14:solidFill>
                      </w14:textFill>
                    </w:rPr>
                    <w:t>m/s</w:t>
                  </w:r>
                  <w:r>
                    <w:rPr>
                      <w:rFonts w:hint="eastAsia"/>
                      <w:bCs/>
                      <w:color w:val="000000" w:themeColor="text1"/>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2EE51468">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0.52</w:t>
                  </w:r>
                </w:p>
              </w:tc>
            </w:tr>
            <w:tr w14:paraId="5A12A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5CC16AF8">
                  <w:pPr>
                    <w:ind w:left="560"/>
                    <w:jc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运行时间</w:t>
                  </w:r>
                  <w:r>
                    <w:rPr>
                      <w:color w:val="000000" w:themeColor="text1"/>
                      <w:lang w:bidi="ar"/>
                      <w14:textFill>
                        <w14:solidFill>
                          <w14:schemeClr w14:val="tx1"/>
                        </w14:solidFill>
                      </w14:textFill>
                    </w:rPr>
                    <w:t>T</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h/d</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033196DF">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8.00</w:t>
                  </w:r>
                </w:p>
              </w:tc>
            </w:tr>
            <w:tr w14:paraId="5E7C1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18237619">
                  <w:pPr>
                    <w:ind w:left="560"/>
                    <w:jc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更换周期</w:t>
                  </w:r>
                  <w:r>
                    <w:rPr>
                      <w:rFonts w:eastAsia="微软雅黑"/>
                      <w:color w:val="000000" w:themeColor="text1"/>
                      <w14:textFill>
                        <w14:solidFill>
                          <w14:schemeClr w14:val="tx1"/>
                        </w14:solidFill>
                      </w14:textFill>
                    </w:rPr>
                    <w:t>T</w:t>
                  </w:r>
                  <w:r>
                    <w:rPr>
                      <w:rFonts w:hint="eastAsia" w:eastAsia="微软雅黑"/>
                      <w:color w:val="000000" w:themeColor="text1"/>
                      <w:vertAlign w:val="subscript"/>
                      <w14:textFill>
                        <w14:solidFill>
                          <w14:schemeClr w14:val="tx1"/>
                        </w14:solidFill>
                      </w14:textFill>
                    </w:rPr>
                    <w:t>（</w:t>
                  </w:r>
                  <w:r>
                    <w:rPr>
                      <w:rFonts w:eastAsia="微软雅黑"/>
                      <w:color w:val="000000" w:themeColor="text1"/>
                      <w:vertAlign w:val="subscript"/>
                      <w14:textFill>
                        <w14:solidFill>
                          <w14:schemeClr w14:val="tx1"/>
                        </w14:solidFill>
                      </w14:textFill>
                    </w:rPr>
                    <w:t>d</w:t>
                  </w:r>
                  <w:r>
                    <w:rPr>
                      <w:rFonts w:hint="eastAsia" w:eastAsia="微软雅黑"/>
                      <w:color w:val="000000" w:themeColor="text1"/>
                      <w:vertAlign w:val="subscript"/>
                      <w14:textFill>
                        <w14:solidFill>
                          <w14:schemeClr w14:val="tx1"/>
                        </w14:solidFill>
                      </w14:textFill>
                    </w:rPr>
                    <w:t>）</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d</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23766983">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75</w:t>
                  </w:r>
                </w:p>
              </w:tc>
            </w:tr>
            <w:tr w14:paraId="2C1E0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5A8DD9EA">
                  <w:pPr>
                    <w:ind w:left="560"/>
                    <w:jc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动态吸附量</w:t>
                  </w:r>
                  <w:r>
                    <w:rPr>
                      <w:color w:val="000000" w:themeColor="text1"/>
                      <w:lang w:bidi="ar"/>
                      <w14:textFill>
                        <w14:solidFill>
                          <w14:schemeClr w14:val="tx1"/>
                        </w14:solidFill>
                      </w14:textFill>
                    </w:rPr>
                    <w:t>S</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0EEDC253">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15</w:t>
                  </w:r>
                </w:p>
              </w:tc>
            </w:tr>
            <w:tr w14:paraId="4254D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1764D988">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活性炭填充量</w:t>
                  </w:r>
                  <w:r>
                    <w:rPr>
                      <w:color w:val="000000" w:themeColor="text1"/>
                      <w:lang w:bidi="ar"/>
                      <w14:textFill>
                        <w14:solidFill>
                          <w14:schemeClr w14:val="tx1"/>
                        </w14:solidFill>
                      </w14:textFill>
                    </w:rPr>
                    <w:t>M</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M=C×Q×T×T</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d</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/S%/10</w:t>
                  </w:r>
                  <w:r>
                    <w:rPr>
                      <w:color w:val="000000" w:themeColor="text1"/>
                      <w:vertAlign w:val="superscript"/>
                      <w:lang w:bidi="ar"/>
                      <w14:textFill>
                        <w14:solidFill>
                          <w14:schemeClr w14:val="tx1"/>
                        </w14:solidFill>
                      </w14:textFill>
                    </w:rPr>
                    <w:t>6</w:t>
                  </w:r>
                  <w:r>
                    <w:rPr>
                      <w:rFonts w:hint="eastAsia"/>
                      <w:color w:val="000000" w:themeColor="text1"/>
                      <w:lang w:bidi="ar"/>
                      <w14:textFill>
                        <w14:solidFill>
                          <w14:schemeClr w14:val="tx1"/>
                        </w14:solidFill>
                      </w14:textFill>
                    </w:rPr>
                    <w:t>，</w:t>
                  </w:r>
                  <w:r>
                    <w:rPr>
                      <w:color w:val="000000" w:themeColor="text1"/>
                      <w:lang w:bidi="ar"/>
                      <w14:textFill>
                        <w14:solidFill>
                          <w14:schemeClr w14:val="tx1"/>
                        </w14:solidFill>
                      </w14:textFill>
                    </w:rPr>
                    <w:t>kg</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12FA010A">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2238.9</w:t>
                  </w:r>
                </w:p>
              </w:tc>
            </w:tr>
            <w:tr w14:paraId="3EB8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4C2A2BAB">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活性炭年更换频次</w:t>
                  </w:r>
                </w:p>
              </w:tc>
              <w:tc>
                <w:tcPr>
                  <w:tcW w:w="1637" w:type="pct"/>
                  <w:tcBorders>
                    <w:top w:val="single" w:color="auto" w:sz="4" w:space="0"/>
                    <w:left w:val="single" w:color="auto" w:sz="4" w:space="0"/>
                    <w:bottom w:val="single" w:color="auto" w:sz="4" w:space="0"/>
                    <w:right w:val="single" w:color="auto" w:sz="4" w:space="0"/>
                  </w:tcBorders>
                  <w:vAlign w:val="center"/>
                </w:tcPr>
                <w:p w14:paraId="08DA233B">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4.00</w:t>
                  </w:r>
                </w:p>
              </w:tc>
            </w:tr>
            <w:tr w14:paraId="1B502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4488D42F">
                  <w:pPr>
                    <w:widowControl/>
                    <w:jc w:val="center"/>
                    <w:textAlignment w:val="center"/>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废活性炭更换量（</w:t>
                  </w:r>
                  <w:r>
                    <w:rPr>
                      <w:color w:val="000000" w:themeColor="text1"/>
                      <w:lang w:bidi="ar"/>
                      <w14:textFill>
                        <w14:solidFill>
                          <w14:schemeClr w14:val="tx1"/>
                        </w14:solidFill>
                      </w14:textFill>
                    </w:rPr>
                    <w:t>t/a</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5040EB16">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8.96</w:t>
                  </w:r>
                </w:p>
              </w:tc>
            </w:tr>
            <w:tr w14:paraId="2A53A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6DEBAE0C">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活性炭吸附废气的量</w:t>
                  </w:r>
                </w:p>
              </w:tc>
              <w:tc>
                <w:tcPr>
                  <w:tcW w:w="1637" w:type="pct"/>
                  <w:tcBorders>
                    <w:top w:val="single" w:color="auto" w:sz="4" w:space="0"/>
                    <w:left w:val="single" w:color="auto" w:sz="4" w:space="0"/>
                    <w:bottom w:val="single" w:color="auto" w:sz="4" w:space="0"/>
                    <w:right w:val="single" w:color="auto" w:sz="4" w:space="0"/>
                  </w:tcBorders>
                  <w:vAlign w:val="center"/>
                </w:tcPr>
                <w:p w14:paraId="05810171">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1.34</w:t>
                  </w:r>
                </w:p>
              </w:tc>
            </w:tr>
            <w:tr w14:paraId="661A0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63" w:type="pct"/>
                  <w:tcBorders>
                    <w:top w:val="single" w:color="auto" w:sz="4" w:space="0"/>
                    <w:left w:val="single" w:color="auto" w:sz="4" w:space="0"/>
                    <w:bottom w:val="single" w:color="auto" w:sz="4" w:space="0"/>
                    <w:right w:val="single" w:color="auto" w:sz="4" w:space="0"/>
                  </w:tcBorders>
                  <w:vAlign w:val="center"/>
                </w:tcPr>
                <w:p w14:paraId="66EA155E">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废活性炭量（</w:t>
                  </w:r>
                  <w:r>
                    <w:rPr>
                      <w:color w:val="000000" w:themeColor="text1"/>
                      <w:lang w:bidi="ar"/>
                      <w14:textFill>
                        <w14:solidFill>
                          <w14:schemeClr w14:val="tx1"/>
                        </w14:solidFill>
                      </w14:textFill>
                    </w:rPr>
                    <w:t>t/a</w:t>
                  </w:r>
                  <w:r>
                    <w:rPr>
                      <w:rFonts w:hint="eastAsia"/>
                      <w:color w:val="000000" w:themeColor="text1"/>
                      <w:lang w:bidi="ar"/>
                      <w14:textFill>
                        <w14:solidFill>
                          <w14:schemeClr w14:val="tx1"/>
                        </w14:solidFill>
                      </w14:textFill>
                    </w:rPr>
                    <w:t>）</w:t>
                  </w:r>
                </w:p>
              </w:tc>
              <w:tc>
                <w:tcPr>
                  <w:tcW w:w="1637" w:type="pct"/>
                  <w:tcBorders>
                    <w:top w:val="single" w:color="auto" w:sz="4" w:space="0"/>
                    <w:left w:val="single" w:color="auto" w:sz="4" w:space="0"/>
                    <w:bottom w:val="single" w:color="auto" w:sz="4" w:space="0"/>
                    <w:right w:val="single" w:color="auto" w:sz="4" w:space="0"/>
                  </w:tcBorders>
                  <w:vAlign w:val="center"/>
                </w:tcPr>
                <w:p w14:paraId="3D42B7BA">
                  <w:pPr>
                    <w:widowControl/>
                    <w:jc w:val="center"/>
                    <w:textAlignment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10.30</w:t>
                  </w:r>
                </w:p>
              </w:tc>
            </w:tr>
          </w:tbl>
          <w:p w14:paraId="5371038F">
            <w:pPr>
              <w:adjustRightInd w:val="0"/>
              <w:spacing w:line="360" w:lineRule="auto"/>
              <w:ind w:firstLine="480" w:firstLineChars="200"/>
              <w:textAlignment w:val="baseline"/>
              <w:rPr>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根据上表分析，本项目废活性炭产生总量约10.30</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，属于《国家危险废物名录（2025年版）》中的</w:t>
            </w:r>
            <w:r>
              <w:rPr>
                <w:color w:val="000000" w:themeColor="text1"/>
                <w:sz w:val="24"/>
                <w14:textFill>
                  <w14:solidFill>
                    <w14:schemeClr w14:val="tx1"/>
                  </w14:solidFill>
                </w14:textFill>
              </w:rPr>
              <w:t>HW49</w:t>
            </w:r>
            <w:r>
              <w:rPr>
                <w:rFonts w:hint="eastAsia"/>
                <w:color w:val="000000" w:themeColor="text1"/>
                <w:sz w:val="24"/>
                <w14:textFill>
                  <w14:solidFill>
                    <w14:schemeClr w14:val="tx1"/>
                  </w14:solidFill>
                </w14:textFill>
              </w:rPr>
              <w:t>其他废物（废物代码：</w:t>
            </w:r>
            <w:r>
              <w:rPr>
                <w:color w:val="000000" w:themeColor="text1"/>
                <w:sz w:val="24"/>
                <w14:textFill>
                  <w14:solidFill>
                    <w14:schemeClr w14:val="tx1"/>
                  </w14:solidFill>
                </w14:textFill>
              </w:rPr>
              <w:t>900-039-49</w:t>
            </w:r>
            <w:r>
              <w:rPr>
                <w:rFonts w:hint="eastAsia"/>
                <w:color w:val="000000" w:themeColor="text1"/>
                <w:sz w:val="24"/>
                <w14:textFill>
                  <w14:solidFill>
                    <w14:schemeClr w14:val="tx1"/>
                  </w14:solidFill>
                </w14:textFill>
              </w:rPr>
              <w:t>），收集后交由有危险废物资质单位进行处置。</w:t>
            </w:r>
          </w:p>
          <w:p w14:paraId="5E065487">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废机油</w:t>
            </w:r>
          </w:p>
          <w:p w14:paraId="33E5B6C8">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本项目生产设备数量很少，但需要定期检修、保养，会产生少量更换的废机油，根据建设单位提供的资料，其年产生量约</w:t>
            </w:r>
            <w:r>
              <w:rPr>
                <w:color w:val="000000" w:themeColor="text1"/>
                <w:sz w:val="24"/>
                <w14:textFill>
                  <w14:solidFill>
                    <w14:schemeClr w14:val="tx1"/>
                  </w14:solidFill>
                </w14:textFill>
              </w:rPr>
              <w:t>0.01t</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。废机油属于《国家危险废物名录（2025年版）》中</w:t>
            </w:r>
            <w:r>
              <w:rPr>
                <w:color w:val="000000" w:themeColor="text1"/>
                <w:sz w:val="24"/>
                <w14:textFill>
                  <w14:solidFill>
                    <w14:schemeClr w14:val="tx1"/>
                  </w14:solidFill>
                </w14:textFill>
              </w:rPr>
              <w:t xml:space="preserve">“HW08 </w:t>
            </w:r>
            <w:r>
              <w:rPr>
                <w:rFonts w:hint="eastAsia"/>
                <w:color w:val="000000" w:themeColor="text1"/>
                <w:sz w:val="24"/>
                <w14:textFill>
                  <w14:solidFill>
                    <w14:schemeClr w14:val="tx1"/>
                  </w14:solidFill>
                </w14:textFill>
              </w:rPr>
              <w:t>废矿物油与含矿物油废物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-900-214-08”-“</w:t>
            </w:r>
            <w:r>
              <w:rPr>
                <w:rFonts w:hint="eastAsia"/>
                <w:color w:val="000000" w:themeColor="text1"/>
                <w:sz w:val="24"/>
                <w14:textFill>
                  <w14:solidFill>
                    <w14:schemeClr w14:val="tx1"/>
                  </w14:solidFill>
                </w14:textFill>
              </w:rPr>
              <w:t>车辆、轮船及其它机械维修过程中产生的废发动机油、制动器油、自动变速器油、齿轮油等废润滑油</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 废机油经容器收集后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14:paraId="0EA1D42D">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废机油包装桶</w:t>
            </w:r>
          </w:p>
          <w:p w14:paraId="71557AB1">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根据建设单位提供的资料，废机油桶容器产生量约</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01</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，废机油桶经查属于《国家危险废物名录（</w:t>
            </w:r>
            <w:r>
              <w:rPr>
                <w:color w:val="000000" w:themeColor="text1"/>
                <w:sz w:val="24"/>
                <w14:textFill>
                  <w14:solidFill>
                    <w14:schemeClr w14:val="tx1"/>
                  </w14:solidFill>
                </w14:textFill>
              </w:rPr>
              <w:t>202</w:t>
            </w:r>
            <w:r>
              <w:rPr>
                <w:rFonts w:hint="eastAsia"/>
                <w:color w:val="000000" w:themeColor="text1"/>
                <w:sz w:val="24"/>
                <w14:textFill>
                  <w14:solidFill>
                    <w14:schemeClr w14:val="tx1"/>
                  </w14:solidFill>
                </w14:textFill>
              </w:rPr>
              <w:t>5年版）》中危险废物，废物类别为</w:t>
            </w:r>
            <w:r>
              <w:rPr>
                <w:color w:val="000000" w:themeColor="text1"/>
                <w:sz w:val="24"/>
                <w14:textFill>
                  <w14:solidFill>
                    <w14:schemeClr w14:val="tx1"/>
                  </w14:solidFill>
                </w14:textFill>
              </w:rPr>
              <w:t>“HW49</w:t>
            </w:r>
            <w:r>
              <w:rPr>
                <w:rFonts w:hint="eastAsia"/>
                <w:color w:val="000000" w:themeColor="text1"/>
                <w:sz w:val="24"/>
                <w14:textFill>
                  <w14:solidFill>
                    <w14:schemeClr w14:val="tx1"/>
                  </w14:solidFill>
                </w14:textFill>
              </w:rPr>
              <w:t>其他废物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 xml:space="preserve">-900-041-49”“- </w:t>
            </w:r>
            <w:r>
              <w:rPr>
                <w:rFonts w:hint="eastAsia"/>
                <w:color w:val="000000" w:themeColor="text1"/>
                <w:sz w:val="24"/>
                <w14:textFill>
                  <w14:solidFill>
                    <w14:schemeClr w14:val="tx1"/>
                  </w14:solidFill>
                </w14:textFill>
              </w:rPr>
              <w:t>含有或沾染毒性、感染性危险废物的废弃包装物、容器、过滤吸附介质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。废机油桶经收集后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14:paraId="7750C8EA">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废含机油抹布及手套、废含油漆抹布及手套</w:t>
            </w:r>
          </w:p>
          <w:p w14:paraId="7138B982">
            <w:pPr>
              <w:adjustRightInd w:val="0"/>
              <w:spacing w:line="360" w:lineRule="auto"/>
              <w:ind w:firstLine="480" w:firstLineChars="200"/>
              <w:textAlignment w:val="baseline"/>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本项目含油废抹布及手套产生量</w:t>
            </w:r>
            <w:r>
              <w:rPr>
                <w:bCs/>
                <w:color w:val="000000" w:themeColor="text1"/>
                <w:sz w:val="24"/>
                <w14:textFill>
                  <w14:solidFill>
                    <w14:schemeClr w14:val="tx1"/>
                  </w14:solidFill>
                </w14:textFill>
              </w:rPr>
              <w:t>0.01t/a</w:t>
            </w:r>
            <w:r>
              <w:rPr>
                <w:rFonts w:hint="eastAsia"/>
                <w:bCs/>
                <w:color w:val="000000" w:themeColor="text1"/>
                <w:sz w:val="24"/>
                <w14:textFill>
                  <w14:solidFill>
                    <w14:schemeClr w14:val="tx1"/>
                  </w14:solidFill>
                </w14:textFill>
              </w:rPr>
              <w:t>，属于《国家危险废物名录（</w:t>
            </w:r>
            <w:r>
              <w:rPr>
                <w:bCs/>
                <w:color w:val="000000" w:themeColor="text1"/>
                <w:sz w:val="24"/>
                <w14:textFill>
                  <w14:solidFill>
                    <w14:schemeClr w14:val="tx1"/>
                  </w14:solidFill>
                </w14:textFill>
              </w:rPr>
              <w:t>202</w:t>
            </w:r>
            <w:r>
              <w:rPr>
                <w:rFonts w:hint="eastAsia"/>
                <w:bCs/>
                <w:color w:val="000000" w:themeColor="text1"/>
                <w:sz w:val="24"/>
                <w14:textFill>
                  <w14:solidFill>
                    <w14:schemeClr w14:val="tx1"/>
                  </w14:solidFill>
                </w14:textFill>
              </w:rPr>
              <w:t xml:space="preserve">5年版）》中规定的危险废物，编号为 </w:t>
            </w:r>
            <w:r>
              <w:rPr>
                <w:color w:val="000000" w:themeColor="text1"/>
                <w:sz w:val="24"/>
                <w14:textFill>
                  <w14:solidFill>
                    <w14:schemeClr w14:val="tx1"/>
                  </w14:solidFill>
                </w14:textFill>
              </w:rPr>
              <w:t>HW49</w:t>
            </w:r>
            <w:r>
              <w:rPr>
                <w:rFonts w:hint="eastAsia"/>
                <w:bCs/>
                <w:color w:val="000000" w:themeColor="text1"/>
                <w:sz w:val="24"/>
                <w14:textFill>
                  <w14:solidFill>
                    <w14:schemeClr w14:val="tx1"/>
                  </w14:solidFill>
                </w14:textFill>
              </w:rPr>
              <w:t>，废物代号：</w:t>
            </w:r>
            <w:r>
              <w:rPr>
                <w:bCs/>
                <w:color w:val="000000" w:themeColor="text1"/>
                <w:sz w:val="24"/>
                <w14:textFill>
                  <w14:solidFill>
                    <w14:schemeClr w14:val="tx1"/>
                  </w14:solidFill>
                </w14:textFill>
              </w:rPr>
              <w:t>900-041-49</w:t>
            </w:r>
            <w:r>
              <w:rPr>
                <w:rFonts w:hint="eastAsia"/>
                <w:bCs/>
                <w:color w:val="000000" w:themeColor="text1"/>
                <w:sz w:val="24"/>
                <w14:textFill>
                  <w14:solidFill>
                    <w14:schemeClr w14:val="tx1"/>
                  </w14:solidFill>
                </w14:textFill>
              </w:rPr>
              <w:t>，废含机油抹布及手套、废含油漆抹布及手套经收集后</w:t>
            </w:r>
            <w:r>
              <w:rPr>
                <w:bCs/>
                <w:color w:val="000000" w:themeColor="text1"/>
                <w:sz w:val="24"/>
                <w14:textFill>
                  <w14:solidFill>
                    <w14:schemeClr w14:val="tx1"/>
                  </w14:solidFill>
                </w14:textFill>
              </w:rPr>
              <w:t>暂存于危险废物暂存区，定期危险废物交由有相关</w:t>
            </w:r>
            <w:r>
              <w:rPr>
                <w:rFonts w:hint="eastAsia"/>
                <w:bCs/>
                <w:color w:val="000000" w:themeColor="text1"/>
                <w:sz w:val="24"/>
                <w14:textFill>
                  <w14:solidFill>
                    <w14:schemeClr w14:val="tx1"/>
                  </w14:solidFill>
                </w14:textFill>
              </w:rPr>
              <w:t>危</w:t>
            </w:r>
            <w:r>
              <w:rPr>
                <w:bCs/>
                <w:color w:val="000000" w:themeColor="text1"/>
                <w:sz w:val="24"/>
                <w14:textFill>
                  <w14:solidFill>
                    <w14:schemeClr w14:val="tx1"/>
                  </w14:solidFill>
                </w14:textFill>
              </w:rPr>
              <w:t>险废物经营许可证的单位处置。</w:t>
            </w:r>
          </w:p>
          <w:p w14:paraId="118EE2AE">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干式过滤器废滤料</w:t>
            </w:r>
          </w:p>
          <w:p w14:paraId="319AED20">
            <w:pPr>
              <w:widowControl/>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项目废气</w:t>
            </w:r>
            <w:r>
              <w:rPr>
                <w:rFonts w:hint="eastAsia"/>
                <w:color w:val="000000" w:themeColor="text1"/>
                <w:sz w:val="24"/>
                <w14:textFill>
                  <w14:solidFill>
                    <w14:schemeClr w14:val="tx1"/>
                  </w14:solidFill>
                </w14:textFill>
              </w:rPr>
              <w:t>处理</w:t>
            </w:r>
            <w:r>
              <w:rPr>
                <w:color w:val="000000" w:themeColor="text1"/>
                <w:sz w:val="24"/>
                <w14:textFill>
                  <w14:solidFill>
                    <w14:schemeClr w14:val="tx1"/>
                  </w14:solidFill>
                </w14:textFill>
              </w:rPr>
              <w:t>过程</w:t>
            </w:r>
            <w:r>
              <w:rPr>
                <w:rFonts w:hint="eastAsia"/>
                <w:color w:val="000000" w:themeColor="text1"/>
                <w:sz w:val="24"/>
                <w14:textFill>
                  <w14:solidFill>
                    <w14:schemeClr w14:val="tx1"/>
                  </w14:solidFill>
                </w14:textFill>
              </w:rPr>
              <w:t>“干式过滤器”</w:t>
            </w:r>
            <w:r>
              <w:rPr>
                <w:color w:val="000000" w:themeColor="text1"/>
                <w:sz w:val="24"/>
                <w14:textFill>
                  <w14:solidFill>
                    <w14:schemeClr w14:val="tx1"/>
                  </w14:solidFill>
                </w14:textFill>
              </w:rPr>
              <w:t>需定期更换</w:t>
            </w:r>
            <w:r>
              <w:rPr>
                <w:rFonts w:hint="eastAsia"/>
                <w:color w:val="000000" w:themeColor="text1"/>
                <w:sz w:val="24"/>
                <w14:textFill>
                  <w14:solidFill>
                    <w14:schemeClr w14:val="tx1"/>
                  </w14:solidFill>
                </w14:textFill>
              </w:rPr>
              <w:t>过滤材料</w:t>
            </w:r>
            <w:r>
              <w:rPr>
                <w:color w:val="000000" w:themeColor="text1"/>
                <w:sz w:val="24"/>
                <w14:textFill>
                  <w14:solidFill>
                    <w14:schemeClr w14:val="tx1"/>
                  </w14:solidFill>
                </w14:textFill>
              </w:rPr>
              <w:t>保证过滤效果，预计废过</w:t>
            </w:r>
            <w:r>
              <w:rPr>
                <w:rFonts w:hint="eastAsia"/>
                <w:color w:val="000000" w:themeColor="text1"/>
                <w:sz w:val="24"/>
                <w14:textFill>
                  <w14:solidFill>
                    <w14:schemeClr w14:val="tx1"/>
                  </w14:solidFill>
                </w14:textFill>
              </w:rPr>
              <w:t>废滤料</w:t>
            </w:r>
            <w:r>
              <w:rPr>
                <w:color w:val="000000" w:themeColor="text1"/>
                <w:sz w:val="24"/>
                <w14:textFill>
                  <w14:solidFill>
                    <w14:schemeClr w14:val="tx1"/>
                  </w14:solidFill>
                </w14:textFill>
              </w:rPr>
              <w:t>产生量为0.05t/a，属于危险废物，根据《国家危险废物名录（202</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年版）》，废过滤棉危废类别为HW49，危废代码为900-041-49，定期收集后交由有危险废物处理资质的单位处理。</w:t>
            </w:r>
          </w:p>
          <w:p w14:paraId="28319DD9">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喷漆、晾干废气处理装置喷淋塔更换废水</w:t>
            </w:r>
          </w:p>
          <w:p w14:paraId="12815DC9">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根据工程分析，项目喷淋塔更换废水的产生量为11.68t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a。根据《国家危险废物名录（2025年版）》，废物类别为</w:t>
            </w:r>
            <w:r>
              <w:rPr>
                <w:color w:val="000000" w:themeColor="text1"/>
                <w:sz w:val="24"/>
                <w14:textFill>
                  <w14:solidFill>
                    <w14:schemeClr w14:val="tx1"/>
                  </w14:solidFill>
                </w14:textFill>
              </w:rPr>
              <w:t xml:space="preserve">“HW49 </w:t>
            </w:r>
            <w:r>
              <w:rPr>
                <w:rFonts w:hint="eastAsia"/>
                <w:color w:val="000000" w:themeColor="text1"/>
                <w:sz w:val="24"/>
                <w14:textFill>
                  <w14:solidFill>
                    <w14:schemeClr w14:val="tx1"/>
                  </w14:solidFill>
                </w14:textFill>
              </w:rPr>
              <w:t>其他废物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 xml:space="preserve">-900-041-49”“- </w:t>
            </w:r>
            <w:r>
              <w:rPr>
                <w:rFonts w:hint="eastAsia"/>
                <w:color w:val="000000" w:themeColor="text1"/>
                <w:sz w:val="24"/>
                <w14:textFill>
                  <w14:solidFill>
                    <w14:schemeClr w14:val="tx1"/>
                  </w14:solidFill>
                </w14:textFill>
              </w:rPr>
              <w:t>含有或沾染毒性、感染性危险废物的废弃包装物、容器、过滤吸附介质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14:paraId="07F7943B">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水帘柜更换废水</w:t>
            </w:r>
          </w:p>
          <w:p w14:paraId="3FFE555A">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根据工程分析，项目的水帘柜更换废水的产生量为23.04t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a。根据《国家危险废物名录（2025年版）》，废物类别为</w:t>
            </w:r>
            <w:r>
              <w:rPr>
                <w:color w:val="000000" w:themeColor="text1"/>
                <w:sz w:val="24"/>
                <w14:textFill>
                  <w14:solidFill>
                    <w14:schemeClr w14:val="tx1"/>
                  </w14:solidFill>
                </w14:textFill>
              </w:rPr>
              <w:t>“HW49</w:t>
            </w:r>
            <w:r>
              <w:rPr>
                <w:rFonts w:hint="eastAsia"/>
                <w:color w:val="000000" w:themeColor="text1"/>
                <w:sz w:val="24"/>
                <w14:textFill>
                  <w14:solidFill>
                    <w14:schemeClr w14:val="tx1"/>
                  </w14:solidFill>
                </w14:textFill>
              </w:rPr>
              <w:t>其他废物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 xml:space="preserve">-900-041-49”“- </w:t>
            </w:r>
            <w:r>
              <w:rPr>
                <w:rFonts w:hint="eastAsia"/>
                <w:color w:val="000000" w:themeColor="text1"/>
                <w:sz w:val="24"/>
                <w14:textFill>
                  <w14:solidFill>
                    <w14:schemeClr w14:val="tx1"/>
                  </w14:solidFill>
                </w14:textFill>
              </w:rPr>
              <w:t>含有或沾染毒性、感染性危险废物的废弃包装物、容器、过滤吸附介质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14:paraId="1B1D4732">
            <w:pPr>
              <w:numPr>
                <w:ilvl w:val="0"/>
                <w:numId w:val="14"/>
              </w:numPr>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喷枪清洗废水</w:t>
            </w:r>
          </w:p>
          <w:p w14:paraId="4D411969">
            <w:pPr>
              <w:adjustRightInd w:val="0"/>
              <w:spacing w:line="360" w:lineRule="auto"/>
              <w:ind w:firstLine="480" w:firstLineChars="200"/>
              <w:textAlignment w:val="baseline"/>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清洗</w:t>
            </w:r>
            <w:r>
              <w:rPr>
                <w:bCs/>
                <w:color w:val="000000" w:themeColor="text1"/>
                <w:sz w:val="24"/>
                <w14:textFill>
                  <w14:solidFill>
                    <w14:schemeClr w14:val="tx1"/>
                  </w14:solidFill>
                </w14:textFill>
              </w:rPr>
              <w:t>喷枪</w:t>
            </w:r>
            <w:r>
              <w:rPr>
                <w:rFonts w:hint="eastAsia"/>
                <w:bCs/>
                <w:color w:val="000000" w:themeColor="text1"/>
                <w:sz w:val="24"/>
                <w14:textFill>
                  <w14:solidFill>
                    <w14:schemeClr w14:val="tx1"/>
                  </w14:solidFill>
                </w14:textFill>
              </w:rPr>
              <w:t>时会产生</w:t>
            </w:r>
            <w:r>
              <w:rPr>
                <w:bCs/>
                <w:color w:val="000000" w:themeColor="text1"/>
                <w:sz w:val="24"/>
                <w14:textFill>
                  <w14:solidFill>
                    <w14:schemeClr w14:val="tx1"/>
                  </w14:solidFill>
                </w14:textFill>
              </w:rPr>
              <w:t>清洗废水，产生量约为</w:t>
            </w:r>
            <w:r>
              <w:rPr>
                <w:rFonts w:hint="eastAsia"/>
                <w:bCs/>
                <w:color w:val="000000" w:themeColor="text1"/>
                <w:sz w:val="24"/>
                <w14:textFill>
                  <w14:solidFill>
                    <w14:schemeClr w14:val="tx1"/>
                  </w14:solidFill>
                </w14:textFill>
              </w:rPr>
              <w:t>0.65</w:t>
            </w:r>
            <w:r>
              <w:rPr>
                <w:bCs/>
                <w:color w:val="000000" w:themeColor="text1"/>
                <w:sz w:val="24"/>
                <w14:textFill>
                  <w14:solidFill>
                    <w14:schemeClr w14:val="tx1"/>
                  </w14:solidFill>
                </w14:textFill>
              </w:rPr>
              <w:t>t/a。喷枪清洗废水</w:t>
            </w:r>
            <w:r>
              <w:rPr>
                <w:color w:val="000000" w:themeColor="text1"/>
                <w:sz w:val="24"/>
                <w14:textFill>
                  <w14:solidFill>
                    <w14:schemeClr w14:val="tx1"/>
                  </w14:solidFill>
                </w14:textFill>
              </w:rPr>
              <w:t>根据《国家危险废物名录</w:t>
            </w:r>
            <w:r>
              <w:rPr>
                <w:rFonts w:hint="eastAsia"/>
                <w:color w:val="000000" w:themeColor="text1"/>
                <w:sz w:val="24"/>
                <w14:textFill>
                  <w14:solidFill>
                    <w14:schemeClr w14:val="tx1"/>
                  </w14:solidFill>
                </w14:textFill>
              </w:rPr>
              <w:t>（2025年版）</w:t>
            </w:r>
            <w:r>
              <w:rPr>
                <w:color w:val="000000" w:themeColor="text1"/>
                <w:sz w:val="24"/>
                <w14:textFill>
                  <w14:solidFill>
                    <w14:schemeClr w14:val="tx1"/>
                  </w14:solidFill>
                </w14:textFill>
              </w:rPr>
              <w:t>》，属于编号为HW12染料、涂料废物，废物代码为</w:t>
            </w:r>
            <w:r>
              <w:rPr>
                <w:color w:val="000000" w:themeColor="text1"/>
                <w:kern w:val="0"/>
                <w:sz w:val="24"/>
                <w14:textFill>
                  <w14:solidFill>
                    <w14:schemeClr w14:val="tx1"/>
                  </w14:solidFill>
                </w14:textFill>
              </w:rPr>
              <w:t>900-252-12</w:t>
            </w:r>
            <w:r>
              <w:rPr>
                <w:color w:val="000000" w:themeColor="text1"/>
                <w:sz w:val="24"/>
                <w14:textFill>
                  <w14:solidFill>
                    <w14:schemeClr w14:val="tx1"/>
                  </w14:solidFill>
                </w14:textFill>
              </w:rPr>
              <w:t>所列的危险废物，收集后暂存于危废暂存</w:t>
            </w:r>
            <w:r>
              <w:rPr>
                <w:rFonts w:hint="eastAsia"/>
                <w:color w:val="000000" w:themeColor="text1"/>
                <w:sz w:val="24"/>
                <w14:textFill>
                  <w14:solidFill>
                    <w14:schemeClr w14:val="tx1"/>
                  </w14:solidFill>
                </w14:textFill>
              </w:rPr>
              <w:t>仓</w:t>
            </w:r>
            <w:r>
              <w:rPr>
                <w:color w:val="000000" w:themeColor="text1"/>
                <w:sz w:val="24"/>
                <w14:textFill>
                  <w14:solidFill>
                    <w14:schemeClr w14:val="tx1"/>
                  </w14:solidFill>
                </w14:textFill>
              </w:rPr>
              <w:t>，定期交由有危险废物处理资质的单位处理</w:t>
            </w:r>
            <w:r>
              <w:rPr>
                <w:bCs/>
                <w:color w:val="000000" w:themeColor="text1"/>
                <w:sz w:val="24"/>
                <w14:textFill>
                  <w14:solidFill>
                    <w14:schemeClr w14:val="tx1"/>
                  </w14:solidFill>
                </w14:textFill>
              </w:rPr>
              <w:t>作为危险废物，交由有资质的单位回收处理。</w:t>
            </w:r>
          </w:p>
          <w:p w14:paraId="5578BF96">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漆渣</w:t>
            </w:r>
          </w:p>
          <w:p w14:paraId="145AD3A8">
            <w:pPr>
              <w:widowControl/>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根据建设单位提供的资料，项目</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房收集</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废气通过水喷淋处理漆雾。为了保证水喷淋设备的处理效果，需要定期清理漆渣，</w:t>
            </w:r>
            <w:r>
              <w:rPr>
                <w:rFonts w:hint="eastAsia"/>
                <w:color w:val="000000" w:themeColor="text1"/>
                <w:sz w:val="24"/>
                <w14:textFill>
                  <w14:solidFill>
                    <w14:schemeClr w14:val="tx1"/>
                  </w14:solidFill>
                </w14:textFill>
              </w:rPr>
              <w:t>本项目漆雾产生量6.790t/a</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收集率</w:t>
            </w: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，去除率</w:t>
            </w:r>
            <w:r>
              <w:rPr>
                <w:color w:val="000000" w:themeColor="text1"/>
                <w:sz w:val="24"/>
                <w14:textFill>
                  <w14:solidFill>
                    <w14:schemeClr w14:val="tx1"/>
                  </w14:solidFill>
                </w14:textFill>
              </w:rPr>
              <w:t>80%</w:t>
            </w:r>
            <w:r>
              <w:rPr>
                <w:rFonts w:hint="eastAsia"/>
                <w:color w:val="000000" w:themeColor="text1"/>
                <w:sz w:val="24"/>
                <w14:textFill>
                  <w14:solidFill>
                    <w14:schemeClr w14:val="tx1"/>
                  </w14:solidFill>
                </w14:textFill>
              </w:rPr>
              <w:t>，则漆渣产生量为2.97</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本项目使用水性油漆，根据《国家危险废物名录（2025年版）》</w:t>
            </w:r>
            <w:r>
              <w:rPr>
                <w:rFonts w:hint="eastAsia"/>
                <w:color w:val="000000" w:themeColor="text1"/>
                <w:kern w:val="0"/>
                <w:sz w:val="24"/>
                <w14:textFill>
                  <w14:solidFill>
                    <w14:schemeClr w14:val="tx1"/>
                  </w14:solidFill>
                </w14:textFill>
              </w:rPr>
              <w:t>，漆渣属于</w:t>
            </w:r>
            <w:r>
              <w:rPr>
                <w:color w:val="000000" w:themeColor="text1"/>
                <w:sz w:val="24"/>
                <w14:textFill>
                  <w14:solidFill>
                    <w14:schemeClr w14:val="tx1"/>
                  </w14:solidFill>
                </w14:textFill>
              </w:rPr>
              <w:t>HW12染料、涂料废物</w:t>
            </w:r>
            <w:r>
              <w:rPr>
                <w:rFonts w:hint="eastAsia"/>
                <w:color w:val="000000" w:themeColor="text1"/>
                <w:kern w:val="0"/>
                <w:sz w:val="24"/>
                <w14:textFill>
                  <w14:solidFill>
                    <w14:schemeClr w14:val="tx1"/>
                  </w14:solidFill>
                </w14:textFill>
              </w:rPr>
              <w:t>，</w:t>
            </w:r>
            <w:r>
              <w:rPr>
                <w:color w:val="000000" w:themeColor="text1"/>
                <w:sz w:val="24"/>
                <w14:textFill>
                  <w14:solidFill>
                    <w14:schemeClr w14:val="tx1"/>
                  </w14:solidFill>
                </w14:textFill>
              </w:rPr>
              <w:t>废物代码为</w:t>
            </w:r>
            <w:r>
              <w:rPr>
                <w:color w:val="000000" w:themeColor="text1"/>
                <w:kern w:val="0"/>
                <w:sz w:val="24"/>
                <w14:textFill>
                  <w14:solidFill>
                    <w14:schemeClr w14:val="tx1"/>
                  </w14:solidFill>
                </w14:textFill>
              </w:rPr>
              <w:t>900-252-12</w:t>
            </w:r>
            <w:r>
              <w:rPr>
                <w:color w:val="000000" w:themeColor="text1"/>
                <w:sz w:val="24"/>
                <w14:textFill>
                  <w14:solidFill>
                    <w14:schemeClr w14:val="tx1"/>
                  </w14:solidFill>
                </w14:textFill>
              </w:rPr>
              <w:t>所列的危险废物</w:t>
            </w:r>
            <w:r>
              <w:rPr>
                <w:rFonts w:hint="eastAsia"/>
                <w:color w:val="000000" w:themeColor="text1"/>
                <w:sz w:val="24"/>
                <w14:textFill>
                  <w14:solidFill>
                    <w14:schemeClr w14:val="tx1"/>
                  </w14:solidFill>
                </w14:textFill>
              </w:rPr>
              <w:t>，收集</w:t>
            </w:r>
            <w:r>
              <w:rPr>
                <w:color w:val="000000" w:themeColor="text1"/>
                <w:sz w:val="24"/>
                <w14:textFill>
                  <w14:solidFill>
                    <w14:schemeClr w14:val="tx1"/>
                  </w14:solidFill>
                </w14:textFill>
              </w:rPr>
              <w:t>后暂存于危废暂存</w:t>
            </w:r>
            <w:r>
              <w:rPr>
                <w:rFonts w:hint="eastAsia"/>
                <w:color w:val="000000" w:themeColor="text1"/>
                <w:sz w:val="24"/>
                <w14:textFill>
                  <w14:solidFill>
                    <w14:schemeClr w14:val="tx1"/>
                  </w14:solidFill>
                </w14:textFill>
              </w:rPr>
              <w:t>仓</w:t>
            </w:r>
            <w:r>
              <w:rPr>
                <w:color w:val="000000" w:themeColor="text1"/>
                <w:sz w:val="24"/>
                <w14:textFill>
                  <w14:solidFill>
                    <w14:schemeClr w14:val="tx1"/>
                  </w14:solidFill>
                </w14:textFill>
              </w:rPr>
              <w:t>，定期交由有危险废物处理资质的单位处理</w:t>
            </w:r>
            <w:r>
              <w:rPr>
                <w:bCs/>
                <w:color w:val="000000" w:themeColor="text1"/>
                <w:sz w:val="24"/>
                <w14:textFill>
                  <w14:solidFill>
                    <w14:schemeClr w14:val="tx1"/>
                  </w14:solidFill>
                </w14:textFill>
              </w:rPr>
              <w:t>作为危险废物，交由有资质的单位回收处理</w:t>
            </w:r>
            <w:r>
              <w:rPr>
                <w:color w:val="000000" w:themeColor="text1"/>
                <w:sz w:val="24"/>
                <w14:textFill>
                  <w14:solidFill>
                    <w14:schemeClr w14:val="tx1"/>
                  </w14:solidFill>
                </w14:textFill>
              </w:rPr>
              <w:t>。</w:t>
            </w:r>
          </w:p>
          <w:p w14:paraId="7B7698AA">
            <w:pPr>
              <w:numPr>
                <w:ilvl w:val="0"/>
                <w:numId w:val="14"/>
              </w:num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废包装桶</w:t>
            </w:r>
          </w:p>
          <w:p w14:paraId="0FCB9A49">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项目生产过程中使用水性油漆会产生废空桶，根据建设单位提供的资料，产生量约 </w:t>
            </w:r>
            <w:r>
              <w:rPr>
                <w:color w:val="000000" w:themeColor="text1"/>
                <w:sz w:val="24"/>
                <w14:textFill>
                  <w14:solidFill>
                    <w14:schemeClr w14:val="tx1"/>
                  </w14:solidFill>
                </w14:textFill>
              </w:rPr>
              <w:t>0.20t/a</w:t>
            </w:r>
            <w:r>
              <w:rPr>
                <w:rFonts w:hint="eastAsia"/>
                <w:color w:val="000000" w:themeColor="text1"/>
                <w:sz w:val="24"/>
                <w14:textFill>
                  <w14:solidFill>
                    <w14:schemeClr w14:val="tx1"/>
                  </w14:solidFill>
                </w14:textFill>
              </w:rPr>
              <w:t>。根据《国家危险废物名录（2025年版）》，废包装桶归为</w:t>
            </w:r>
            <w:r>
              <w:rPr>
                <w:color w:val="000000" w:themeColor="text1"/>
                <w:sz w:val="24"/>
                <w14:textFill>
                  <w14:solidFill>
                    <w14:schemeClr w14:val="tx1"/>
                  </w14:solidFill>
                </w14:textFill>
              </w:rPr>
              <w:t>HW12染料、涂料废物</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废物代码为900-252-12所列的危险废物</w:t>
            </w:r>
            <w:r>
              <w:rPr>
                <w:rFonts w:hint="eastAsia"/>
                <w:color w:val="000000" w:themeColor="text1"/>
                <w:sz w:val="24"/>
                <w14:textFill>
                  <w14:solidFill>
                    <w14:schemeClr w14:val="tx1"/>
                  </w14:solidFill>
                </w14:textFill>
              </w:rPr>
              <w:t>，收集</w:t>
            </w:r>
            <w:r>
              <w:rPr>
                <w:color w:val="000000" w:themeColor="text1"/>
                <w:sz w:val="24"/>
                <w14:textFill>
                  <w14:solidFill>
                    <w14:schemeClr w14:val="tx1"/>
                  </w14:solidFill>
                </w14:textFill>
              </w:rPr>
              <w:t>后暂存于危废暂存</w:t>
            </w:r>
            <w:r>
              <w:rPr>
                <w:rFonts w:hint="eastAsia"/>
                <w:color w:val="000000" w:themeColor="text1"/>
                <w:sz w:val="24"/>
                <w14:textFill>
                  <w14:solidFill>
                    <w14:schemeClr w14:val="tx1"/>
                  </w14:solidFill>
                </w14:textFill>
              </w:rPr>
              <w:t>仓</w:t>
            </w:r>
            <w:r>
              <w:rPr>
                <w:color w:val="000000" w:themeColor="text1"/>
                <w:sz w:val="24"/>
                <w14:textFill>
                  <w14:solidFill>
                    <w14:schemeClr w14:val="tx1"/>
                  </w14:solidFill>
                </w14:textFill>
              </w:rPr>
              <w:t>，定期交由有危险废物处理资质的单位处理</w:t>
            </w:r>
            <w:r>
              <w:rPr>
                <w:bCs/>
                <w:color w:val="000000" w:themeColor="text1"/>
                <w:sz w:val="24"/>
                <w14:textFill>
                  <w14:solidFill>
                    <w14:schemeClr w14:val="tx1"/>
                  </w14:solidFill>
                </w14:textFill>
              </w:rPr>
              <w:t>作为危险废物，交由有资质的单位回收处理</w:t>
            </w:r>
            <w:r>
              <w:rPr>
                <w:color w:val="000000" w:themeColor="text1"/>
                <w:sz w:val="24"/>
                <w14:textFill>
                  <w14:solidFill>
                    <w14:schemeClr w14:val="tx1"/>
                  </w14:solidFill>
                </w14:textFill>
              </w:rPr>
              <w:t>。</w:t>
            </w:r>
          </w:p>
          <w:p w14:paraId="10EAA4FC">
            <w:pPr>
              <w:widowControl/>
              <w:spacing w:before="156" w:beforeLines="50"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表4-22</w:t>
            </w: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 xml:space="preserve"> 项目</w:t>
            </w:r>
            <w:r>
              <w:rPr>
                <w:b/>
                <w:bCs/>
                <w:color w:val="000000" w:themeColor="text1"/>
                <w:szCs w:val="21"/>
                <w14:textFill>
                  <w14:solidFill>
                    <w14:schemeClr w14:val="tx1"/>
                  </w14:solidFill>
                </w14:textFill>
              </w:rPr>
              <w:t>固体废物</w:t>
            </w:r>
            <w:r>
              <w:rPr>
                <w:rFonts w:hint="eastAsia"/>
                <w:b/>
                <w:bCs/>
                <w:color w:val="000000" w:themeColor="text1"/>
                <w:szCs w:val="21"/>
                <w14:textFill>
                  <w14:solidFill>
                    <w14:schemeClr w14:val="tx1"/>
                  </w14:solidFill>
                </w14:textFill>
              </w:rPr>
              <w:t>汇总表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3"/>
              <w:gridCol w:w="1191"/>
              <w:gridCol w:w="482"/>
              <w:gridCol w:w="674"/>
              <w:gridCol w:w="563"/>
              <w:gridCol w:w="483"/>
              <w:gridCol w:w="508"/>
              <w:gridCol w:w="564"/>
              <w:gridCol w:w="821"/>
              <w:gridCol w:w="568"/>
              <w:gridCol w:w="1083"/>
              <w:gridCol w:w="638"/>
            </w:tblGrid>
            <w:tr w14:paraId="140DE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Align w:val="center"/>
                </w:tcPr>
                <w:p w14:paraId="14C80F7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产生环节</w:t>
                  </w:r>
                </w:p>
              </w:tc>
              <w:tc>
                <w:tcPr>
                  <w:tcW w:w="1191" w:type="dxa"/>
                  <w:vAlign w:val="center"/>
                </w:tcPr>
                <w:p w14:paraId="5A054F38">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482" w:type="dxa"/>
                  <w:vAlign w:val="center"/>
                </w:tcPr>
                <w:p w14:paraId="18BD0A23">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属性</w:t>
                  </w:r>
                </w:p>
              </w:tc>
              <w:tc>
                <w:tcPr>
                  <w:tcW w:w="674" w:type="dxa"/>
                  <w:vAlign w:val="center"/>
                </w:tcPr>
                <w:p w14:paraId="273A9EAF">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废物类别</w:t>
                  </w:r>
                </w:p>
              </w:tc>
              <w:tc>
                <w:tcPr>
                  <w:tcW w:w="563" w:type="dxa"/>
                  <w:vAlign w:val="center"/>
                </w:tcPr>
                <w:p w14:paraId="0EE65B5F">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废物代码</w:t>
                  </w:r>
                </w:p>
              </w:tc>
              <w:tc>
                <w:tcPr>
                  <w:tcW w:w="483" w:type="dxa"/>
                  <w:vAlign w:val="center"/>
                </w:tcPr>
                <w:p w14:paraId="364BFD0A">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主要有害物质</w:t>
                  </w:r>
                </w:p>
              </w:tc>
              <w:tc>
                <w:tcPr>
                  <w:tcW w:w="508" w:type="dxa"/>
                  <w:vAlign w:val="center"/>
                </w:tcPr>
                <w:p w14:paraId="1C3744F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物理性状</w:t>
                  </w:r>
                </w:p>
              </w:tc>
              <w:tc>
                <w:tcPr>
                  <w:tcW w:w="564" w:type="dxa"/>
                  <w:vAlign w:val="center"/>
                </w:tcPr>
                <w:p w14:paraId="0F5CC95D">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环境危险特性</w:t>
                  </w:r>
                </w:p>
              </w:tc>
              <w:tc>
                <w:tcPr>
                  <w:tcW w:w="821" w:type="dxa"/>
                  <w:vAlign w:val="center"/>
                </w:tcPr>
                <w:p w14:paraId="75A5B944">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产生量（t</w:t>
                  </w:r>
                  <w:r>
                    <w:rPr>
                      <w:b/>
                      <w:bCs/>
                      <w:color w:val="000000" w:themeColor="text1"/>
                      <w:szCs w:val="21"/>
                      <w14:textFill>
                        <w14:solidFill>
                          <w14:schemeClr w14:val="tx1"/>
                        </w14:solidFill>
                      </w14:textFill>
                    </w:rPr>
                    <w:t>/a</w:t>
                  </w:r>
                  <w:r>
                    <w:rPr>
                      <w:rFonts w:hint="eastAsia"/>
                      <w:b/>
                      <w:bCs/>
                      <w:color w:val="000000" w:themeColor="text1"/>
                      <w:szCs w:val="21"/>
                      <w14:textFill>
                        <w14:solidFill>
                          <w14:schemeClr w14:val="tx1"/>
                        </w14:solidFill>
                      </w14:textFill>
                    </w:rPr>
                    <w:t>）</w:t>
                  </w:r>
                </w:p>
              </w:tc>
              <w:tc>
                <w:tcPr>
                  <w:tcW w:w="568" w:type="dxa"/>
                  <w:vAlign w:val="center"/>
                </w:tcPr>
                <w:p w14:paraId="71C166A7">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贮存位置</w:t>
                  </w:r>
                </w:p>
              </w:tc>
              <w:tc>
                <w:tcPr>
                  <w:tcW w:w="1083" w:type="dxa"/>
                  <w:vAlign w:val="center"/>
                </w:tcPr>
                <w:p w14:paraId="238C05BD">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利用处置方式和去向</w:t>
                  </w:r>
                </w:p>
              </w:tc>
              <w:tc>
                <w:tcPr>
                  <w:tcW w:w="638" w:type="dxa"/>
                  <w:vAlign w:val="center"/>
                </w:tcPr>
                <w:p w14:paraId="4DC4DAE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处置量(t</w:t>
                  </w:r>
                  <w:r>
                    <w:rPr>
                      <w:b/>
                      <w:bCs/>
                      <w:color w:val="000000" w:themeColor="text1"/>
                      <w:szCs w:val="21"/>
                      <w14:textFill>
                        <w14:solidFill>
                          <w14:schemeClr w14:val="tx1"/>
                        </w14:solidFill>
                      </w14:textFill>
                    </w:rPr>
                    <w:t>/a)</w:t>
                  </w:r>
                </w:p>
              </w:tc>
            </w:tr>
            <w:tr w14:paraId="30947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Align w:val="center"/>
                </w:tcPr>
                <w:p w14:paraId="7413FCE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生活办公</w:t>
                  </w:r>
                </w:p>
              </w:tc>
              <w:tc>
                <w:tcPr>
                  <w:tcW w:w="1191" w:type="dxa"/>
                  <w:vAlign w:val="center"/>
                </w:tcPr>
                <w:p w14:paraId="3DD9716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482" w:type="dxa"/>
                  <w:vAlign w:val="center"/>
                </w:tcPr>
                <w:p w14:paraId="59E117D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生活废物</w:t>
                  </w:r>
                </w:p>
              </w:tc>
              <w:tc>
                <w:tcPr>
                  <w:tcW w:w="674" w:type="dxa"/>
                  <w:vAlign w:val="center"/>
                </w:tcPr>
                <w:p w14:paraId="2B5DA57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63" w:type="dxa"/>
                  <w:vAlign w:val="center"/>
                </w:tcPr>
                <w:p w14:paraId="42A1D62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3" w:type="dxa"/>
                  <w:vAlign w:val="center"/>
                </w:tcPr>
                <w:p w14:paraId="55A206D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vAlign w:val="center"/>
                </w:tcPr>
                <w:p w14:paraId="43ED2A1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7C739E58">
                  <w:pPr>
                    <w:jc w:val="center"/>
                    <w:rPr>
                      <w:color w:val="7030A0"/>
                      <w:szCs w:val="21"/>
                    </w:rPr>
                  </w:pPr>
                  <w:r>
                    <w:rPr>
                      <w:rFonts w:hint="eastAsia"/>
                      <w:color w:val="000000" w:themeColor="text1"/>
                      <w:szCs w:val="21"/>
                      <w14:textFill>
                        <w14:solidFill>
                          <w14:schemeClr w14:val="tx1"/>
                        </w14:solidFill>
                      </w14:textFill>
                    </w:rPr>
                    <w:t>/</w:t>
                  </w:r>
                </w:p>
              </w:tc>
              <w:tc>
                <w:tcPr>
                  <w:tcW w:w="821" w:type="dxa"/>
                  <w:vAlign w:val="center"/>
                </w:tcPr>
                <w:p w14:paraId="7A8EA3C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4.80</w:t>
                  </w:r>
                </w:p>
              </w:tc>
              <w:tc>
                <w:tcPr>
                  <w:tcW w:w="568" w:type="dxa"/>
                  <w:vMerge w:val="restart"/>
                  <w:vAlign w:val="center"/>
                </w:tcPr>
                <w:p w14:paraId="4D2F103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一般固体废物仓库</w:t>
                  </w:r>
                </w:p>
              </w:tc>
              <w:tc>
                <w:tcPr>
                  <w:tcW w:w="1083" w:type="dxa"/>
                  <w:vAlign w:val="center"/>
                </w:tcPr>
                <w:p w14:paraId="218D1978">
                  <w:pPr>
                    <w:jc w:val="center"/>
                    <w:rPr>
                      <w:color w:val="7030A0"/>
                      <w:szCs w:val="21"/>
                    </w:rPr>
                  </w:pPr>
                  <w:r>
                    <w:rPr>
                      <w:rFonts w:hint="eastAsia"/>
                      <w:color w:val="000000" w:themeColor="text1"/>
                      <w:szCs w:val="21"/>
                      <w14:textFill>
                        <w14:solidFill>
                          <w14:schemeClr w14:val="tx1"/>
                        </w14:solidFill>
                      </w14:textFill>
                    </w:rPr>
                    <w:t>环卫部门</w:t>
                  </w:r>
                </w:p>
              </w:tc>
              <w:tc>
                <w:tcPr>
                  <w:tcW w:w="638" w:type="dxa"/>
                  <w:vAlign w:val="center"/>
                </w:tcPr>
                <w:p w14:paraId="3D16D92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4.80</w:t>
                  </w:r>
                </w:p>
              </w:tc>
            </w:tr>
            <w:tr w14:paraId="43C5A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restart"/>
                  <w:vAlign w:val="center"/>
                </w:tcPr>
                <w:p w14:paraId="4A2E044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生产过程</w:t>
                  </w:r>
                </w:p>
              </w:tc>
              <w:tc>
                <w:tcPr>
                  <w:tcW w:w="1191" w:type="dxa"/>
                  <w:vAlign w:val="center"/>
                </w:tcPr>
                <w:p w14:paraId="626728E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木材边角料</w:t>
                  </w:r>
                </w:p>
              </w:tc>
              <w:tc>
                <w:tcPr>
                  <w:tcW w:w="482" w:type="dxa"/>
                  <w:vMerge w:val="restart"/>
                  <w:vAlign w:val="center"/>
                </w:tcPr>
                <w:p w14:paraId="2A9A061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674" w:type="dxa"/>
                  <w:vAlign w:val="center"/>
                </w:tcPr>
                <w:p w14:paraId="71E8226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63" w:type="dxa"/>
                  <w:vAlign w:val="center"/>
                </w:tcPr>
                <w:p w14:paraId="717BB96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3" w:type="dxa"/>
                  <w:vAlign w:val="center"/>
                </w:tcPr>
                <w:p w14:paraId="3284A06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vAlign w:val="center"/>
                </w:tcPr>
                <w:p w14:paraId="250B40C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3BBFE6B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vAlign w:val="center"/>
                </w:tcPr>
                <w:p w14:paraId="4C02893E">
                  <w:pPr>
                    <w:jc w:val="center"/>
                    <w:rPr>
                      <w:color w:val="7030A0"/>
                      <w:szCs w:val="21"/>
                    </w:rPr>
                  </w:pPr>
                  <w:r>
                    <w:rPr>
                      <w:rFonts w:hint="eastAsia"/>
                      <w:color w:val="000000" w:themeColor="text1"/>
                      <w:szCs w:val="21"/>
                      <w14:textFill>
                        <w14:solidFill>
                          <w14:schemeClr w14:val="tx1"/>
                        </w14:solidFill>
                      </w14:textFill>
                    </w:rPr>
                    <w:t>33.46</w:t>
                  </w:r>
                </w:p>
              </w:tc>
              <w:tc>
                <w:tcPr>
                  <w:tcW w:w="568" w:type="dxa"/>
                  <w:vMerge w:val="continue"/>
                  <w:vAlign w:val="center"/>
                </w:tcPr>
                <w:p w14:paraId="1857E10C">
                  <w:pPr>
                    <w:jc w:val="center"/>
                    <w:rPr>
                      <w:color w:val="000000" w:themeColor="text1"/>
                      <w:szCs w:val="21"/>
                      <w14:textFill>
                        <w14:solidFill>
                          <w14:schemeClr w14:val="tx1"/>
                        </w14:solidFill>
                      </w14:textFill>
                    </w:rPr>
                  </w:pPr>
                </w:p>
              </w:tc>
              <w:tc>
                <w:tcPr>
                  <w:tcW w:w="1083" w:type="dxa"/>
                  <w:vMerge w:val="restart"/>
                  <w:vAlign w:val="center"/>
                </w:tcPr>
                <w:p w14:paraId="7E6154CF">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交由专业公司回收处理</w:t>
                  </w:r>
                </w:p>
              </w:tc>
              <w:tc>
                <w:tcPr>
                  <w:tcW w:w="638" w:type="dxa"/>
                  <w:vAlign w:val="center"/>
                </w:tcPr>
                <w:p w14:paraId="76FF860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33.46</w:t>
                  </w:r>
                </w:p>
              </w:tc>
            </w:tr>
            <w:tr w14:paraId="031DD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11669C7C">
                  <w:pPr>
                    <w:jc w:val="center"/>
                    <w:rPr>
                      <w:color w:val="000000" w:themeColor="text1"/>
                      <w:szCs w:val="21"/>
                      <w14:textFill>
                        <w14:solidFill>
                          <w14:schemeClr w14:val="tx1"/>
                        </w14:solidFill>
                      </w14:textFill>
                    </w:rPr>
                  </w:pPr>
                </w:p>
              </w:tc>
              <w:tc>
                <w:tcPr>
                  <w:tcW w:w="1191" w:type="dxa"/>
                  <w:vAlign w:val="center"/>
                </w:tcPr>
                <w:p w14:paraId="288DFD24">
                  <w:pPr>
                    <w:jc w:val="center"/>
                    <w:rPr>
                      <w:color w:val="7030A0"/>
                      <w:szCs w:val="21"/>
                    </w:rPr>
                  </w:pPr>
                  <w:r>
                    <w:rPr>
                      <w:rFonts w:hint="eastAsia"/>
                      <w:color w:val="000000" w:themeColor="text1"/>
                      <w:szCs w:val="21"/>
                      <w14:textFill>
                        <w14:solidFill>
                          <w14:schemeClr w14:val="tx1"/>
                        </w14:solidFill>
                      </w14:textFill>
                    </w:rPr>
                    <w:t>金属边角料</w:t>
                  </w:r>
                </w:p>
              </w:tc>
              <w:tc>
                <w:tcPr>
                  <w:tcW w:w="482" w:type="dxa"/>
                  <w:vMerge w:val="continue"/>
                  <w:vAlign w:val="center"/>
                </w:tcPr>
                <w:p w14:paraId="6A351B7A">
                  <w:pPr>
                    <w:jc w:val="center"/>
                    <w:rPr>
                      <w:color w:val="000000" w:themeColor="text1"/>
                      <w:szCs w:val="21"/>
                      <w14:textFill>
                        <w14:solidFill>
                          <w14:schemeClr w14:val="tx1"/>
                        </w14:solidFill>
                      </w14:textFill>
                    </w:rPr>
                  </w:pPr>
                </w:p>
              </w:tc>
              <w:tc>
                <w:tcPr>
                  <w:tcW w:w="674" w:type="dxa"/>
                  <w:vAlign w:val="center"/>
                </w:tcPr>
                <w:p w14:paraId="126C098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63" w:type="dxa"/>
                  <w:vAlign w:val="center"/>
                </w:tcPr>
                <w:p w14:paraId="55B5B98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3" w:type="dxa"/>
                  <w:vAlign w:val="center"/>
                </w:tcPr>
                <w:p w14:paraId="379B998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vAlign w:val="center"/>
                </w:tcPr>
                <w:p w14:paraId="675DCB4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144D1B1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vAlign w:val="center"/>
                </w:tcPr>
                <w:p w14:paraId="6D15448D">
                  <w:pPr>
                    <w:jc w:val="center"/>
                    <w:rPr>
                      <w:color w:val="7030A0"/>
                      <w:szCs w:val="21"/>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.50</w:t>
                  </w:r>
                </w:p>
              </w:tc>
              <w:tc>
                <w:tcPr>
                  <w:tcW w:w="568" w:type="dxa"/>
                  <w:vMerge w:val="continue"/>
                  <w:vAlign w:val="center"/>
                </w:tcPr>
                <w:p w14:paraId="63F3D772">
                  <w:pPr>
                    <w:jc w:val="center"/>
                    <w:rPr>
                      <w:color w:val="7030A0"/>
                      <w:szCs w:val="21"/>
                    </w:rPr>
                  </w:pPr>
                </w:p>
              </w:tc>
              <w:tc>
                <w:tcPr>
                  <w:tcW w:w="1083" w:type="dxa"/>
                  <w:vMerge w:val="continue"/>
                  <w:vAlign w:val="center"/>
                </w:tcPr>
                <w:p w14:paraId="1C9D24EE">
                  <w:pPr>
                    <w:ind w:left="-84" w:leftChars="-40" w:right="-84" w:rightChars="-40"/>
                    <w:jc w:val="center"/>
                    <w:rPr>
                      <w:color w:val="000000" w:themeColor="text1"/>
                      <w:szCs w:val="21"/>
                      <w14:textFill>
                        <w14:solidFill>
                          <w14:schemeClr w14:val="tx1"/>
                        </w14:solidFill>
                      </w14:textFill>
                    </w:rPr>
                  </w:pPr>
                </w:p>
              </w:tc>
              <w:tc>
                <w:tcPr>
                  <w:tcW w:w="638" w:type="dxa"/>
                  <w:vAlign w:val="center"/>
                </w:tcPr>
                <w:p w14:paraId="539E833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.50</w:t>
                  </w:r>
                </w:p>
              </w:tc>
            </w:tr>
            <w:tr w14:paraId="4C8A2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2AF3BF0E">
                  <w:pPr>
                    <w:jc w:val="center"/>
                    <w:rPr>
                      <w:color w:val="000000" w:themeColor="text1"/>
                      <w:szCs w:val="21"/>
                      <w14:textFill>
                        <w14:solidFill>
                          <w14:schemeClr w14:val="tx1"/>
                        </w14:solidFill>
                      </w14:textFill>
                    </w:rPr>
                  </w:pPr>
                </w:p>
              </w:tc>
              <w:tc>
                <w:tcPr>
                  <w:tcW w:w="1191" w:type="dxa"/>
                  <w:vAlign w:val="center"/>
                </w:tcPr>
                <w:p w14:paraId="63F55421">
                  <w:pPr>
                    <w:jc w:val="center"/>
                    <w:rPr>
                      <w:color w:val="7030A0"/>
                      <w:szCs w:val="21"/>
                    </w:rPr>
                  </w:pPr>
                  <w:r>
                    <w:rPr>
                      <w:rFonts w:hint="eastAsia"/>
                      <w:color w:val="000000" w:themeColor="text1"/>
                      <w:szCs w:val="21"/>
                      <w14:textFill>
                        <w14:solidFill>
                          <w14:schemeClr w14:val="tx1"/>
                        </w14:solidFill>
                      </w14:textFill>
                    </w:rPr>
                    <w:t>包装废物</w:t>
                  </w:r>
                </w:p>
              </w:tc>
              <w:tc>
                <w:tcPr>
                  <w:tcW w:w="482" w:type="dxa"/>
                  <w:vMerge w:val="continue"/>
                  <w:vAlign w:val="center"/>
                </w:tcPr>
                <w:p w14:paraId="55A950E0">
                  <w:pPr>
                    <w:jc w:val="center"/>
                    <w:rPr>
                      <w:color w:val="000000" w:themeColor="text1"/>
                      <w:szCs w:val="21"/>
                      <w14:textFill>
                        <w14:solidFill>
                          <w14:schemeClr w14:val="tx1"/>
                        </w14:solidFill>
                      </w14:textFill>
                    </w:rPr>
                  </w:pPr>
                </w:p>
              </w:tc>
              <w:tc>
                <w:tcPr>
                  <w:tcW w:w="674" w:type="dxa"/>
                  <w:vAlign w:val="center"/>
                </w:tcPr>
                <w:p w14:paraId="5B9087E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63" w:type="dxa"/>
                  <w:vAlign w:val="center"/>
                </w:tcPr>
                <w:p w14:paraId="52B988C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3" w:type="dxa"/>
                  <w:vAlign w:val="center"/>
                </w:tcPr>
                <w:p w14:paraId="32C1CD9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vAlign w:val="center"/>
                </w:tcPr>
                <w:p w14:paraId="4FF88DF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0D6A34F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vAlign w:val="center"/>
                </w:tcPr>
                <w:p w14:paraId="3E7E961D">
                  <w:pPr>
                    <w:jc w:val="center"/>
                    <w:rPr>
                      <w:color w:val="7030A0"/>
                      <w:szCs w:val="21"/>
                    </w:rPr>
                  </w:pPr>
                  <w:r>
                    <w:rPr>
                      <w:color w:val="000000" w:themeColor="text1"/>
                      <w:szCs w:val="21"/>
                      <w14:textFill>
                        <w14:solidFill>
                          <w14:schemeClr w14:val="tx1"/>
                        </w14:solidFill>
                      </w14:textFill>
                    </w:rPr>
                    <w:t>0.02</w:t>
                  </w:r>
                </w:p>
              </w:tc>
              <w:tc>
                <w:tcPr>
                  <w:tcW w:w="568" w:type="dxa"/>
                  <w:vMerge w:val="continue"/>
                  <w:vAlign w:val="center"/>
                </w:tcPr>
                <w:p w14:paraId="19519AB9">
                  <w:pPr>
                    <w:jc w:val="center"/>
                    <w:rPr>
                      <w:color w:val="7030A0"/>
                      <w:szCs w:val="21"/>
                    </w:rPr>
                  </w:pPr>
                </w:p>
              </w:tc>
              <w:tc>
                <w:tcPr>
                  <w:tcW w:w="1083" w:type="dxa"/>
                  <w:vMerge w:val="continue"/>
                  <w:vAlign w:val="center"/>
                </w:tcPr>
                <w:p w14:paraId="6AA969EB">
                  <w:pPr>
                    <w:ind w:left="-84" w:leftChars="-40" w:right="-84" w:rightChars="-40"/>
                    <w:jc w:val="center"/>
                    <w:rPr>
                      <w:color w:val="000000" w:themeColor="text1"/>
                      <w:szCs w:val="21"/>
                      <w14:textFill>
                        <w14:solidFill>
                          <w14:schemeClr w14:val="tx1"/>
                        </w14:solidFill>
                      </w14:textFill>
                    </w:rPr>
                  </w:pPr>
                </w:p>
              </w:tc>
              <w:tc>
                <w:tcPr>
                  <w:tcW w:w="638" w:type="dxa"/>
                  <w:vAlign w:val="center"/>
                </w:tcPr>
                <w:p w14:paraId="00515DD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0.02</w:t>
                  </w:r>
                </w:p>
              </w:tc>
            </w:tr>
            <w:tr w14:paraId="5B4DB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6A68CB6F">
                  <w:pPr>
                    <w:jc w:val="center"/>
                    <w:rPr>
                      <w:color w:val="000000" w:themeColor="text1"/>
                      <w:szCs w:val="21"/>
                      <w14:textFill>
                        <w14:solidFill>
                          <w14:schemeClr w14:val="tx1"/>
                        </w14:solidFill>
                      </w14:textFill>
                    </w:rPr>
                  </w:pPr>
                </w:p>
              </w:tc>
              <w:tc>
                <w:tcPr>
                  <w:tcW w:w="1191" w:type="dxa"/>
                  <w:vAlign w:val="center"/>
                </w:tcPr>
                <w:p w14:paraId="5151444E">
                  <w:pPr>
                    <w:jc w:val="center"/>
                    <w:rPr>
                      <w:color w:val="7030A0"/>
                      <w:szCs w:val="21"/>
                    </w:rPr>
                  </w:pPr>
                  <w:r>
                    <w:rPr>
                      <w:rFonts w:hint="eastAsia"/>
                      <w:color w:val="000000" w:themeColor="text1"/>
                      <w:szCs w:val="21"/>
                      <w14:textFill>
                        <w14:solidFill>
                          <w14:schemeClr w14:val="tx1"/>
                        </w14:solidFill>
                      </w14:textFill>
                    </w:rPr>
                    <w:t>车间地面及布袋除尘器收集到的颗粒物</w:t>
                  </w:r>
                </w:p>
              </w:tc>
              <w:tc>
                <w:tcPr>
                  <w:tcW w:w="482" w:type="dxa"/>
                  <w:vMerge w:val="continue"/>
                  <w:vAlign w:val="center"/>
                </w:tcPr>
                <w:p w14:paraId="35B63C27">
                  <w:pPr>
                    <w:jc w:val="center"/>
                    <w:rPr>
                      <w:color w:val="000000" w:themeColor="text1"/>
                      <w:szCs w:val="21"/>
                      <w14:textFill>
                        <w14:solidFill>
                          <w14:schemeClr w14:val="tx1"/>
                        </w14:solidFill>
                      </w14:textFill>
                    </w:rPr>
                  </w:pPr>
                </w:p>
              </w:tc>
              <w:tc>
                <w:tcPr>
                  <w:tcW w:w="674" w:type="dxa"/>
                  <w:vAlign w:val="center"/>
                </w:tcPr>
                <w:p w14:paraId="2B2E798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63" w:type="dxa"/>
                  <w:vAlign w:val="center"/>
                </w:tcPr>
                <w:p w14:paraId="30F86C2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3" w:type="dxa"/>
                  <w:vAlign w:val="center"/>
                </w:tcPr>
                <w:p w14:paraId="455A250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vAlign w:val="center"/>
                </w:tcPr>
                <w:p w14:paraId="2E4A757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79898230">
                  <w:pPr>
                    <w:jc w:val="center"/>
                    <w:rPr>
                      <w:color w:val="7030A0"/>
                      <w:szCs w:val="21"/>
                    </w:rPr>
                  </w:pPr>
                  <w:r>
                    <w:rPr>
                      <w:rFonts w:hint="eastAsia"/>
                      <w:color w:val="000000" w:themeColor="text1"/>
                      <w:szCs w:val="21"/>
                      <w14:textFill>
                        <w14:solidFill>
                          <w14:schemeClr w14:val="tx1"/>
                        </w14:solidFill>
                      </w14:textFill>
                    </w:rPr>
                    <w:t>/</w:t>
                  </w:r>
                </w:p>
              </w:tc>
              <w:tc>
                <w:tcPr>
                  <w:tcW w:w="821" w:type="dxa"/>
                  <w:vAlign w:val="center"/>
                </w:tcPr>
                <w:p w14:paraId="2B546679">
                  <w:pPr>
                    <w:jc w:val="center"/>
                    <w:rPr>
                      <w:color w:val="7030A0"/>
                      <w:szCs w:val="21"/>
                    </w:rPr>
                  </w:pPr>
                  <w:r>
                    <w:rPr>
                      <w:rFonts w:hint="eastAsia"/>
                      <w:color w:val="000000" w:themeColor="text1"/>
                      <w:szCs w:val="21"/>
                      <w14:textFill>
                        <w14:solidFill>
                          <w14:schemeClr w14:val="tx1"/>
                        </w14:solidFill>
                      </w14:textFill>
                    </w:rPr>
                    <w:t>3.97</w:t>
                  </w:r>
                </w:p>
              </w:tc>
              <w:tc>
                <w:tcPr>
                  <w:tcW w:w="568" w:type="dxa"/>
                  <w:vMerge w:val="continue"/>
                  <w:vAlign w:val="center"/>
                </w:tcPr>
                <w:p w14:paraId="5FEBED52">
                  <w:pPr>
                    <w:jc w:val="center"/>
                    <w:rPr>
                      <w:color w:val="7030A0"/>
                      <w:szCs w:val="21"/>
                    </w:rPr>
                  </w:pPr>
                </w:p>
              </w:tc>
              <w:tc>
                <w:tcPr>
                  <w:tcW w:w="1083" w:type="dxa"/>
                  <w:vMerge w:val="continue"/>
                  <w:vAlign w:val="center"/>
                </w:tcPr>
                <w:p w14:paraId="78FC59EC">
                  <w:pPr>
                    <w:jc w:val="center"/>
                    <w:rPr>
                      <w:color w:val="7030A0"/>
                      <w:szCs w:val="21"/>
                    </w:rPr>
                  </w:pPr>
                </w:p>
              </w:tc>
              <w:tc>
                <w:tcPr>
                  <w:tcW w:w="638" w:type="dxa"/>
                  <w:vAlign w:val="center"/>
                </w:tcPr>
                <w:p w14:paraId="0412AB9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3.97</w:t>
                  </w:r>
                </w:p>
              </w:tc>
            </w:tr>
            <w:tr w14:paraId="697D1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5909939D">
                  <w:pPr>
                    <w:jc w:val="center"/>
                    <w:rPr>
                      <w:color w:val="000000" w:themeColor="text1"/>
                      <w:szCs w:val="21"/>
                      <w14:textFill>
                        <w14:solidFill>
                          <w14:schemeClr w14:val="tx1"/>
                        </w14:solidFill>
                      </w14:textFill>
                    </w:rPr>
                  </w:pPr>
                </w:p>
              </w:tc>
              <w:tc>
                <w:tcPr>
                  <w:tcW w:w="1191" w:type="dxa"/>
                  <w:vAlign w:val="center"/>
                </w:tcPr>
                <w:p w14:paraId="5F70CB3F">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漆渣</w:t>
                  </w:r>
                </w:p>
              </w:tc>
              <w:tc>
                <w:tcPr>
                  <w:tcW w:w="482" w:type="dxa"/>
                  <w:vMerge w:val="restart"/>
                  <w:vAlign w:val="center"/>
                </w:tcPr>
                <w:p w14:paraId="0532083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674" w:type="dxa"/>
                  <w:vAlign w:val="center"/>
                </w:tcPr>
                <w:p w14:paraId="6B7278D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563" w:type="dxa"/>
                  <w:vAlign w:val="center"/>
                </w:tcPr>
                <w:p w14:paraId="21923C1A">
                  <w:pPr>
                    <w:spacing w:line="240" w:lineRule="atLeas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900-252-12</w:t>
                  </w:r>
                </w:p>
              </w:tc>
              <w:tc>
                <w:tcPr>
                  <w:tcW w:w="483" w:type="dxa"/>
                  <w:vAlign w:val="center"/>
                </w:tcPr>
                <w:p w14:paraId="02187842">
                  <w:pPr>
                    <w:spacing w:line="24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vAlign w:val="center"/>
                </w:tcPr>
                <w:p w14:paraId="7FCA2209">
                  <w:pPr>
                    <w:spacing w:line="24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0888BDF8">
                  <w:pPr>
                    <w:spacing w:line="24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vAlign w:val="center"/>
                </w:tcPr>
                <w:p w14:paraId="00EC7F88">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2.97</w:t>
                  </w:r>
                </w:p>
              </w:tc>
              <w:tc>
                <w:tcPr>
                  <w:tcW w:w="568" w:type="dxa"/>
                  <w:vMerge w:val="restart"/>
                  <w:vAlign w:val="center"/>
                </w:tcPr>
                <w:p w14:paraId="0BE52CD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1083" w:type="dxa"/>
                  <w:vMerge w:val="restart"/>
                  <w:vAlign w:val="center"/>
                </w:tcPr>
                <w:p w14:paraId="71F71DC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委托有相应危险废物处理资质的单位统一处置</w:t>
                  </w:r>
                </w:p>
              </w:tc>
              <w:tc>
                <w:tcPr>
                  <w:tcW w:w="638" w:type="dxa"/>
                  <w:vAlign w:val="center"/>
                </w:tcPr>
                <w:p w14:paraId="303E84E5">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2.97</w:t>
                  </w:r>
                </w:p>
              </w:tc>
            </w:tr>
            <w:tr w14:paraId="61825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7E111F1D">
                  <w:pPr>
                    <w:jc w:val="center"/>
                    <w:rPr>
                      <w:color w:val="000000" w:themeColor="text1"/>
                      <w:szCs w:val="21"/>
                      <w14:textFill>
                        <w14:solidFill>
                          <w14:schemeClr w14:val="tx1"/>
                        </w14:solidFill>
                      </w14:textFill>
                    </w:rPr>
                  </w:pPr>
                </w:p>
              </w:tc>
              <w:tc>
                <w:tcPr>
                  <w:tcW w:w="1191" w:type="dxa"/>
                  <w:vAlign w:val="center"/>
                </w:tcPr>
                <w:p w14:paraId="71E38A0D">
                  <w:pPr>
                    <w:ind w:left="-84" w:leftChars="-40" w:right="-84" w:rightChars="-40"/>
                    <w:jc w:val="center"/>
                    <w:rPr>
                      <w:color w:val="7030A0"/>
                      <w:szCs w:val="21"/>
                    </w:rPr>
                  </w:pPr>
                  <w:r>
                    <w:rPr>
                      <w:rFonts w:hint="eastAsia"/>
                      <w:color w:val="000000" w:themeColor="text1"/>
                      <w:szCs w:val="21"/>
                      <w14:textFill>
                        <w14:solidFill>
                          <w14:schemeClr w14:val="tx1"/>
                        </w14:solidFill>
                      </w14:textFill>
                    </w:rPr>
                    <w:t>废包装桶</w:t>
                  </w:r>
                </w:p>
              </w:tc>
              <w:tc>
                <w:tcPr>
                  <w:tcW w:w="482" w:type="dxa"/>
                  <w:vMerge w:val="continue"/>
                  <w:vAlign w:val="center"/>
                </w:tcPr>
                <w:p w14:paraId="413411EE">
                  <w:pPr>
                    <w:jc w:val="center"/>
                    <w:rPr>
                      <w:color w:val="000000" w:themeColor="text1"/>
                      <w:szCs w:val="21"/>
                      <w14:textFill>
                        <w14:solidFill>
                          <w14:schemeClr w14:val="tx1"/>
                        </w14:solidFill>
                      </w14:textFill>
                    </w:rPr>
                  </w:pPr>
                </w:p>
              </w:tc>
              <w:tc>
                <w:tcPr>
                  <w:tcW w:w="674" w:type="dxa"/>
                  <w:vAlign w:val="center"/>
                </w:tcPr>
                <w:p w14:paraId="05A09F0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563" w:type="dxa"/>
                  <w:vAlign w:val="center"/>
                </w:tcPr>
                <w:p w14:paraId="7E01483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900-252-12</w:t>
                  </w:r>
                </w:p>
              </w:tc>
              <w:tc>
                <w:tcPr>
                  <w:tcW w:w="483" w:type="dxa"/>
                  <w:vAlign w:val="center"/>
                </w:tcPr>
                <w:p w14:paraId="123BAE0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vAlign w:val="center"/>
                </w:tcPr>
                <w:p w14:paraId="168F68B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16B0A36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vAlign w:val="center"/>
                </w:tcPr>
                <w:p w14:paraId="11794A03">
                  <w:pPr>
                    <w:ind w:left="-84" w:leftChars="-40" w:right="-84" w:rightChars="-40"/>
                    <w:jc w:val="center"/>
                    <w:rPr>
                      <w:color w:val="7030A0"/>
                      <w:szCs w:val="21"/>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p>
              </w:tc>
              <w:tc>
                <w:tcPr>
                  <w:tcW w:w="568" w:type="dxa"/>
                  <w:vMerge w:val="continue"/>
                  <w:vAlign w:val="center"/>
                </w:tcPr>
                <w:p w14:paraId="75191347">
                  <w:pPr>
                    <w:jc w:val="center"/>
                    <w:rPr>
                      <w:color w:val="7030A0"/>
                      <w:szCs w:val="21"/>
                    </w:rPr>
                  </w:pPr>
                </w:p>
              </w:tc>
              <w:tc>
                <w:tcPr>
                  <w:tcW w:w="1083" w:type="dxa"/>
                  <w:vMerge w:val="continue"/>
                  <w:vAlign w:val="center"/>
                </w:tcPr>
                <w:p w14:paraId="5E0581DA">
                  <w:pPr>
                    <w:jc w:val="center"/>
                    <w:rPr>
                      <w:color w:val="000000" w:themeColor="text1"/>
                      <w:szCs w:val="21"/>
                      <w14:textFill>
                        <w14:solidFill>
                          <w14:schemeClr w14:val="tx1"/>
                        </w14:solidFill>
                      </w14:textFill>
                    </w:rPr>
                  </w:pPr>
                </w:p>
              </w:tc>
              <w:tc>
                <w:tcPr>
                  <w:tcW w:w="638" w:type="dxa"/>
                  <w:vAlign w:val="center"/>
                </w:tcPr>
                <w:p w14:paraId="14537A2A">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p>
              </w:tc>
            </w:tr>
            <w:tr w14:paraId="64EB5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60F55BBB">
                  <w:pPr>
                    <w:jc w:val="center"/>
                    <w:rPr>
                      <w:color w:val="000000" w:themeColor="text1"/>
                      <w:szCs w:val="21"/>
                      <w14:textFill>
                        <w14:solidFill>
                          <w14:schemeClr w14:val="tx1"/>
                        </w14:solidFill>
                      </w14:textFill>
                    </w:rPr>
                  </w:pPr>
                </w:p>
              </w:tc>
              <w:tc>
                <w:tcPr>
                  <w:tcW w:w="1191" w:type="dxa"/>
                  <w:vAlign w:val="center"/>
                </w:tcPr>
                <w:p w14:paraId="3FCD0F11">
                  <w:pPr>
                    <w:jc w:val="center"/>
                    <w:rPr>
                      <w:color w:val="7030A0"/>
                      <w:szCs w:val="21"/>
                    </w:rPr>
                  </w:pPr>
                  <w:r>
                    <w:rPr>
                      <w:rFonts w:hint="eastAsia"/>
                      <w:color w:val="000000" w:themeColor="text1"/>
                      <w:szCs w:val="21"/>
                      <w14:textFill>
                        <w14:solidFill>
                          <w14:schemeClr w14:val="tx1"/>
                        </w14:solidFill>
                      </w14:textFill>
                    </w:rPr>
                    <w:t>水帘柜更换废水</w:t>
                  </w:r>
                </w:p>
              </w:tc>
              <w:tc>
                <w:tcPr>
                  <w:tcW w:w="482" w:type="dxa"/>
                  <w:vMerge w:val="continue"/>
                  <w:vAlign w:val="center"/>
                </w:tcPr>
                <w:p w14:paraId="38C7DBDD">
                  <w:pPr>
                    <w:jc w:val="center"/>
                    <w:rPr>
                      <w:color w:val="000000" w:themeColor="text1"/>
                      <w:szCs w:val="21"/>
                      <w14:textFill>
                        <w14:solidFill>
                          <w14:schemeClr w14:val="tx1"/>
                        </w14:solidFill>
                      </w14:textFill>
                    </w:rPr>
                  </w:pPr>
                </w:p>
              </w:tc>
              <w:tc>
                <w:tcPr>
                  <w:tcW w:w="674" w:type="dxa"/>
                  <w:vAlign w:val="center"/>
                </w:tcPr>
                <w:p w14:paraId="664A7B3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563" w:type="dxa"/>
                  <w:vAlign w:val="center"/>
                </w:tcPr>
                <w:p w14:paraId="52659CD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900-041-49</w:t>
                  </w:r>
                </w:p>
              </w:tc>
              <w:tc>
                <w:tcPr>
                  <w:tcW w:w="483" w:type="dxa"/>
                  <w:vAlign w:val="center"/>
                </w:tcPr>
                <w:p w14:paraId="1F3F806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废涂料</w:t>
                  </w:r>
                </w:p>
              </w:tc>
              <w:tc>
                <w:tcPr>
                  <w:tcW w:w="508" w:type="dxa"/>
                  <w:vAlign w:val="center"/>
                </w:tcPr>
                <w:p w14:paraId="622D0EF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564" w:type="dxa"/>
                  <w:vAlign w:val="center"/>
                </w:tcPr>
                <w:p w14:paraId="75A4BC2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p>
              </w:tc>
              <w:tc>
                <w:tcPr>
                  <w:tcW w:w="821" w:type="dxa"/>
                  <w:vAlign w:val="center"/>
                </w:tcPr>
                <w:p w14:paraId="4BD2FF81">
                  <w:pPr>
                    <w:jc w:val="center"/>
                    <w:rPr>
                      <w:color w:val="7030A0"/>
                      <w:szCs w:val="21"/>
                    </w:rPr>
                  </w:pPr>
                  <w:r>
                    <w:rPr>
                      <w:rFonts w:hint="eastAsia"/>
                      <w:color w:val="000000" w:themeColor="text1"/>
                      <w:szCs w:val="21"/>
                      <w14:textFill>
                        <w14:solidFill>
                          <w14:schemeClr w14:val="tx1"/>
                        </w14:solidFill>
                      </w14:textFill>
                    </w:rPr>
                    <w:t>23.04</w:t>
                  </w:r>
                </w:p>
              </w:tc>
              <w:tc>
                <w:tcPr>
                  <w:tcW w:w="568" w:type="dxa"/>
                  <w:vMerge w:val="continue"/>
                  <w:vAlign w:val="center"/>
                </w:tcPr>
                <w:p w14:paraId="78A0E1E2">
                  <w:pPr>
                    <w:jc w:val="center"/>
                    <w:rPr>
                      <w:color w:val="7030A0"/>
                      <w:szCs w:val="21"/>
                    </w:rPr>
                  </w:pPr>
                </w:p>
              </w:tc>
              <w:tc>
                <w:tcPr>
                  <w:tcW w:w="1083" w:type="dxa"/>
                  <w:vMerge w:val="continue"/>
                  <w:vAlign w:val="center"/>
                </w:tcPr>
                <w:p w14:paraId="4F069C21">
                  <w:pPr>
                    <w:jc w:val="center"/>
                    <w:rPr>
                      <w:color w:val="000000" w:themeColor="text1"/>
                      <w:szCs w:val="21"/>
                      <w14:textFill>
                        <w14:solidFill>
                          <w14:schemeClr w14:val="tx1"/>
                        </w14:solidFill>
                      </w14:textFill>
                    </w:rPr>
                  </w:pPr>
                </w:p>
              </w:tc>
              <w:tc>
                <w:tcPr>
                  <w:tcW w:w="638" w:type="dxa"/>
                  <w:vAlign w:val="center"/>
                </w:tcPr>
                <w:p w14:paraId="4BA06FB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23.04</w:t>
                  </w:r>
                </w:p>
              </w:tc>
            </w:tr>
            <w:tr w14:paraId="10F4E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34C17A23">
                  <w:pPr>
                    <w:jc w:val="center"/>
                    <w:rPr>
                      <w:color w:val="000000" w:themeColor="text1"/>
                      <w:szCs w:val="21"/>
                      <w14:textFill>
                        <w14:solidFill>
                          <w14:schemeClr w14:val="tx1"/>
                        </w14:solidFill>
                      </w14:textFill>
                    </w:rPr>
                  </w:pPr>
                </w:p>
              </w:tc>
              <w:tc>
                <w:tcPr>
                  <w:tcW w:w="1191" w:type="dxa"/>
                  <w:vAlign w:val="center"/>
                </w:tcPr>
                <w:p w14:paraId="7D775CD7">
                  <w:pPr>
                    <w:jc w:val="center"/>
                    <w:rPr>
                      <w:color w:val="7030A0"/>
                      <w:szCs w:val="21"/>
                    </w:rPr>
                  </w:pPr>
                  <w:r>
                    <w:rPr>
                      <w:rFonts w:hint="eastAsia"/>
                      <w:color w:val="000000" w:themeColor="text1"/>
                      <w:szCs w:val="21"/>
                      <w14:textFill>
                        <w14:solidFill>
                          <w14:schemeClr w14:val="tx1"/>
                        </w14:solidFill>
                      </w14:textFill>
                    </w:rPr>
                    <w:t>喷枪清洗废水</w:t>
                  </w:r>
                </w:p>
              </w:tc>
              <w:tc>
                <w:tcPr>
                  <w:tcW w:w="482" w:type="dxa"/>
                  <w:vMerge w:val="continue"/>
                  <w:vAlign w:val="center"/>
                </w:tcPr>
                <w:p w14:paraId="673192EC">
                  <w:pPr>
                    <w:jc w:val="center"/>
                    <w:rPr>
                      <w:color w:val="000000" w:themeColor="text1"/>
                      <w:szCs w:val="21"/>
                      <w14:textFill>
                        <w14:solidFill>
                          <w14:schemeClr w14:val="tx1"/>
                        </w14:solidFill>
                      </w14:textFill>
                    </w:rPr>
                  </w:pPr>
                </w:p>
              </w:tc>
              <w:tc>
                <w:tcPr>
                  <w:tcW w:w="674" w:type="dxa"/>
                  <w:vAlign w:val="center"/>
                </w:tcPr>
                <w:p w14:paraId="73DE5A7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563" w:type="dxa"/>
                  <w:vAlign w:val="center"/>
                </w:tcPr>
                <w:p w14:paraId="3440CB2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900-252-12</w:t>
                  </w:r>
                </w:p>
              </w:tc>
              <w:tc>
                <w:tcPr>
                  <w:tcW w:w="483" w:type="dxa"/>
                  <w:vAlign w:val="center"/>
                </w:tcPr>
                <w:p w14:paraId="34BDE42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废涂料</w:t>
                  </w:r>
                </w:p>
              </w:tc>
              <w:tc>
                <w:tcPr>
                  <w:tcW w:w="508" w:type="dxa"/>
                  <w:vAlign w:val="center"/>
                </w:tcPr>
                <w:p w14:paraId="73E61E8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564" w:type="dxa"/>
                  <w:vAlign w:val="center"/>
                </w:tcPr>
                <w:p w14:paraId="5E2E1EF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p>
              </w:tc>
              <w:tc>
                <w:tcPr>
                  <w:tcW w:w="821" w:type="dxa"/>
                  <w:vAlign w:val="center"/>
                </w:tcPr>
                <w:p w14:paraId="2A680384">
                  <w:pPr>
                    <w:jc w:val="center"/>
                    <w:rPr>
                      <w:color w:val="000000" w:themeColor="text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0.65</w:t>
                  </w:r>
                </w:p>
              </w:tc>
              <w:tc>
                <w:tcPr>
                  <w:tcW w:w="568" w:type="dxa"/>
                  <w:vMerge w:val="continue"/>
                  <w:vAlign w:val="center"/>
                </w:tcPr>
                <w:p w14:paraId="735BA17D">
                  <w:pPr>
                    <w:jc w:val="center"/>
                    <w:rPr>
                      <w:color w:val="7030A0"/>
                      <w:szCs w:val="21"/>
                    </w:rPr>
                  </w:pPr>
                </w:p>
              </w:tc>
              <w:tc>
                <w:tcPr>
                  <w:tcW w:w="1083" w:type="dxa"/>
                  <w:vMerge w:val="continue"/>
                  <w:vAlign w:val="center"/>
                </w:tcPr>
                <w:p w14:paraId="1D4F1DA4">
                  <w:pPr>
                    <w:jc w:val="center"/>
                    <w:rPr>
                      <w:color w:val="000000" w:themeColor="text1"/>
                      <w:szCs w:val="21"/>
                      <w14:textFill>
                        <w14:solidFill>
                          <w14:schemeClr w14:val="tx1"/>
                        </w14:solidFill>
                      </w14:textFill>
                    </w:rPr>
                  </w:pPr>
                </w:p>
              </w:tc>
              <w:tc>
                <w:tcPr>
                  <w:tcW w:w="638" w:type="dxa"/>
                  <w:vAlign w:val="center"/>
                </w:tcPr>
                <w:p w14:paraId="7F30DF56">
                  <w:pPr>
                    <w:jc w:val="center"/>
                    <w:rPr>
                      <w:color w:val="000000" w:themeColor="text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0.65</w:t>
                  </w:r>
                </w:p>
              </w:tc>
            </w:tr>
            <w:tr w14:paraId="5CBA5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restart"/>
                  <w:vAlign w:val="center"/>
                </w:tcPr>
                <w:p w14:paraId="1D509FB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w:t>
                  </w:r>
                </w:p>
              </w:tc>
              <w:tc>
                <w:tcPr>
                  <w:tcW w:w="1191" w:type="dxa"/>
                  <w:vAlign w:val="center"/>
                </w:tcPr>
                <w:p w14:paraId="390BE4FB">
                  <w:pPr>
                    <w:jc w:val="center"/>
                    <w:rPr>
                      <w:color w:val="7030A0"/>
                      <w:szCs w:val="21"/>
                    </w:rPr>
                  </w:pPr>
                  <w:r>
                    <w:rPr>
                      <w:rFonts w:hint="eastAsia"/>
                      <w:color w:val="000000" w:themeColor="text1"/>
                      <w:szCs w:val="21"/>
                      <w14:textFill>
                        <w14:solidFill>
                          <w14:schemeClr w14:val="tx1"/>
                        </w14:solidFill>
                      </w14:textFill>
                    </w:rPr>
                    <w:t>废活性炭</w:t>
                  </w:r>
                </w:p>
              </w:tc>
              <w:tc>
                <w:tcPr>
                  <w:tcW w:w="482" w:type="dxa"/>
                  <w:vMerge w:val="continue"/>
                  <w:vAlign w:val="center"/>
                </w:tcPr>
                <w:p w14:paraId="185C3F30">
                  <w:pPr>
                    <w:jc w:val="center"/>
                    <w:rPr>
                      <w:color w:val="000000" w:themeColor="text1"/>
                      <w:szCs w:val="21"/>
                      <w14:textFill>
                        <w14:solidFill>
                          <w14:schemeClr w14:val="tx1"/>
                        </w14:solidFill>
                      </w14:textFill>
                    </w:rPr>
                  </w:pPr>
                </w:p>
              </w:tc>
              <w:tc>
                <w:tcPr>
                  <w:tcW w:w="674" w:type="dxa"/>
                  <w:vAlign w:val="center"/>
                </w:tcPr>
                <w:p w14:paraId="25F0CB4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563" w:type="dxa"/>
                  <w:vAlign w:val="center"/>
                </w:tcPr>
                <w:p w14:paraId="21B387D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900-039-49</w:t>
                  </w:r>
                </w:p>
              </w:tc>
              <w:tc>
                <w:tcPr>
                  <w:tcW w:w="483" w:type="dxa"/>
                  <w:vAlign w:val="center"/>
                </w:tcPr>
                <w:p w14:paraId="7F6FE2A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活性炭</w:t>
                  </w:r>
                </w:p>
              </w:tc>
              <w:tc>
                <w:tcPr>
                  <w:tcW w:w="508" w:type="dxa"/>
                  <w:vAlign w:val="center"/>
                </w:tcPr>
                <w:p w14:paraId="02580C4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06DC866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p>
              </w:tc>
              <w:tc>
                <w:tcPr>
                  <w:tcW w:w="821" w:type="dxa"/>
                  <w:vAlign w:val="center"/>
                </w:tcPr>
                <w:p w14:paraId="551D834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10.30</w:t>
                  </w:r>
                </w:p>
              </w:tc>
              <w:tc>
                <w:tcPr>
                  <w:tcW w:w="568" w:type="dxa"/>
                  <w:vMerge w:val="continue"/>
                  <w:vAlign w:val="center"/>
                </w:tcPr>
                <w:p w14:paraId="6842F5EE">
                  <w:pPr>
                    <w:jc w:val="center"/>
                    <w:rPr>
                      <w:color w:val="7030A0"/>
                      <w:szCs w:val="21"/>
                    </w:rPr>
                  </w:pPr>
                </w:p>
              </w:tc>
              <w:tc>
                <w:tcPr>
                  <w:tcW w:w="1083" w:type="dxa"/>
                  <w:vMerge w:val="continue"/>
                  <w:vAlign w:val="center"/>
                </w:tcPr>
                <w:p w14:paraId="6BE19BA0">
                  <w:pPr>
                    <w:jc w:val="center"/>
                    <w:rPr>
                      <w:color w:val="000000" w:themeColor="text1"/>
                      <w:szCs w:val="21"/>
                      <w14:textFill>
                        <w14:solidFill>
                          <w14:schemeClr w14:val="tx1"/>
                        </w14:solidFill>
                      </w14:textFill>
                    </w:rPr>
                  </w:pPr>
                </w:p>
              </w:tc>
              <w:tc>
                <w:tcPr>
                  <w:tcW w:w="638" w:type="dxa"/>
                  <w:vAlign w:val="center"/>
                </w:tcPr>
                <w:p w14:paraId="491C461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10.30</w:t>
                  </w:r>
                </w:p>
              </w:tc>
            </w:tr>
            <w:tr w14:paraId="26102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73055A87">
                  <w:pPr>
                    <w:jc w:val="center"/>
                    <w:rPr>
                      <w:color w:val="000000" w:themeColor="text1"/>
                      <w:szCs w:val="21"/>
                      <w14:textFill>
                        <w14:solidFill>
                          <w14:schemeClr w14:val="tx1"/>
                        </w14:solidFill>
                      </w14:textFill>
                    </w:rPr>
                  </w:pPr>
                </w:p>
              </w:tc>
              <w:tc>
                <w:tcPr>
                  <w:tcW w:w="1191" w:type="dxa"/>
                  <w:vAlign w:val="center"/>
                </w:tcPr>
                <w:p w14:paraId="2F6ED186">
                  <w:pPr>
                    <w:jc w:val="center"/>
                    <w:rPr>
                      <w:color w:val="7030A0"/>
                      <w:szCs w:val="21"/>
                    </w:rPr>
                  </w:pPr>
                  <w:r>
                    <w:rPr>
                      <w:rFonts w:hint="eastAsia"/>
                      <w:color w:val="000000" w:themeColor="text1"/>
                      <w:szCs w:val="21"/>
                      <w14:textFill>
                        <w14:solidFill>
                          <w14:schemeClr w14:val="tx1"/>
                        </w14:solidFill>
                      </w14:textFill>
                    </w:rPr>
                    <w:t>喷漆、晾干废气处理装置喷淋塔定期更换废水</w:t>
                  </w:r>
                </w:p>
              </w:tc>
              <w:tc>
                <w:tcPr>
                  <w:tcW w:w="482" w:type="dxa"/>
                  <w:vMerge w:val="continue"/>
                  <w:vAlign w:val="center"/>
                </w:tcPr>
                <w:p w14:paraId="4968CB7C">
                  <w:pPr>
                    <w:jc w:val="center"/>
                    <w:rPr>
                      <w:color w:val="000000" w:themeColor="text1"/>
                      <w:szCs w:val="21"/>
                      <w14:textFill>
                        <w14:solidFill>
                          <w14:schemeClr w14:val="tx1"/>
                        </w14:solidFill>
                      </w14:textFill>
                    </w:rPr>
                  </w:pPr>
                </w:p>
              </w:tc>
              <w:tc>
                <w:tcPr>
                  <w:tcW w:w="674" w:type="dxa"/>
                  <w:vAlign w:val="center"/>
                </w:tcPr>
                <w:p w14:paraId="54532AA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563" w:type="dxa"/>
                  <w:vAlign w:val="center"/>
                </w:tcPr>
                <w:p w14:paraId="159894B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900-039-49</w:t>
                  </w:r>
                </w:p>
              </w:tc>
              <w:tc>
                <w:tcPr>
                  <w:tcW w:w="483" w:type="dxa"/>
                  <w:vAlign w:val="center"/>
                </w:tcPr>
                <w:p w14:paraId="198D61C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废涂料</w:t>
                  </w:r>
                </w:p>
              </w:tc>
              <w:tc>
                <w:tcPr>
                  <w:tcW w:w="508" w:type="dxa"/>
                  <w:vAlign w:val="center"/>
                </w:tcPr>
                <w:p w14:paraId="5FEE005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564" w:type="dxa"/>
                  <w:vAlign w:val="center"/>
                </w:tcPr>
                <w:p w14:paraId="488EED2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p>
              </w:tc>
              <w:tc>
                <w:tcPr>
                  <w:tcW w:w="821" w:type="dxa"/>
                  <w:vAlign w:val="center"/>
                </w:tcPr>
                <w:p w14:paraId="2E2CE72E">
                  <w:pPr>
                    <w:jc w:val="center"/>
                    <w:rPr>
                      <w:color w:val="7030A0"/>
                      <w:szCs w:val="21"/>
                    </w:rPr>
                  </w:pPr>
                  <w:r>
                    <w:rPr>
                      <w:rFonts w:hint="eastAsia"/>
                      <w:color w:val="000000" w:themeColor="text1"/>
                      <w:szCs w:val="21"/>
                      <w14:textFill>
                        <w14:solidFill>
                          <w14:schemeClr w14:val="tx1"/>
                        </w14:solidFill>
                      </w14:textFill>
                    </w:rPr>
                    <w:t>11</w:t>
                  </w:r>
                  <w:r>
                    <w:rPr>
                      <w:color w:val="000000" w:themeColor="text1"/>
                      <w:szCs w:val="21"/>
                      <w14:textFill>
                        <w14:solidFill>
                          <w14:schemeClr w14:val="tx1"/>
                        </w14:solidFill>
                      </w14:textFill>
                    </w:rPr>
                    <w:t>.68</w:t>
                  </w:r>
                </w:p>
              </w:tc>
              <w:tc>
                <w:tcPr>
                  <w:tcW w:w="568" w:type="dxa"/>
                  <w:vMerge w:val="continue"/>
                  <w:vAlign w:val="center"/>
                </w:tcPr>
                <w:p w14:paraId="0BADACC7">
                  <w:pPr>
                    <w:jc w:val="center"/>
                    <w:rPr>
                      <w:color w:val="7030A0"/>
                      <w:szCs w:val="21"/>
                    </w:rPr>
                  </w:pPr>
                </w:p>
              </w:tc>
              <w:tc>
                <w:tcPr>
                  <w:tcW w:w="1083" w:type="dxa"/>
                  <w:vMerge w:val="continue"/>
                  <w:vAlign w:val="center"/>
                </w:tcPr>
                <w:p w14:paraId="20C9F256">
                  <w:pPr>
                    <w:jc w:val="center"/>
                    <w:rPr>
                      <w:color w:val="000000" w:themeColor="text1"/>
                      <w:szCs w:val="21"/>
                      <w14:textFill>
                        <w14:solidFill>
                          <w14:schemeClr w14:val="tx1"/>
                        </w14:solidFill>
                      </w14:textFill>
                    </w:rPr>
                  </w:pPr>
                </w:p>
              </w:tc>
              <w:tc>
                <w:tcPr>
                  <w:tcW w:w="638" w:type="dxa"/>
                  <w:vAlign w:val="center"/>
                </w:tcPr>
                <w:p w14:paraId="7E628EE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w:t>
                  </w:r>
                  <w:r>
                    <w:rPr>
                      <w:color w:val="000000" w:themeColor="text1"/>
                      <w:szCs w:val="21"/>
                      <w14:textFill>
                        <w14:solidFill>
                          <w14:schemeClr w14:val="tx1"/>
                        </w14:solidFill>
                      </w14:textFill>
                    </w:rPr>
                    <w:t>.68</w:t>
                  </w:r>
                </w:p>
              </w:tc>
            </w:tr>
            <w:tr w14:paraId="48897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0FC59C43">
                  <w:pPr>
                    <w:jc w:val="center"/>
                    <w:rPr>
                      <w:color w:val="000000" w:themeColor="text1"/>
                      <w:szCs w:val="21"/>
                      <w14:textFill>
                        <w14:solidFill>
                          <w14:schemeClr w14:val="tx1"/>
                        </w14:solidFill>
                      </w14:textFill>
                    </w:rPr>
                  </w:pPr>
                </w:p>
              </w:tc>
              <w:tc>
                <w:tcPr>
                  <w:tcW w:w="1191" w:type="dxa"/>
                  <w:vAlign w:val="center"/>
                </w:tcPr>
                <w:p w14:paraId="2B086CD0">
                  <w:pPr>
                    <w:jc w:val="center"/>
                    <w:rPr>
                      <w:color w:val="7030A0"/>
                      <w:szCs w:val="21"/>
                    </w:rPr>
                  </w:pPr>
                  <w:r>
                    <w:rPr>
                      <w:rFonts w:hint="eastAsia"/>
                      <w:color w:val="000000" w:themeColor="text1"/>
                      <w:szCs w:val="21"/>
                      <w14:textFill>
                        <w14:solidFill>
                          <w14:schemeClr w14:val="tx1"/>
                        </w14:solidFill>
                      </w14:textFill>
                    </w:rPr>
                    <w:t>干式过滤器废滤料</w:t>
                  </w:r>
                </w:p>
              </w:tc>
              <w:tc>
                <w:tcPr>
                  <w:tcW w:w="482" w:type="dxa"/>
                  <w:vMerge w:val="continue"/>
                  <w:vAlign w:val="center"/>
                </w:tcPr>
                <w:p w14:paraId="7D43436C">
                  <w:pPr>
                    <w:jc w:val="center"/>
                    <w:rPr>
                      <w:color w:val="7030A0"/>
                      <w:szCs w:val="21"/>
                    </w:rPr>
                  </w:pPr>
                </w:p>
              </w:tc>
              <w:tc>
                <w:tcPr>
                  <w:tcW w:w="674" w:type="dxa"/>
                  <w:vAlign w:val="center"/>
                </w:tcPr>
                <w:p w14:paraId="187E7A9A">
                  <w:pPr>
                    <w:jc w:val="center"/>
                    <w:rPr>
                      <w:color w:val="7030A0"/>
                      <w:szCs w:val="21"/>
                    </w:rPr>
                  </w:pPr>
                  <w:r>
                    <w:rPr>
                      <w:color w:val="000000" w:themeColor="text1"/>
                      <w:szCs w:val="21"/>
                      <w14:textFill>
                        <w14:solidFill>
                          <w14:schemeClr w14:val="tx1"/>
                        </w14:solidFill>
                      </w14:textFill>
                    </w:rPr>
                    <w:t>HW49</w:t>
                  </w:r>
                </w:p>
              </w:tc>
              <w:tc>
                <w:tcPr>
                  <w:tcW w:w="563" w:type="dxa"/>
                  <w:vAlign w:val="center"/>
                </w:tcPr>
                <w:p w14:paraId="47321CDE">
                  <w:pPr>
                    <w:jc w:val="center"/>
                    <w:rPr>
                      <w:color w:val="7030A0"/>
                      <w:szCs w:val="21"/>
                    </w:rPr>
                  </w:pPr>
                  <w:r>
                    <w:rPr>
                      <w:color w:val="000000" w:themeColor="text1"/>
                      <w:szCs w:val="21"/>
                      <w14:textFill>
                        <w14:solidFill>
                          <w14:schemeClr w14:val="tx1"/>
                        </w14:solidFill>
                      </w14:textFill>
                    </w:rPr>
                    <w:t>900-041-49</w:t>
                  </w:r>
                </w:p>
              </w:tc>
              <w:tc>
                <w:tcPr>
                  <w:tcW w:w="483" w:type="dxa"/>
                  <w:vAlign w:val="center"/>
                </w:tcPr>
                <w:p w14:paraId="688A4FF4">
                  <w:pPr>
                    <w:jc w:val="center"/>
                    <w:rPr>
                      <w:color w:val="7030A0"/>
                      <w:szCs w:val="21"/>
                    </w:rPr>
                  </w:pPr>
                  <w:r>
                    <w:rPr>
                      <w:rFonts w:hint="eastAsia"/>
                      <w:color w:val="000000" w:themeColor="text1"/>
                      <w:szCs w:val="21"/>
                      <w14:textFill>
                        <w14:solidFill>
                          <w14:schemeClr w14:val="tx1"/>
                        </w14:solidFill>
                      </w14:textFill>
                    </w:rPr>
                    <w:t>废滤料</w:t>
                  </w:r>
                </w:p>
              </w:tc>
              <w:tc>
                <w:tcPr>
                  <w:tcW w:w="508" w:type="dxa"/>
                  <w:vAlign w:val="center"/>
                </w:tcPr>
                <w:p w14:paraId="1D2A45A5">
                  <w:pPr>
                    <w:jc w:val="center"/>
                    <w:rPr>
                      <w:color w:val="7030A0"/>
                      <w:szCs w:val="21"/>
                    </w:rPr>
                  </w:pPr>
                  <w:r>
                    <w:rPr>
                      <w:rFonts w:hint="eastAsia"/>
                      <w:color w:val="000000" w:themeColor="text1"/>
                      <w:szCs w:val="21"/>
                      <w14:textFill>
                        <w14:solidFill>
                          <w14:schemeClr w14:val="tx1"/>
                        </w14:solidFill>
                      </w14:textFill>
                    </w:rPr>
                    <w:t>固态</w:t>
                  </w:r>
                </w:p>
              </w:tc>
              <w:tc>
                <w:tcPr>
                  <w:tcW w:w="564" w:type="dxa"/>
                  <w:vAlign w:val="center"/>
                </w:tcPr>
                <w:p w14:paraId="79BE8409">
                  <w:pPr>
                    <w:jc w:val="center"/>
                    <w:rPr>
                      <w:color w:val="7030A0"/>
                      <w:szCs w:val="21"/>
                    </w:rPr>
                  </w:pPr>
                  <w:r>
                    <w:rPr>
                      <w:rFonts w:hint="eastAsia"/>
                      <w:color w:val="000000" w:themeColor="text1"/>
                      <w:szCs w:val="21"/>
                      <w14:textFill>
                        <w14:solidFill>
                          <w14:schemeClr w14:val="tx1"/>
                        </w14:solidFill>
                      </w14:textFill>
                    </w:rPr>
                    <w:t>T/In</w:t>
                  </w:r>
                </w:p>
              </w:tc>
              <w:tc>
                <w:tcPr>
                  <w:tcW w:w="821" w:type="dxa"/>
                  <w:vAlign w:val="center"/>
                </w:tcPr>
                <w:p w14:paraId="1CDC36D9">
                  <w:pPr>
                    <w:jc w:val="center"/>
                    <w:rPr>
                      <w:color w:val="7030A0"/>
                      <w:szCs w:val="21"/>
                    </w:rPr>
                  </w:pPr>
                  <w:r>
                    <w:rPr>
                      <w:rFonts w:hint="eastAsia"/>
                      <w:color w:val="000000" w:themeColor="text1"/>
                      <w:szCs w:val="21"/>
                      <w14:textFill>
                        <w14:solidFill>
                          <w14:schemeClr w14:val="tx1"/>
                        </w14:solidFill>
                      </w14:textFill>
                    </w:rPr>
                    <w:t>0.05</w:t>
                  </w:r>
                </w:p>
              </w:tc>
              <w:tc>
                <w:tcPr>
                  <w:tcW w:w="568" w:type="dxa"/>
                  <w:vMerge w:val="continue"/>
                  <w:vAlign w:val="center"/>
                </w:tcPr>
                <w:p w14:paraId="4730D3C3">
                  <w:pPr>
                    <w:jc w:val="center"/>
                    <w:rPr>
                      <w:color w:val="7030A0"/>
                      <w:szCs w:val="21"/>
                    </w:rPr>
                  </w:pPr>
                </w:p>
              </w:tc>
              <w:tc>
                <w:tcPr>
                  <w:tcW w:w="1083" w:type="dxa"/>
                  <w:vMerge w:val="continue"/>
                  <w:vAlign w:val="center"/>
                </w:tcPr>
                <w:p w14:paraId="3738AAC5">
                  <w:pPr>
                    <w:jc w:val="center"/>
                    <w:rPr>
                      <w:color w:val="7030A0"/>
                      <w:szCs w:val="21"/>
                    </w:rPr>
                  </w:pPr>
                </w:p>
              </w:tc>
              <w:tc>
                <w:tcPr>
                  <w:tcW w:w="638" w:type="dxa"/>
                  <w:vAlign w:val="center"/>
                </w:tcPr>
                <w:p w14:paraId="13FC139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w:t>
                  </w:r>
                </w:p>
              </w:tc>
            </w:tr>
            <w:tr w14:paraId="07F4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restart"/>
                  <w:vAlign w:val="center"/>
                </w:tcPr>
                <w:p w14:paraId="5577A2C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设备维护</w:t>
                  </w:r>
                </w:p>
              </w:tc>
              <w:tc>
                <w:tcPr>
                  <w:tcW w:w="1191" w:type="dxa"/>
                  <w:vAlign w:val="center"/>
                </w:tcPr>
                <w:p w14:paraId="69AB9563">
                  <w:pPr>
                    <w:jc w:val="center"/>
                    <w:rPr>
                      <w:color w:val="7030A0"/>
                      <w:szCs w:val="21"/>
                    </w:rPr>
                  </w:pPr>
                  <w:r>
                    <w:rPr>
                      <w:rFonts w:hint="eastAsia"/>
                      <w:color w:val="000000" w:themeColor="text1"/>
                      <w:szCs w:val="21"/>
                      <w14:textFill>
                        <w14:solidFill>
                          <w14:schemeClr w14:val="tx1"/>
                        </w14:solidFill>
                      </w14:textFill>
                    </w:rPr>
                    <w:t>废机油</w:t>
                  </w:r>
                </w:p>
              </w:tc>
              <w:tc>
                <w:tcPr>
                  <w:tcW w:w="482" w:type="dxa"/>
                  <w:vMerge w:val="continue"/>
                  <w:vAlign w:val="center"/>
                </w:tcPr>
                <w:p w14:paraId="768ED78B">
                  <w:pPr>
                    <w:jc w:val="center"/>
                    <w:rPr>
                      <w:color w:val="000000" w:themeColor="text1"/>
                      <w:szCs w:val="21"/>
                      <w14:textFill>
                        <w14:solidFill>
                          <w14:schemeClr w14:val="tx1"/>
                        </w14:solidFill>
                      </w14:textFill>
                    </w:rPr>
                  </w:pPr>
                </w:p>
              </w:tc>
              <w:tc>
                <w:tcPr>
                  <w:tcW w:w="674" w:type="dxa"/>
                  <w:vAlign w:val="center"/>
                </w:tcPr>
                <w:p w14:paraId="60EFF4D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HW08</w:t>
                  </w:r>
                </w:p>
              </w:tc>
              <w:tc>
                <w:tcPr>
                  <w:tcW w:w="563" w:type="dxa"/>
                  <w:vAlign w:val="center"/>
                </w:tcPr>
                <w:p w14:paraId="7091CEC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900-214-08</w:t>
                  </w:r>
                </w:p>
              </w:tc>
              <w:tc>
                <w:tcPr>
                  <w:tcW w:w="483" w:type="dxa"/>
                  <w:vAlign w:val="center"/>
                </w:tcPr>
                <w:p w14:paraId="24B671E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w:t>
                  </w:r>
                </w:p>
              </w:tc>
              <w:tc>
                <w:tcPr>
                  <w:tcW w:w="508" w:type="dxa"/>
                  <w:vAlign w:val="center"/>
                </w:tcPr>
                <w:p w14:paraId="063B603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液体</w:t>
                  </w:r>
                </w:p>
              </w:tc>
              <w:tc>
                <w:tcPr>
                  <w:tcW w:w="564" w:type="dxa"/>
                  <w:vAlign w:val="center"/>
                </w:tcPr>
                <w:p w14:paraId="2EE7D10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821" w:type="dxa"/>
                  <w:vAlign w:val="center"/>
                </w:tcPr>
                <w:p w14:paraId="0E4B2E0C">
                  <w:pPr>
                    <w:jc w:val="center"/>
                    <w:rPr>
                      <w:color w:val="7030A0"/>
                      <w:szCs w:val="21"/>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p>
              </w:tc>
              <w:tc>
                <w:tcPr>
                  <w:tcW w:w="568" w:type="dxa"/>
                  <w:vMerge w:val="continue"/>
                  <w:vAlign w:val="center"/>
                </w:tcPr>
                <w:p w14:paraId="75324BC9">
                  <w:pPr>
                    <w:jc w:val="center"/>
                    <w:rPr>
                      <w:color w:val="7030A0"/>
                      <w:szCs w:val="21"/>
                    </w:rPr>
                  </w:pPr>
                </w:p>
              </w:tc>
              <w:tc>
                <w:tcPr>
                  <w:tcW w:w="1083" w:type="dxa"/>
                  <w:vMerge w:val="continue"/>
                  <w:vAlign w:val="center"/>
                </w:tcPr>
                <w:p w14:paraId="25925E86">
                  <w:pPr>
                    <w:jc w:val="center"/>
                    <w:rPr>
                      <w:color w:val="000000" w:themeColor="text1"/>
                      <w:szCs w:val="21"/>
                      <w14:textFill>
                        <w14:solidFill>
                          <w14:schemeClr w14:val="tx1"/>
                        </w14:solidFill>
                      </w14:textFill>
                    </w:rPr>
                  </w:pPr>
                </w:p>
              </w:tc>
              <w:tc>
                <w:tcPr>
                  <w:tcW w:w="638" w:type="dxa"/>
                  <w:vAlign w:val="center"/>
                </w:tcPr>
                <w:p w14:paraId="7B4101E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p>
              </w:tc>
            </w:tr>
            <w:tr w14:paraId="1041D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3C184591">
                  <w:pPr>
                    <w:jc w:val="center"/>
                    <w:rPr>
                      <w:color w:val="000000" w:themeColor="text1"/>
                      <w:szCs w:val="21"/>
                      <w14:textFill>
                        <w14:solidFill>
                          <w14:schemeClr w14:val="tx1"/>
                        </w14:solidFill>
                      </w14:textFill>
                    </w:rPr>
                  </w:pPr>
                </w:p>
              </w:tc>
              <w:tc>
                <w:tcPr>
                  <w:tcW w:w="1191" w:type="dxa"/>
                  <w:vAlign w:val="center"/>
                </w:tcPr>
                <w:p w14:paraId="0A3197A8">
                  <w:pPr>
                    <w:jc w:val="center"/>
                    <w:rPr>
                      <w:color w:val="7030A0"/>
                      <w:szCs w:val="21"/>
                    </w:rPr>
                  </w:pPr>
                  <w:r>
                    <w:rPr>
                      <w:rFonts w:hint="eastAsia"/>
                      <w:color w:val="000000" w:themeColor="text1"/>
                      <w:szCs w:val="21"/>
                      <w14:textFill>
                        <w14:solidFill>
                          <w14:schemeClr w14:val="tx1"/>
                        </w14:solidFill>
                      </w14:textFill>
                    </w:rPr>
                    <w:t>废含机油抹布及手套、废含油漆抹布及手套</w:t>
                  </w:r>
                </w:p>
              </w:tc>
              <w:tc>
                <w:tcPr>
                  <w:tcW w:w="482" w:type="dxa"/>
                  <w:vMerge w:val="continue"/>
                  <w:vAlign w:val="center"/>
                </w:tcPr>
                <w:p w14:paraId="2B93C28D">
                  <w:pPr>
                    <w:jc w:val="center"/>
                    <w:rPr>
                      <w:color w:val="000000" w:themeColor="text1"/>
                      <w:szCs w:val="21"/>
                      <w14:textFill>
                        <w14:solidFill>
                          <w14:schemeClr w14:val="tx1"/>
                        </w14:solidFill>
                      </w14:textFill>
                    </w:rPr>
                  </w:pPr>
                </w:p>
              </w:tc>
              <w:tc>
                <w:tcPr>
                  <w:tcW w:w="674" w:type="dxa"/>
                  <w:vAlign w:val="center"/>
                </w:tcPr>
                <w:p w14:paraId="5E9B6FB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563" w:type="dxa"/>
                  <w:vAlign w:val="center"/>
                </w:tcPr>
                <w:p w14:paraId="0C1AA1A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900-041-49</w:t>
                  </w:r>
                </w:p>
                <w:p w14:paraId="74B8E832">
                  <w:pPr>
                    <w:jc w:val="center"/>
                    <w:rPr>
                      <w:color w:val="000000" w:themeColor="text1"/>
                      <w:szCs w:val="21"/>
                      <w14:textFill>
                        <w14:solidFill>
                          <w14:schemeClr w14:val="tx1"/>
                        </w14:solidFill>
                      </w14:textFill>
                    </w:rPr>
                  </w:pPr>
                </w:p>
              </w:tc>
              <w:tc>
                <w:tcPr>
                  <w:tcW w:w="483" w:type="dxa"/>
                  <w:vAlign w:val="center"/>
                </w:tcPr>
                <w:p w14:paraId="74B0C68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w:t>
                  </w:r>
                </w:p>
              </w:tc>
              <w:tc>
                <w:tcPr>
                  <w:tcW w:w="508" w:type="dxa"/>
                  <w:vAlign w:val="center"/>
                </w:tcPr>
                <w:p w14:paraId="3CBC95A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29C5666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821" w:type="dxa"/>
                  <w:vAlign w:val="center"/>
                </w:tcPr>
                <w:p w14:paraId="14F6759B">
                  <w:pPr>
                    <w:jc w:val="center"/>
                    <w:rPr>
                      <w:color w:val="7030A0"/>
                      <w:szCs w:val="21"/>
                    </w:rPr>
                  </w:pPr>
                  <w:r>
                    <w:rPr>
                      <w:rFonts w:hint="eastAsia"/>
                      <w:color w:val="000000" w:themeColor="text1"/>
                      <w:szCs w:val="21"/>
                      <w14:textFill>
                        <w14:solidFill>
                          <w14:schemeClr w14:val="tx1"/>
                        </w14:solidFill>
                      </w14:textFill>
                    </w:rPr>
                    <w:t>0.01</w:t>
                  </w:r>
                </w:p>
              </w:tc>
              <w:tc>
                <w:tcPr>
                  <w:tcW w:w="568" w:type="dxa"/>
                  <w:vMerge w:val="continue"/>
                  <w:vAlign w:val="center"/>
                </w:tcPr>
                <w:p w14:paraId="4E0A7C45">
                  <w:pPr>
                    <w:jc w:val="center"/>
                    <w:rPr>
                      <w:color w:val="7030A0"/>
                      <w:szCs w:val="21"/>
                    </w:rPr>
                  </w:pPr>
                </w:p>
              </w:tc>
              <w:tc>
                <w:tcPr>
                  <w:tcW w:w="1083" w:type="dxa"/>
                  <w:vMerge w:val="continue"/>
                  <w:vAlign w:val="center"/>
                </w:tcPr>
                <w:p w14:paraId="034E4F6B">
                  <w:pPr>
                    <w:jc w:val="center"/>
                    <w:rPr>
                      <w:color w:val="000000" w:themeColor="text1"/>
                      <w:szCs w:val="21"/>
                      <w14:textFill>
                        <w14:solidFill>
                          <w14:schemeClr w14:val="tx1"/>
                        </w14:solidFill>
                      </w14:textFill>
                    </w:rPr>
                  </w:pPr>
                </w:p>
              </w:tc>
              <w:tc>
                <w:tcPr>
                  <w:tcW w:w="638" w:type="dxa"/>
                  <w:vAlign w:val="center"/>
                </w:tcPr>
                <w:p w14:paraId="6E49620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r>
            <w:tr w14:paraId="3C0BE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83" w:type="dxa"/>
                  <w:vMerge w:val="continue"/>
                  <w:vAlign w:val="center"/>
                </w:tcPr>
                <w:p w14:paraId="4823254B">
                  <w:pPr>
                    <w:jc w:val="center"/>
                    <w:rPr>
                      <w:color w:val="000000" w:themeColor="text1"/>
                      <w:szCs w:val="21"/>
                      <w14:textFill>
                        <w14:solidFill>
                          <w14:schemeClr w14:val="tx1"/>
                        </w14:solidFill>
                      </w14:textFill>
                    </w:rPr>
                  </w:pPr>
                </w:p>
              </w:tc>
              <w:tc>
                <w:tcPr>
                  <w:tcW w:w="1191" w:type="dxa"/>
                  <w:vAlign w:val="center"/>
                </w:tcPr>
                <w:p w14:paraId="075A846B">
                  <w:pPr>
                    <w:jc w:val="center"/>
                    <w:rPr>
                      <w:color w:val="7030A0"/>
                      <w:szCs w:val="21"/>
                    </w:rPr>
                  </w:pPr>
                  <w:r>
                    <w:rPr>
                      <w:color w:val="000000" w:themeColor="text1"/>
                      <w:szCs w:val="21"/>
                      <w14:textFill>
                        <w14:solidFill>
                          <w14:schemeClr w14:val="tx1"/>
                        </w14:solidFill>
                      </w14:textFill>
                    </w:rPr>
                    <w:t>废机油包装桶</w:t>
                  </w:r>
                </w:p>
              </w:tc>
              <w:tc>
                <w:tcPr>
                  <w:tcW w:w="482" w:type="dxa"/>
                  <w:vAlign w:val="center"/>
                </w:tcPr>
                <w:p w14:paraId="3696AC00">
                  <w:pPr>
                    <w:jc w:val="center"/>
                    <w:rPr>
                      <w:color w:val="000000" w:themeColor="text1"/>
                      <w:szCs w:val="21"/>
                      <w14:textFill>
                        <w14:solidFill>
                          <w14:schemeClr w14:val="tx1"/>
                        </w14:solidFill>
                      </w14:textFill>
                    </w:rPr>
                  </w:pPr>
                </w:p>
              </w:tc>
              <w:tc>
                <w:tcPr>
                  <w:tcW w:w="674" w:type="dxa"/>
                  <w:vAlign w:val="center"/>
                </w:tcPr>
                <w:p w14:paraId="4D515F8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563" w:type="dxa"/>
                  <w:vAlign w:val="center"/>
                </w:tcPr>
                <w:p w14:paraId="45C9BA1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900-041-49</w:t>
                  </w:r>
                </w:p>
              </w:tc>
              <w:tc>
                <w:tcPr>
                  <w:tcW w:w="483" w:type="dxa"/>
                  <w:vAlign w:val="center"/>
                </w:tcPr>
                <w:p w14:paraId="66F5099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w:t>
                  </w:r>
                </w:p>
              </w:tc>
              <w:tc>
                <w:tcPr>
                  <w:tcW w:w="508" w:type="dxa"/>
                  <w:vAlign w:val="center"/>
                </w:tcPr>
                <w:p w14:paraId="617D4AF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vAlign w:val="center"/>
                </w:tcPr>
                <w:p w14:paraId="1EB16AD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821" w:type="dxa"/>
                  <w:vAlign w:val="center"/>
                </w:tcPr>
                <w:p w14:paraId="175C07FB">
                  <w:pPr>
                    <w:jc w:val="center"/>
                    <w:rPr>
                      <w:color w:val="7030A0"/>
                      <w:szCs w:val="21"/>
                    </w:rPr>
                  </w:pPr>
                  <w:r>
                    <w:rPr>
                      <w:rFonts w:hint="eastAsia"/>
                      <w:color w:val="000000" w:themeColor="text1"/>
                      <w:szCs w:val="21"/>
                      <w14:textFill>
                        <w14:solidFill>
                          <w14:schemeClr w14:val="tx1"/>
                        </w14:solidFill>
                      </w14:textFill>
                    </w:rPr>
                    <w:t>0.01</w:t>
                  </w:r>
                </w:p>
              </w:tc>
              <w:tc>
                <w:tcPr>
                  <w:tcW w:w="568" w:type="dxa"/>
                  <w:vMerge w:val="continue"/>
                  <w:vAlign w:val="center"/>
                </w:tcPr>
                <w:p w14:paraId="40AAEE2B">
                  <w:pPr>
                    <w:jc w:val="center"/>
                    <w:rPr>
                      <w:color w:val="7030A0"/>
                      <w:szCs w:val="21"/>
                    </w:rPr>
                  </w:pPr>
                </w:p>
              </w:tc>
              <w:tc>
                <w:tcPr>
                  <w:tcW w:w="1083" w:type="dxa"/>
                  <w:vMerge w:val="continue"/>
                  <w:vAlign w:val="center"/>
                </w:tcPr>
                <w:p w14:paraId="787FB41F">
                  <w:pPr>
                    <w:jc w:val="center"/>
                    <w:rPr>
                      <w:color w:val="000000" w:themeColor="text1"/>
                      <w:szCs w:val="21"/>
                      <w14:textFill>
                        <w14:solidFill>
                          <w14:schemeClr w14:val="tx1"/>
                        </w14:solidFill>
                      </w14:textFill>
                    </w:rPr>
                  </w:pPr>
                </w:p>
              </w:tc>
              <w:tc>
                <w:tcPr>
                  <w:tcW w:w="638" w:type="dxa"/>
                  <w:vAlign w:val="center"/>
                </w:tcPr>
                <w:p w14:paraId="562DF48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r>
          </w:tbl>
          <w:p w14:paraId="31026ED0">
            <w:pPr>
              <w:spacing w:line="360" w:lineRule="auto"/>
              <w:ind w:firstLine="482" w:firstLineChars="200"/>
              <w:contextualSpacing/>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 固体废物影响分析</w:t>
            </w:r>
          </w:p>
          <w:p w14:paraId="580DBA4D">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1）生活垃圾</w:t>
            </w:r>
          </w:p>
          <w:p w14:paraId="6B2726F0">
            <w:pPr>
              <w:spacing w:line="360" w:lineRule="auto"/>
              <w:ind w:firstLine="480" w:firstLineChars="200"/>
              <w:rPr>
                <w:b/>
                <w:bCs/>
                <w:color w:val="000000" w:themeColor="text1"/>
                <w:sz w:val="24"/>
                <w14:textFill>
                  <w14:solidFill>
                    <w14:schemeClr w14:val="tx1"/>
                  </w14:solidFill>
                </w14:textFill>
              </w:rPr>
            </w:pPr>
            <w:r>
              <w:rPr>
                <w:color w:val="000000" w:themeColor="text1"/>
                <w:sz w:val="24"/>
                <w14:textFill>
                  <w14:solidFill>
                    <w14:schemeClr w14:val="tx1"/>
                  </w14:solidFill>
                </w14:textFill>
              </w:rPr>
              <w:t>生活垃圾交环卫部门定期清理，统一处理，并对垃圾堆放点进行消毒，杀灭害虫，以免散发恶臭，孽生蚊蝇。</w:t>
            </w:r>
          </w:p>
          <w:p w14:paraId="4561FA5A">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2</w:t>
            </w:r>
            <w:r>
              <w:rPr>
                <w:b/>
                <w:bCs/>
                <w:color w:val="000000" w:themeColor="text1"/>
                <w:sz w:val="24"/>
                <w14:textFill>
                  <w14:solidFill>
                    <w14:schemeClr w14:val="tx1"/>
                  </w14:solidFill>
                </w14:textFill>
              </w:rPr>
              <w:t>）一般工业固体废物</w:t>
            </w:r>
          </w:p>
          <w:p w14:paraId="5ACE31E6">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对于一般工业废物，根据《一般工业固体废物贮存和填埋污染控制标准》（GB 18599-2020）及相关国家及地方法律法规，提出如下环保措施：</w:t>
            </w:r>
          </w:p>
          <w:p w14:paraId="335D3147">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color w:val="000000" w:themeColor="text1"/>
                <w:sz w:val="24"/>
                <w14:textFill>
                  <w14:solidFill>
                    <w14:schemeClr w14:val="tx1"/>
                  </w14:solidFill>
                </w14:textFill>
              </w:rPr>
              <w:t>为防止雨水径流进入贮存、处置场内，避免渗滤液量增加和滑坡，贮存、处置场周边应设置导流渠。</w:t>
            </w:r>
          </w:p>
          <w:p w14:paraId="193839C7">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为加强监督管理，贮存、处置场应按GB15562.2设置环境保护图形标志。</w:t>
            </w:r>
          </w:p>
          <w:p w14:paraId="1D0D37A0">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color w:val="000000" w:themeColor="text1"/>
                <w:sz w:val="24"/>
                <w14:textFill>
                  <w14:solidFill>
                    <w14:schemeClr w14:val="tx1"/>
                  </w14:solidFill>
                </w14:textFill>
              </w:rPr>
              <w:t>贮存、处置场使用单位，应建立检查维护制度。定期检查维护堤、坝、挡土墙、导流渠等设施，发现有损坏可能或异常，应及时采取必要措施，以保障正常运行。</w:t>
            </w:r>
          </w:p>
          <w:p w14:paraId="1F1BAEAC">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④</w:t>
            </w:r>
            <w:r>
              <w:rPr>
                <w:color w:val="000000" w:themeColor="text1"/>
                <w:sz w:val="24"/>
                <w14:textFill>
                  <w14:solidFill>
                    <w14:schemeClr w14:val="tx1"/>
                  </w14:solidFill>
                </w14:textFill>
              </w:rPr>
              <w:t>贮存、处置场的使用单位，应建立档案制度。应将入场的一般工业固体废物的种类和数量以及下列资料。详细记录在案，长期保存，供随时查阅。</w:t>
            </w:r>
          </w:p>
          <w:p w14:paraId="0408C325">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（3）危险废物</w:t>
            </w:r>
          </w:p>
          <w:p w14:paraId="7878FA42">
            <w:pPr>
              <w:pStyle w:val="156"/>
              <w:adjustRightInd w:val="0"/>
              <w:spacing w:line="360" w:lineRule="auto"/>
              <w:ind w:firstLine="480" w:firstLineChars="200"/>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项目设置1个占地30m</w:t>
            </w:r>
            <w:r>
              <w:rPr>
                <w:rFonts w:hint="eastAsia" w:ascii="Times New Roman" w:hAnsi="Times New Roman" w:eastAsia="宋体" w:cs="Times New Roman"/>
                <w:color w:val="000000" w:themeColor="text1"/>
                <w:kern w:val="0"/>
                <w:sz w:val="24"/>
                <w:szCs w:val="24"/>
                <w:vertAlign w:val="superscript"/>
                <w14:textFill>
                  <w14:solidFill>
                    <w14:schemeClr w14:val="tx1"/>
                  </w14:solidFill>
                </w14:textFill>
              </w:rPr>
              <w:t>2</w:t>
            </w:r>
            <w:r>
              <w:rPr>
                <w:rFonts w:hint="eastAsia" w:ascii="Times New Roman" w:hAnsi="Times New Roman" w:eastAsia="宋体" w:cs="Times New Roman"/>
                <w:color w:val="000000" w:themeColor="text1"/>
                <w:kern w:val="0"/>
                <w:sz w:val="24"/>
                <w:szCs w:val="24"/>
                <w14:textFill>
                  <w14:solidFill>
                    <w14:schemeClr w14:val="tx1"/>
                  </w14:solidFill>
                </w14:textFill>
              </w:rPr>
              <w:t>的危险废物暂存仓，根据运营经验，危废暂存仓总暂存能力约为15.0t。本建设项目危险废物总贮存最大量为12.26t/a，因此，本建设项目危废暂存仓仓储能力能满足要求。</w:t>
            </w:r>
          </w:p>
          <w:p w14:paraId="5F3320EE">
            <w:pPr>
              <w:pStyle w:val="156"/>
              <w:adjustRightInd w:val="0"/>
              <w:spacing w:line="360" w:lineRule="auto"/>
              <w:ind w:firstLine="480" w:firstLineChars="200"/>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厂区危险废物暂存区的设置须满足《危险废物贮存污染控制标准》（GB18597-2023）的要求，须做好防渗、防风、防雨、防晒等措施，具体要求如下。</w:t>
            </w:r>
          </w:p>
          <w:p w14:paraId="47833708">
            <w:pPr>
              <w:pStyle w:val="92"/>
              <w:adjustRightInd w:val="0"/>
              <w:spacing w:line="360" w:lineRule="auto"/>
              <w:ind w:firstLine="48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①</w:t>
            </w:r>
            <w:r>
              <w:rPr>
                <w:rFonts w:ascii="Times New Roman" w:hAnsi="Times New Roman" w:cs="Times New Roman"/>
                <w:color w:val="000000" w:themeColor="text1"/>
                <w14:textFill>
                  <w14:solidFill>
                    <w14:schemeClr w14:val="tx1"/>
                  </w14:solidFill>
                </w14:textFill>
              </w:rPr>
              <w:t>危险固废储存区需设置明显的标记；</w:t>
            </w:r>
          </w:p>
          <w:p w14:paraId="0FE30F51">
            <w:pPr>
              <w:pStyle w:val="92"/>
              <w:adjustRightInd w:val="0"/>
              <w:spacing w:line="360" w:lineRule="auto"/>
              <w:ind w:firstLine="480" w:firstLineChars="200"/>
              <w:rPr>
                <w:rFonts w:ascii="Times New Roman" w:hAnsi="Times New Roman" w:cs="Times New Roman"/>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②</w:t>
            </w:r>
            <w:r>
              <w:rPr>
                <w:rFonts w:ascii="Times New Roman" w:hAnsi="Times New Roman" w:cs="Times New Roman"/>
                <w:color w:val="000000" w:themeColor="text1"/>
                <w14:textFill>
                  <w14:solidFill>
                    <w14:schemeClr w14:val="tx1"/>
                  </w14:solidFill>
                </w14:textFill>
              </w:rPr>
              <w:t>危险固废储存区应按照《危险废物贮存污染控制标准》的要求建设，危险废物的贮存必须按《危险废物贮存污染控制标准》（GB18579-2023）的要求进行，具体要求如下：</w:t>
            </w:r>
          </w:p>
          <w:p w14:paraId="14CF4F00">
            <w:pPr>
              <w:pStyle w:val="157"/>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1）禁止将相互反应的危险废物在同一容器内混装；装载液体、半固体危险废物的容器内需留有足够的空间，容器顶部距液面之间的距离不得小于100mm。</w:t>
            </w:r>
          </w:p>
          <w:p w14:paraId="70166BCB">
            <w:pPr>
              <w:pStyle w:val="157"/>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2）应当使用符合标准的容器盛装危险废物，其材质强度应满足贮存要求，同时，选用的材质必须不能与危险废物产生化学反应。</w:t>
            </w:r>
          </w:p>
          <w:p w14:paraId="27323ED0">
            <w:pPr>
              <w:pStyle w:val="157"/>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3）危险废物贮存场所的地面与墙脚应采用坚固、防渗材料建造，同时材料不能与废物产生化学反应。防止其污染周边的环境和地下水源，贮存车间（危废间）上方应设有排气系统，以保证贮存间内的空气质量。</w:t>
            </w:r>
          </w:p>
          <w:p w14:paraId="4DA072F9">
            <w:pPr>
              <w:pStyle w:val="157"/>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4）应加强危险废物贮存设施的运行管理，作好危险废物的出入库管理记录和标识，定期检查危险废物包装容器的完好性，发现破损，应及时采取措施。</w:t>
            </w:r>
          </w:p>
          <w:p w14:paraId="1F67AA41">
            <w:pPr>
              <w:adjustRightIn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在采取上述措施的情况下，项目营运期产生的固体废弃物对周围环境的影响较小。</w:t>
            </w:r>
          </w:p>
          <w:p w14:paraId="66FB3363">
            <w:pPr>
              <w:pStyle w:val="161"/>
              <w:spacing w:beforeLines="0" w:afterLines="0"/>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表4-2</w:t>
            </w:r>
            <w:r>
              <w:rPr>
                <w:rFonts w:hint="eastAsia"/>
                <w:b/>
                <w:bCs/>
                <w:color w:val="000000" w:themeColor="text1"/>
                <w:sz w:val="21"/>
                <w:szCs w:val="21"/>
                <w14:textFill>
                  <w14:solidFill>
                    <w14:schemeClr w14:val="tx1"/>
                  </w14:solidFill>
                </w14:textFill>
              </w:rPr>
              <w:t xml:space="preserve">3  </w:t>
            </w:r>
            <w:r>
              <w:rPr>
                <w:b/>
                <w:bCs/>
                <w:color w:val="000000" w:themeColor="text1"/>
                <w:sz w:val="21"/>
                <w:szCs w:val="21"/>
                <w14:textFill>
                  <w14:solidFill>
                    <w14:schemeClr w14:val="tx1"/>
                  </w14:solidFill>
                </w14:textFill>
              </w:rPr>
              <w:t>建设项目危险废物贮存场所（设施）基本情况样表</w:t>
            </w:r>
          </w:p>
          <w:tbl>
            <w:tblPr>
              <w:tblStyle w:val="40"/>
              <w:tblW w:w="82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772"/>
              <w:gridCol w:w="1276"/>
              <w:gridCol w:w="709"/>
              <w:gridCol w:w="1134"/>
              <w:gridCol w:w="567"/>
              <w:gridCol w:w="708"/>
              <w:gridCol w:w="567"/>
              <w:gridCol w:w="709"/>
              <w:gridCol w:w="566"/>
              <w:gridCol w:w="704"/>
            </w:tblGrid>
            <w:tr w14:paraId="07A34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520" w:type="dxa"/>
                  <w:vAlign w:val="center"/>
                </w:tcPr>
                <w:p w14:paraId="4DEF4A82">
                  <w:pPr>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772" w:type="dxa"/>
                  <w:vAlign w:val="center"/>
                </w:tcPr>
                <w:p w14:paraId="700A4C7E">
                  <w:pPr>
                    <w:ind w:left="-105" w:leftChars="-50" w:right="-105" w:rightChars="-50"/>
                    <w:jc w:val="center"/>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贮存场所</w:t>
                  </w:r>
                  <w:r>
                    <w:rPr>
                      <w:rFonts w:hint="eastAsia"/>
                      <w:b/>
                      <w:color w:val="000000" w:themeColor="text1"/>
                      <w:kern w:val="0"/>
                      <w:szCs w:val="21"/>
                      <w14:textFill>
                        <w14:solidFill>
                          <w14:schemeClr w14:val="tx1"/>
                        </w14:solidFill>
                      </w14:textFill>
                    </w:rPr>
                    <w:t>/</w:t>
                  </w:r>
                  <w:r>
                    <w:rPr>
                      <w:b/>
                      <w:color w:val="000000" w:themeColor="text1"/>
                      <w:kern w:val="0"/>
                      <w:szCs w:val="21"/>
                      <w14:textFill>
                        <w14:solidFill>
                          <w14:schemeClr w14:val="tx1"/>
                        </w14:solidFill>
                      </w14:textFill>
                    </w:rPr>
                    <w:t>设施名称</w:t>
                  </w:r>
                </w:p>
              </w:tc>
              <w:tc>
                <w:tcPr>
                  <w:tcW w:w="1276" w:type="dxa"/>
                  <w:vAlign w:val="center"/>
                </w:tcPr>
                <w:p w14:paraId="562573DC">
                  <w:pPr>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废物名称</w:t>
                  </w:r>
                </w:p>
              </w:tc>
              <w:tc>
                <w:tcPr>
                  <w:tcW w:w="709" w:type="dxa"/>
                  <w:vAlign w:val="center"/>
                </w:tcPr>
                <w:p w14:paraId="75DAA2F3">
                  <w:pPr>
                    <w:ind w:left="-105" w:leftChars="-50" w:right="-105" w:rightChars="-50"/>
                    <w:jc w:val="center"/>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危险废类别</w:t>
                  </w:r>
                </w:p>
              </w:tc>
              <w:tc>
                <w:tcPr>
                  <w:tcW w:w="1134" w:type="dxa"/>
                  <w:vAlign w:val="center"/>
                </w:tcPr>
                <w:p w14:paraId="5FAA30EC">
                  <w:pPr>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危险废物代码</w:t>
                  </w:r>
                </w:p>
              </w:tc>
              <w:tc>
                <w:tcPr>
                  <w:tcW w:w="567" w:type="dxa"/>
                  <w:vAlign w:val="center"/>
                </w:tcPr>
                <w:p w14:paraId="1F23B643">
                  <w:pPr>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位置</w:t>
                  </w:r>
                </w:p>
              </w:tc>
              <w:tc>
                <w:tcPr>
                  <w:tcW w:w="708" w:type="dxa"/>
                  <w:vAlign w:val="center"/>
                </w:tcPr>
                <w:p w14:paraId="3813EABA">
                  <w:pPr>
                    <w:ind w:left="-105" w:leftChars="-50" w:right="-105" w:rightChars="-50"/>
                    <w:jc w:val="center"/>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占地面积</w:t>
                  </w:r>
                </w:p>
              </w:tc>
              <w:tc>
                <w:tcPr>
                  <w:tcW w:w="567" w:type="dxa"/>
                  <w:vAlign w:val="center"/>
                </w:tcPr>
                <w:p w14:paraId="6F20B8DC">
                  <w:pPr>
                    <w:ind w:left="-105" w:leftChars="-50" w:right="-105" w:rightChars="-50"/>
                    <w:jc w:val="center"/>
                    <w:rPr>
                      <w:b/>
                      <w:color w:val="7030A0"/>
                      <w:szCs w:val="21"/>
                    </w:rPr>
                  </w:pPr>
                  <w:r>
                    <w:rPr>
                      <w:b/>
                      <w:color w:val="000000" w:themeColor="text1"/>
                      <w:szCs w:val="21"/>
                      <w14:textFill>
                        <w14:solidFill>
                          <w14:schemeClr w14:val="tx1"/>
                        </w14:solidFill>
                      </w14:textFill>
                    </w:rPr>
                    <w:t>暂存方式</w:t>
                  </w:r>
                </w:p>
              </w:tc>
              <w:tc>
                <w:tcPr>
                  <w:tcW w:w="709" w:type="dxa"/>
                  <w:vAlign w:val="center"/>
                </w:tcPr>
                <w:p w14:paraId="37518A45">
                  <w:pPr>
                    <w:ind w:left="-105" w:leftChars="-50" w:right="-105" w:rightChars="-50"/>
                    <w:jc w:val="center"/>
                    <w:rPr>
                      <w:b/>
                      <w:color w:val="7030A0"/>
                      <w:szCs w:val="21"/>
                    </w:rPr>
                  </w:pPr>
                  <w:r>
                    <w:rPr>
                      <w:rFonts w:hint="eastAsia"/>
                      <w:b/>
                      <w:color w:val="000000" w:themeColor="text1"/>
                      <w:szCs w:val="21"/>
                      <w14:textFill>
                        <w14:solidFill>
                          <w14:schemeClr w14:val="tx1"/>
                        </w14:solidFill>
                      </w14:textFill>
                    </w:rPr>
                    <w:t>年产生量t/a</w:t>
                  </w:r>
                </w:p>
              </w:tc>
              <w:tc>
                <w:tcPr>
                  <w:tcW w:w="566" w:type="dxa"/>
                  <w:vAlign w:val="center"/>
                </w:tcPr>
                <w:p w14:paraId="5560C136">
                  <w:pPr>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最大存储量t/a</w:t>
                  </w:r>
                </w:p>
              </w:tc>
              <w:tc>
                <w:tcPr>
                  <w:tcW w:w="704" w:type="dxa"/>
                  <w:vAlign w:val="center"/>
                </w:tcPr>
                <w:p w14:paraId="7BE12708">
                  <w:pPr>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储存周期</w:t>
                  </w:r>
                </w:p>
              </w:tc>
            </w:tr>
            <w:tr w14:paraId="04C6F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1DB7F40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772" w:type="dxa"/>
                  <w:vMerge w:val="restart"/>
                  <w:vAlign w:val="center"/>
                </w:tcPr>
                <w:p w14:paraId="35196E2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1276" w:type="dxa"/>
                  <w:vAlign w:val="center"/>
                </w:tcPr>
                <w:p w14:paraId="2BA2F40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水帘柜更换废水</w:t>
                  </w:r>
                </w:p>
              </w:tc>
              <w:tc>
                <w:tcPr>
                  <w:tcW w:w="709" w:type="dxa"/>
                  <w:vAlign w:val="center"/>
                </w:tcPr>
                <w:p w14:paraId="25789D0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1134" w:type="dxa"/>
                  <w:vAlign w:val="center"/>
                </w:tcPr>
                <w:p w14:paraId="1F2D631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900-041-49</w:t>
                  </w:r>
                </w:p>
              </w:tc>
              <w:tc>
                <w:tcPr>
                  <w:tcW w:w="567" w:type="dxa"/>
                  <w:vMerge w:val="restart"/>
                  <w:vAlign w:val="center"/>
                </w:tcPr>
                <w:p w14:paraId="2B3E8C9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厂房东南侧</w:t>
                  </w:r>
                </w:p>
              </w:tc>
              <w:tc>
                <w:tcPr>
                  <w:tcW w:w="708" w:type="dxa"/>
                  <w:vMerge w:val="restart"/>
                  <w:vAlign w:val="center"/>
                </w:tcPr>
                <w:p w14:paraId="19A4820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（储存能力15.0t）</w:t>
                  </w:r>
                </w:p>
              </w:tc>
              <w:tc>
                <w:tcPr>
                  <w:tcW w:w="567" w:type="dxa"/>
                  <w:vAlign w:val="center"/>
                </w:tcPr>
                <w:p w14:paraId="571C3196">
                  <w:pPr>
                    <w:ind w:left="-105" w:leftChars="-50" w:right="-105" w:rightChars="-50"/>
                    <w:jc w:val="center"/>
                    <w:rPr>
                      <w:color w:val="7030A0"/>
                      <w:szCs w:val="21"/>
                    </w:rPr>
                  </w:pPr>
                  <w:r>
                    <w:rPr>
                      <w:rFonts w:hint="eastAsia"/>
                      <w:color w:val="000000" w:themeColor="text1"/>
                      <w:szCs w:val="21"/>
                      <w14:textFill>
                        <w14:solidFill>
                          <w14:schemeClr w14:val="tx1"/>
                        </w14:solidFill>
                      </w14:textFill>
                    </w:rPr>
                    <w:t>桶装</w:t>
                  </w:r>
                </w:p>
              </w:tc>
              <w:tc>
                <w:tcPr>
                  <w:tcW w:w="709" w:type="dxa"/>
                  <w:vAlign w:val="center"/>
                </w:tcPr>
                <w:p w14:paraId="794A9AFB">
                  <w:pPr>
                    <w:ind w:left="-105" w:leftChars="-50" w:right="-105" w:rightChars="-50"/>
                    <w:jc w:val="center"/>
                    <w:rPr>
                      <w:color w:val="7030A0"/>
                      <w:szCs w:val="21"/>
                    </w:rPr>
                  </w:pPr>
                  <w:r>
                    <w:rPr>
                      <w:rFonts w:hint="eastAsia"/>
                      <w:color w:val="000000" w:themeColor="text1"/>
                      <w:szCs w:val="21"/>
                      <w14:textFill>
                        <w14:solidFill>
                          <w14:schemeClr w14:val="tx1"/>
                        </w14:solidFill>
                      </w14:textFill>
                    </w:rPr>
                    <w:t>23.04</w:t>
                  </w:r>
                </w:p>
              </w:tc>
              <w:tc>
                <w:tcPr>
                  <w:tcW w:w="566" w:type="dxa"/>
                  <w:vAlign w:val="center"/>
                </w:tcPr>
                <w:p w14:paraId="6FA71D6F">
                  <w:pPr>
                    <w:ind w:left="-105" w:leftChars="-50" w:right="-105" w:rightChars="-50"/>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5.76</w:t>
                  </w:r>
                </w:p>
              </w:tc>
              <w:tc>
                <w:tcPr>
                  <w:tcW w:w="704" w:type="dxa"/>
                  <w:vAlign w:val="center"/>
                </w:tcPr>
                <w:p w14:paraId="7921124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14:paraId="74A0D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600FBF88">
                  <w:pPr>
                    <w:ind w:left="-105" w:leftChars="-50" w:right="-105" w:rightChars="-50"/>
                    <w:jc w:val="center"/>
                    <w:rPr>
                      <w:color w:val="7030A0"/>
                      <w:szCs w:val="21"/>
                    </w:rPr>
                  </w:pPr>
                  <w:r>
                    <w:rPr>
                      <w:color w:val="000000" w:themeColor="text1"/>
                      <w:szCs w:val="21"/>
                      <w14:textFill>
                        <w14:solidFill>
                          <w14:schemeClr w14:val="tx1"/>
                        </w14:solidFill>
                      </w14:textFill>
                    </w:rPr>
                    <w:t>2</w:t>
                  </w:r>
                </w:p>
              </w:tc>
              <w:tc>
                <w:tcPr>
                  <w:tcW w:w="772" w:type="dxa"/>
                  <w:vMerge w:val="continue"/>
                  <w:vAlign w:val="center"/>
                </w:tcPr>
                <w:p w14:paraId="5733AC8E">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746FAFD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喷枪清洗废水</w:t>
                  </w:r>
                </w:p>
              </w:tc>
              <w:tc>
                <w:tcPr>
                  <w:tcW w:w="709" w:type="dxa"/>
                  <w:vAlign w:val="center"/>
                </w:tcPr>
                <w:p w14:paraId="7BBA507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1134" w:type="dxa"/>
                  <w:vAlign w:val="center"/>
                </w:tcPr>
                <w:p w14:paraId="35AD618F">
                  <w:pPr>
                    <w:ind w:left="-105" w:leftChars="-50" w:right="-105" w:rightChars="-50"/>
                    <w:jc w:val="center"/>
                    <w:rPr>
                      <w:color w:val="7030A0"/>
                      <w:szCs w:val="21"/>
                    </w:rPr>
                  </w:pPr>
                  <w:r>
                    <w:rPr>
                      <w:rFonts w:hint="eastAsia"/>
                      <w:color w:val="000000" w:themeColor="text1"/>
                      <w:szCs w:val="21"/>
                      <w14:textFill>
                        <w14:solidFill>
                          <w14:schemeClr w14:val="tx1"/>
                        </w14:solidFill>
                      </w14:textFill>
                    </w:rPr>
                    <w:t>900-252-12</w:t>
                  </w:r>
                </w:p>
              </w:tc>
              <w:tc>
                <w:tcPr>
                  <w:tcW w:w="567" w:type="dxa"/>
                  <w:vMerge w:val="continue"/>
                  <w:vAlign w:val="center"/>
                </w:tcPr>
                <w:p w14:paraId="578488AF">
                  <w:pPr>
                    <w:ind w:left="-105" w:leftChars="-50" w:right="-105" w:rightChars="-50"/>
                    <w:jc w:val="center"/>
                    <w:rPr>
                      <w:color w:val="7030A0"/>
                      <w:szCs w:val="21"/>
                    </w:rPr>
                  </w:pPr>
                </w:p>
              </w:tc>
              <w:tc>
                <w:tcPr>
                  <w:tcW w:w="708" w:type="dxa"/>
                  <w:vMerge w:val="continue"/>
                  <w:vAlign w:val="center"/>
                </w:tcPr>
                <w:p w14:paraId="127C8455">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4DED73C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桶装</w:t>
                  </w:r>
                </w:p>
              </w:tc>
              <w:tc>
                <w:tcPr>
                  <w:tcW w:w="709" w:type="dxa"/>
                  <w:vAlign w:val="center"/>
                </w:tcPr>
                <w:p w14:paraId="31D89FC1">
                  <w:pPr>
                    <w:ind w:left="-105" w:leftChars="-50" w:right="-105" w:rightChars="-50"/>
                    <w:jc w:val="center"/>
                    <w:rPr>
                      <w:color w:val="0070C0"/>
                      <w:szCs w:val="21"/>
                    </w:rPr>
                  </w:pPr>
                  <w:r>
                    <w:rPr>
                      <w:rFonts w:hint="eastAsia" w:hAnsi="宋体" w:cs="宋体"/>
                      <w:snapToGrid w:val="0"/>
                      <w:color w:val="000000" w:themeColor="text1"/>
                      <w:kern w:val="21"/>
                      <w:szCs w:val="21"/>
                      <w14:textFill>
                        <w14:solidFill>
                          <w14:schemeClr w14:val="tx1"/>
                        </w14:solidFill>
                      </w14:textFill>
                    </w:rPr>
                    <w:t>0.65</w:t>
                  </w:r>
                </w:p>
              </w:tc>
              <w:tc>
                <w:tcPr>
                  <w:tcW w:w="566" w:type="dxa"/>
                  <w:vAlign w:val="center"/>
                </w:tcPr>
                <w:p w14:paraId="297FEE17">
                  <w:pPr>
                    <w:ind w:left="-105" w:leftChars="-50" w:right="-105" w:rightChars="-50"/>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0.</w:t>
                  </w:r>
                  <w:r>
                    <w:rPr>
                      <w:rFonts w:hint="eastAsia" w:eastAsia="等线"/>
                      <w:color w:val="000000" w:themeColor="text1"/>
                      <w:szCs w:val="21"/>
                      <w14:textFill>
                        <w14:solidFill>
                          <w14:schemeClr w14:val="tx1"/>
                        </w14:solidFill>
                      </w14:textFill>
                    </w:rPr>
                    <w:t>16</w:t>
                  </w:r>
                </w:p>
              </w:tc>
              <w:tc>
                <w:tcPr>
                  <w:tcW w:w="704" w:type="dxa"/>
                  <w:vAlign w:val="center"/>
                </w:tcPr>
                <w:p w14:paraId="2BDDBCC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14:paraId="47DC1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58D12801">
                  <w:pPr>
                    <w:ind w:left="-105" w:leftChars="-50" w:right="-105" w:rightChars="-50"/>
                    <w:jc w:val="center"/>
                    <w:rPr>
                      <w:color w:val="7030A0"/>
                      <w:szCs w:val="21"/>
                    </w:rPr>
                  </w:pPr>
                  <w:r>
                    <w:rPr>
                      <w:color w:val="000000" w:themeColor="text1"/>
                      <w:szCs w:val="21"/>
                      <w14:textFill>
                        <w14:solidFill>
                          <w14:schemeClr w14:val="tx1"/>
                        </w14:solidFill>
                      </w14:textFill>
                    </w:rPr>
                    <w:t>3</w:t>
                  </w:r>
                </w:p>
              </w:tc>
              <w:tc>
                <w:tcPr>
                  <w:tcW w:w="772" w:type="dxa"/>
                  <w:vMerge w:val="continue"/>
                  <w:vAlign w:val="center"/>
                </w:tcPr>
                <w:p w14:paraId="6AF8880D">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5B8844D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废活性炭</w:t>
                  </w:r>
                </w:p>
              </w:tc>
              <w:tc>
                <w:tcPr>
                  <w:tcW w:w="709" w:type="dxa"/>
                  <w:vAlign w:val="center"/>
                </w:tcPr>
                <w:p w14:paraId="15C50DE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1134" w:type="dxa"/>
                  <w:vAlign w:val="center"/>
                </w:tcPr>
                <w:p w14:paraId="43B3E436">
                  <w:pPr>
                    <w:ind w:left="-105" w:leftChars="-50" w:right="-105" w:rightChars="-50"/>
                    <w:jc w:val="center"/>
                    <w:rPr>
                      <w:color w:val="7030A0"/>
                      <w:szCs w:val="21"/>
                    </w:rPr>
                  </w:pPr>
                  <w:r>
                    <w:rPr>
                      <w:color w:val="000000" w:themeColor="text1"/>
                      <w:szCs w:val="21"/>
                      <w14:textFill>
                        <w14:solidFill>
                          <w14:schemeClr w14:val="tx1"/>
                        </w14:solidFill>
                      </w14:textFill>
                    </w:rPr>
                    <w:t>900-039-49</w:t>
                  </w:r>
                </w:p>
              </w:tc>
              <w:tc>
                <w:tcPr>
                  <w:tcW w:w="567" w:type="dxa"/>
                  <w:vMerge w:val="continue"/>
                  <w:vAlign w:val="center"/>
                </w:tcPr>
                <w:p w14:paraId="6746BE69">
                  <w:pPr>
                    <w:ind w:left="-105" w:leftChars="-50" w:right="-105" w:rightChars="-50"/>
                    <w:jc w:val="center"/>
                    <w:rPr>
                      <w:color w:val="7030A0"/>
                      <w:szCs w:val="21"/>
                    </w:rPr>
                  </w:pPr>
                </w:p>
              </w:tc>
              <w:tc>
                <w:tcPr>
                  <w:tcW w:w="708" w:type="dxa"/>
                  <w:vMerge w:val="continue"/>
                  <w:vAlign w:val="center"/>
                </w:tcPr>
                <w:p w14:paraId="2003B756">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499D150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袋装</w:t>
                  </w:r>
                </w:p>
              </w:tc>
              <w:tc>
                <w:tcPr>
                  <w:tcW w:w="709" w:type="dxa"/>
                  <w:vAlign w:val="center"/>
                </w:tcPr>
                <w:p w14:paraId="5D087657">
                  <w:pPr>
                    <w:ind w:left="-105" w:leftChars="-50" w:right="-105" w:rightChars="-50"/>
                    <w:jc w:val="center"/>
                    <w:rPr>
                      <w:color w:val="0070C0"/>
                      <w:szCs w:val="21"/>
                    </w:rPr>
                  </w:pPr>
                  <w:r>
                    <w:rPr>
                      <w:rFonts w:hint="eastAsia"/>
                      <w:color w:val="000000" w:themeColor="text1"/>
                      <w:szCs w:val="21"/>
                      <w14:textFill>
                        <w14:solidFill>
                          <w14:schemeClr w14:val="tx1"/>
                        </w14:solidFill>
                      </w14:textFill>
                    </w:rPr>
                    <w:t>10.30</w:t>
                  </w:r>
                </w:p>
              </w:tc>
              <w:tc>
                <w:tcPr>
                  <w:tcW w:w="566" w:type="dxa"/>
                  <w:vAlign w:val="center"/>
                </w:tcPr>
                <w:p w14:paraId="2A3C0BD4">
                  <w:pPr>
                    <w:ind w:left="-105" w:leftChars="-50" w:right="-105" w:rightChars="-50"/>
                    <w:jc w:val="center"/>
                    <w:rPr>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2.58</w:t>
                  </w:r>
                </w:p>
              </w:tc>
              <w:tc>
                <w:tcPr>
                  <w:tcW w:w="704" w:type="dxa"/>
                  <w:vAlign w:val="center"/>
                </w:tcPr>
                <w:p w14:paraId="5C9E818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14:paraId="00A2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6255D227">
                  <w:pPr>
                    <w:ind w:left="-105" w:leftChars="-50" w:right="-105" w:rightChars="-50"/>
                    <w:jc w:val="center"/>
                    <w:rPr>
                      <w:color w:val="7030A0"/>
                      <w:szCs w:val="21"/>
                    </w:rPr>
                  </w:pPr>
                  <w:r>
                    <w:rPr>
                      <w:rFonts w:hint="eastAsia"/>
                      <w:color w:val="000000" w:themeColor="text1"/>
                      <w:szCs w:val="21"/>
                      <w14:textFill>
                        <w14:solidFill>
                          <w14:schemeClr w14:val="tx1"/>
                        </w14:solidFill>
                      </w14:textFill>
                    </w:rPr>
                    <w:t>4</w:t>
                  </w:r>
                </w:p>
              </w:tc>
              <w:tc>
                <w:tcPr>
                  <w:tcW w:w="772" w:type="dxa"/>
                  <w:vMerge w:val="continue"/>
                  <w:vAlign w:val="center"/>
                </w:tcPr>
                <w:p w14:paraId="116BFC3C">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76B84A0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喷漆、晾干废气处理装置喷淋塔定期更换废水</w:t>
                  </w:r>
                </w:p>
              </w:tc>
              <w:tc>
                <w:tcPr>
                  <w:tcW w:w="709" w:type="dxa"/>
                  <w:vAlign w:val="center"/>
                </w:tcPr>
                <w:p w14:paraId="16FC221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1134" w:type="dxa"/>
                  <w:vAlign w:val="center"/>
                </w:tcPr>
                <w:p w14:paraId="61B5A83F">
                  <w:pPr>
                    <w:ind w:left="-105" w:leftChars="-50" w:right="-105" w:rightChars="-50"/>
                    <w:jc w:val="center"/>
                    <w:rPr>
                      <w:color w:val="7030A0"/>
                      <w:szCs w:val="21"/>
                    </w:rPr>
                  </w:pPr>
                  <w:r>
                    <w:rPr>
                      <w:rFonts w:hint="eastAsia"/>
                      <w:color w:val="000000" w:themeColor="text1"/>
                      <w:szCs w:val="21"/>
                      <w14:textFill>
                        <w14:solidFill>
                          <w14:schemeClr w14:val="tx1"/>
                        </w14:solidFill>
                      </w14:textFill>
                    </w:rPr>
                    <w:t>900-039-49</w:t>
                  </w:r>
                </w:p>
              </w:tc>
              <w:tc>
                <w:tcPr>
                  <w:tcW w:w="567" w:type="dxa"/>
                  <w:vMerge w:val="continue"/>
                  <w:vAlign w:val="center"/>
                </w:tcPr>
                <w:p w14:paraId="11046071">
                  <w:pPr>
                    <w:ind w:left="-105" w:leftChars="-50" w:right="-105" w:rightChars="-50"/>
                    <w:jc w:val="center"/>
                    <w:rPr>
                      <w:color w:val="7030A0"/>
                      <w:szCs w:val="21"/>
                    </w:rPr>
                  </w:pPr>
                </w:p>
              </w:tc>
              <w:tc>
                <w:tcPr>
                  <w:tcW w:w="708" w:type="dxa"/>
                  <w:vMerge w:val="continue"/>
                  <w:vAlign w:val="center"/>
                </w:tcPr>
                <w:p w14:paraId="6FF48393">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126884E8">
                  <w:pPr>
                    <w:ind w:left="-105" w:leftChars="-50" w:right="-105" w:rightChars="-50"/>
                    <w:jc w:val="center"/>
                    <w:rPr>
                      <w:color w:val="7030A0"/>
                      <w:szCs w:val="21"/>
                    </w:rPr>
                  </w:pPr>
                  <w:r>
                    <w:rPr>
                      <w:rFonts w:hint="eastAsia"/>
                      <w:color w:val="000000" w:themeColor="text1"/>
                      <w:szCs w:val="21"/>
                      <w14:textFill>
                        <w14:solidFill>
                          <w14:schemeClr w14:val="tx1"/>
                        </w14:solidFill>
                      </w14:textFill>
                    </w:rPr>
                    <w:t>桶装</w:t>
                  </w:r>
                </w:p>
              </w:tc>
              <w:tc>
                <w:tcPr>
                  <w:tcW w:w="709" w:type="dxa"/>
                  <w:vAlign w:val="center"/>
                </w:tcPr>
                <w:p w14:paraId="1FDA6583">
                  <w:pPr>
                    <w:ind w:left="-105" w:leftChars="-50" w:right="-105" w:rightChars="-50"/>
                    <w:jc w:val="center"/>
                    <w:rPr>
                      <w:color w:val="7030A0"/>
                      <w:szCs w:val="21"/>
                    </w:rPr>
                  </w:pPr>
                  <w:r>
                    <w:rPr>
                      <w:rFonts w:hint="eastAsia"/>
                      <w:color w:val="000000" w:themeColor="text1"/>
                      <w:szCs w:val="21"/>
                      <w14:textFill>
                        <w14:solidFill>
                          <w14:schemeClr w14:val="tx1"/>
                        </w14:solidFill>
                      </w14:textFill>
                    </w:rPr>
                    <w:t>11</w:t>
                  </w:r>
                  <w:r>
                    <w:rPr>
                      <w:color w:val="000000" w:themeColor="text1"/>
                      <w:szCs w:val="21"/>
                      <w14:textFill>
                        <w14:solidFill>
                          <w14:schemeClr w14:val="tx1"/>
                        </w14:solidFill>
                      </w14:textFill>
                    </w:rPr>
                    <w:t>.68</w:t>
                  </w:r>
                </w:p>
              </w:tc>
              <w:tc>
                <w:tcPr>
                  <w:tcW w:w="566" w:type="dxa"/>
                  <w:vAlign w:val="center"/>
                </w:tcPr>
                <w:p w14:paraId="4EBF7E57">
                  <w:pPr>
                    <w:ind w:left="-105" w:leftChars="-50" w:right="-105" w:rightChars="-50"/>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2.92</w:t>
                  </w:r>
                </w:p>
              </w:tc>
              <w:tc>
                <w:tcPr>
                  <w:tcW w:w="704" w:type="dxa"/>
                  <w:vAlign w:val="center"/>
                </w:tcPr>
                <w:p w14:paraId="235EA31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14:paraId="105A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0186BB4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772" w:type="dxa"/>
                  <w:vMerge w:val="continue"/>
                  <w:vAlign w:val="center"/>
                </w:tcPr>
                <w:p w14:paraId="28CA955D">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7ED0E81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干式过滤器废滤料</w:t>
                  </w:r>
                </w:p>
              </w:tc>
              <w:tc>
                <w:tcPr>
                  <w:tcW w:w="709" w:type="dxa"/>
                  <w:vAlign w:val="center"/>
                </w:tcPr>
                <w:p w14:paraId="2F641DB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1134" w:type="dxa"/>
                  <w:vAlign w:val="center"/>
                </w:tcPr>
                <w:p w14:paraId="2ED4106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900-041-49</w:t>
                  </w:r>
                </w:p>
              </w:tc>
              <w:tc>
                <w:tcPr>
                  <w:tcW w:w="567" w:type="dxa"/>
                  <w:vMerge w:val="continue"/>
                  <w:vAlign w:val="center"/>
                </w:tcPr>
                <w:p w14:paraId="188617FC">
                  <w:pPr>
                    <w:ind w:left="-105" w:leftChars="-50" w:right="-105" w:rightChars="-50"/>
                    <w:jc w:val="center"/>
                    <w:rPr>
                      <w:color w:val="7030A0"/>
                      <w:szCs w:val="21"/>
                    </w:rPr>
                  </w:pPr>
                </w:p>
              </w:tc>
              <w:tc>
                <w:tcPr>
                  <w:tcW w:w="708" w:type="dxa"/>
                  <w:vMerge w:val="continue"/>
                  <w:vAlign w:val="center"/>
                </w:tcPr>
                <w:p w14:paraId="6B52ECD8">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6755138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桶装</w:t>
                  </w:r>
                </w:p>
              </w:tc>
              <w:tc>
                <w:tcPr>
                  <w:tcW w:w="709" w:type="dxa"/>
                  <w:vAlign w:val="center"/>
                </w:tcPr>
                <w:p w14:paraId="45DBF671">
                  <w:pPr>
                    <w:ind w:left="-105" w:leftChars="-50" w:right="-105" w:rightChars="-50"/>
                    <w:jc w:val="center"/>
                    <w:rPr>
                      <w:color w:val="7030A0"/>
                      <w:szCs w:val="21"/>
                    </w:rPr>
                  </w:pPr>
                  <w:r>
                    <w:rPr>
                      <w:rFonts w:hint="eastAsia"/>
                      <w:color w:val="000000" w:themeColor="text1"/>
                      <w:szCs w:val="21"/>
                      <w14:textFill>
                        <w14:solidFill>
                          <w14:schemeClr w14:val="tx1"/>
                        </w14:solidFill>
                      </w14:textFill>
                    </w:rPr>
                    <w:t>0.05</w:t>
                  </w:r>
                </w:p>
              </w:tc>
              <w:tc>
                <w:tcPr>
                  <w:tcW w:w="566" w:type="dxa"/>
                  <w:vAlign w:val="center"/>
                </w:tcPr>
                <w:p w14:paraId="228A2E4F">
                  <w:pPr>
                    <w:ind w:left="-105" w:leftChars="-50" w:right="-105" w:rightChars="-50"/>
                    <w:jc w:val="center"/>
                    <w:rPr>
                      <w:rFonts w:eastAsia="等线"/>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0.02</w:t>
                  </w:r>
                </w:p>
              </w:tc>
              <w:tc>
                <w:tcPr>
                  <w:tcW w:w="704" w:type="dxa"/>
                  <w:vAlign w:val="center"/>
                </w:tcPr>
                <w:p w14:paraId="2A1F5DB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3年</w:t>
                  </w:r>
                </w:p>
              </w:tc>
            </w:tr>
            <w:tr w14:paraId="021AD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06ED98AE">
                  <w:pPr>
                    <w:ind w:left="-105" w:leftChars="-50" w:right="-105" w:rightChars="-50"/>
                    <w:jc w:val="center"/>
                    <w:rPr>
                      <w:color w:val="7030A0"/>
                      <w:szCs w:val="21"/>
                    </w:rPr>
                  </w:pPr>
                  <w:r>
                    <w:rPr>
                      <w:rFonts w:hint="eastAsia"/>
                      <w:color w:val="000000" w:themeColor="text1"/>
                      <w:szCs w:val="21"/>
                      <w14:textFill>
                        <w14:solidFill>
                          <w14:schemeClr w14:val="tx1"/>
                        </w14:solidFill>
                      </w14:textFill>
                    </w:rPr>
                    <w:t>6</w:t>
                  </w:r>
                </w:p>
              </w:tc>
              <w:tc>
                <w:tcPr>
                  <w:tcW w:w="772" w:type="dxa"/>
                  <w:vMerge w:val="continue"/>
                  <w:vAlign w:val="center"/>
                </w:tcPr>
                <w:p w14:paraId="6406F997">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7AA20BE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c>
                <w:tcPr>
                  <w:tcW w:w="709" w:type="dxa"/>
                  <w:vAlign w:val="center"/>
                </w:tcPr>
                <w:p w14:paraId="35AF909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HW08</w:t>
                  </w:r>
                </w:p>
              </w:tc>
              <w:tc>
                <w:tcPr>
                  <w:tcW w:w="1134" w:type="dxa"/>
                  <w:vAlign w:val="center"/>
                </w:tcPr>
                <w:p w14:paraId="2B4B7588">
                  <w:pPr>
                    <w:ind w:left="-105" w:leftChars="-50" w:right="-105" w:rightChars="-50"/>
                    <w:jc w:val="center"/>
                    <w:rPr>
                      <w:color w:val="7030A0"/>
                      <w:szCs w:val="21"/>
                    </w:rPr>
                  </w:pPr>
                  <w:r>
                    <w:rPr>
                      <w:color w:val="000000" w:themeColor="text1"/>
                      <w:szCs w:val="21"/>
                      <w14:textFill>
                        <w14:solidFill>
                          <w14:schemeClr w14:val="tx1"/>
                        </w14:solidFill>
                      </w14:textFill>
                    </w:rPr>
                    <w:t>900-214-08</w:t>
                  </w:r>
                </w:p>
              </w:tc>
              <w:tc>
                <w:tcPr>
                  <w:tcW w:w="567" w:type="dxa"/>
                  <w:vMerge w:val="continue"/>
                  <w:vAlign w:val="center"/>
                </w:tcPr>
                <w:p w14:paraId="08E8B97A">
                  <w:pPr>
                    <w:ind w:left="-105" w:leftChars="-50" w:right="-105" w:rightChars="-50"/>
                    <w:jc w:val="center"/>
                    <w:rPr>
                      <w:color w:val="7030A0"/>
                      <w:szCs w:val="21"/>
                    </w:rPr>
                  </w:pPr>
                </w:p>
              </w:tc>
              <w:tc>
                <w:tcPr>
                  <w:tcW w:w="708" w:type="dxa"/>
                  <w:vMerge w:val="continue"/>
                  <w:vAlign w:val="center"/>
                </w:tcPr>
                <w:p w14:paraId="63203357">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655E8F62">
                  <w:pPr>
                    <w:ind w:left="-105" w:leftChars="-50" w:right="-105" w:rightChars="-50"/>
                    <w:jc w:val="center"/>
                    <w:rPr>
                      <w:color w:val="7030A0"/>
                      <w:szCs w:val="21"/>
                    </w:rPr>
                  </w:pPr>
                  <w:r>
                    <w:rPr>
                      <w:rFonts w:hint="eastAsia"/>
                      <w:color w:val="000000" w:themeColor="text1"/>
                      <w:szCs w:val="21"/>
                      <w14:textFill>
                        <w14:solidFill>
                          <w14:schemeClr w14:val="tx1"/>
                        </w14:solidFill>
                      </w14:textFill>
                    </w:rPr>
                    <w:t>桶装</w:t>
                  </w:r>
                </w:p>
              </w:tc>
              <w:tc>
                <w:tcPr>
                  <w:tcW w:w="709" w:type="dxa"/>
                  <w:vAlign w:val="center"/>
                </w:tcPr>
                <w:p w14:paraId="5D70A098">
                  <w:pPr>
                    <w:ind w:left="-105" w:leftChars="-50" w:right="-105" w:rightChars="-50"/>
                    <w:jc w:val="center"/>
                    <w:rPr>
                      <w:color w:val="7030A0"/>
                      <w:szCs w:val="21"/>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p>
              </w:tc>
              <w:tc>
                <w:tcPr>
                  <w:tcW w:w="566" w:type="dxa"/>
                  <w:vAlign w:val="center"/>
                </w:tcPr>
                <w:p w14:paraId="77AF8953">
                  <w:pPr>
                    <w:ind w:left="-105" w:leftChars="-50" w:right="-105" w:rightChars="-50"/>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0.01</w:t>
                  </w:r>
                </w:p>
              </w:tc>
              <w:tc>
                <w:tcPr>
                  <w:tcW w:w="704" w:type="dxa"/>
                  <w:vAlign w:val="center"/>
                </w:tcPr>
                <w:p w14:paraId="2434367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1年</w:t>
                  </w:r>
                </w:p>
              </w:tc>
            </w:tr>
            <w:tr w14:paraId="05765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5A41946C">
                  <w:pPr>
                    <w:ind w:left="-105" w:leftChars="-50" w:right="-105" w:rightChars="-50"/>
                    <w:jc w:val="center"/>
                    <w:rPr>
                      <w:color w:val="7030A0"/>
                      <w:szCs w:val="21"/>
                    </w:rPr>
                  </w:pPr>
                  <w:r>
                    <w:rPr>
                      <w:rFonts w:hint="eastAsia"/>
                      <w:color w:val="000000" w:themeColor="text1"/>
                      <w:szCs w:val="21"/>
                      <w14:textFill>
                        <w14:solidFill>
                          <w14:schemeClr w14:val="tx1"/>
                        </w14:solidFill>
                      </w14:textFill>
                    </w:rPr>
                    <w:t>7</w:t>
                  </w:r>
                </w:p>
              </w:tc>
              <w:tc>
                <w:tcPr>
                  <w:tcW w:w="772" w:type="dxa"/>
                  <w:vMerge w:val="continue"/>
                  <w:vAlign w:val="center"/>
                </w:tcPr>
                <w:p w14:paraId="20E7E534">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7B50D0E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废含机油抹布及手套、废含油漆抹布及手套</w:t>
                  </w:r>
                </w:p>
              </w:tc>
              <w:tc>
                <w:tcPr>
                  <w:tcW w:w="709" w:type="dxa"/>
                  <w:vAlign w:val="center"/>
                </w:tcPr>
                <w:p w14:paraId="666C40E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1134" w:type="dxa"/>
                  <w:vAlign w:val="center"/>
                </w:tcPr>
                <w:p w14:paraId="6201F2D8">
                  <w:pPr>
                    <w:ind w:left="-105" w:leftChars="-50" w:right="-105" w:rightChars="-50"/>
                    <w:jc w:val="center"/>
                    <w:rPr>
                      <w:color w:val="7030A0"/>
                      <w:szCs w:val="21"/>
                    </w:rPr>
                  </w:pPr>
                  <w:r>
                    <w:rPr>
                      <w:color w:val="000000" w:themeColor="text1"/>
                      <w:szCs w:val="21"/>
                      <w14:textFill>
                        <w14:solidFill>
                          <w14:schemeClr w14:val="tx1"/>
                        </w14:solidFill>
                      </w14:textFill>
                    </w:rPr>
                    <w:t>900-041-49</w:t>
                  </w:r>
                </w:p>
              </w:tc>
              <w:tc>
                <w:tcPr>
                  <w:tcW w:w="567" w:type="dxa"/>
                  <w:vMerge w:val="continue"/>
                  <w:vAlign w:val="center"/>
                </w:tcPr>
                <w:p w14:paraId="7FCE3303">
                  <w:pPr>
                    <w:ind w:left="-105" w:leftChars="-50" w:right="-105" w:rightChars="-50"/>
                    <w:jc w:val="center"/>
                    <w:rPr>
                      <w:color w:val="7030A0"/>
                      <w:szCs w:val="21"/>
                    </w:rPr>
                  </w:pPr>
                </w:p>
              </w:tc>
              <w:tc>
                <w:tcPr>
                  <w:tcW w:w="708" w:type="dxa"/>
                  <w:vMerge w:val="continue"/>
                  <w:vAlign w:val="center"/>
                </w:tcPr>
                <w:p w14:paraId="24880589">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11490D99">
                  <w:pPr>
                    <w:ind w:left="-105" w:leftChars="-50" w:right="-105" w:rightChars="-50"/>
                    <w:jc w:val="center"/>
                    <w:rPr>
                      <w:color w:val="7030A0"/>
                      <w:szCs w:val="21"/>
                    </w:rPr>
                  </w:pPr>
                  <w:r>
                    <w:rPr>
                      <w:rFonts w:hint="eastAsia"/>
                      <w:color w:val="000000" w:themeColor="text1"/>
                      <w:szCs w:val="21"/>
                      <w14:textFill>
                        <w14:solidFill>
                          <w14:schemeClr w14:val="tx1"/>
                        </w14:solidFill>
                      </w14:textFill>
                    </w:rPr>
                    <w:t>袋装</w:t>
                  </w:r>
                </w:p>
              </w:tc>
              <w:tc>
                <w:tcPr>
                  <w:tcW w:w="709" w:type="dxa"/>
                  <w:vAlign w:val="center"/>
                </w:tcPr>
                <w:p w14:paraId="2825E393">
                  <w:pPr>
                    <w:ind w:left="-105" w:leftChars="-50" w:right="-105" w:rightChars="-50"/>
                    <w:jc w:val="center"/>
                    <w:rPr>
                      <w:color w:val="7030A0"/>
                      <w:szCs w:val="21"/>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p>
              </w:tc>
              <w:tc>
                <w:tcPr>
                  <w:tcW w:w="566" w:type="dxa"/>
                  <w:vAlign w:val="center"/>
                </w:tcPr>
                <w:p w14:paraId="3A9B5C3B">
                  <w:pPr>
                    <w:ind w:left="-105" w:leftChars="-50" w:right="-105" w:rightChars="-50"/>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0.01</w:t>
                  </w:r>
                </w:p>
              </w:tc>
              <w:tc>
                <w:tcPr>
                  <w:tcW w:w="704" w:type="dxa"/>
                  <w:vAlign w:val="center"/>
                </w:tcPr>
                <w:p w14:paraId="752E1F5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1年</w:t>
                  </w:r>
                </w:p>
              </w:tc>
            </w:tr>
            <w:tr w14:paraId="2E6A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2793CBED">
                  <w:pPr>
                    <w:ind w:left="-105" w:leftChars="-50" w:right="-105" w:rightChars="-50"/>
                    <w:jc w:val="center"/>
                    <w:rPr>
                      <w:color w:val="7030A0"/>
                      <w:szCs w:val="21"/>
                    </w:rPr>
                  </w:pPr>
                  <w:r>
                    <w:rPr>
                      <w:rFonts w:hint="eastAsia"/>
                      <w:color w:val="000000" w:themeColor="text1"/>
                      <w:szCs w:val="21"/>
                      <w14:textFill>
                        <w14:solidFill>
                          <w14:schemeClr w14:val="tx1"/>
                        </w14:solidFill>
                      </w14:textFill>
                    </w:rPr>
                    <w:t>8</w:t>
                  </w:r>
                </w:p>
              </w:tc>
              <w:tc>
                <w:tcPr>
                  <w:tcW w:w="772" w:type="dxa"/>
                  <w:vMerge w:val="continue"/>
                  <w:vAlign w:val="center"/>
                </w:tcPr>
                <w:p w14:paraId="6C030362">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4AA5C0F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废机油包装桶</w:t>
                  </w:r>
                </w:p>
              </w:tc>
              <w:tc>
                <w:tcPr>
                  <w:tcW w:w="709" w:type="dxa"/>
                  <w:vAlign w:val="center"/>
                </w:tcPr>
                <w:p w14:paraId="53E868A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1134" w:type="dxa"/>
                  <w:vAlign w:val="center"/>
                </w:tcPr>
                <w:p w14:paraId="16045705">
                  <w:pPr>
                    <w:ind w:left="-105" w:leftChars="-50" w:right="-105" w:rightChars="-50"/>
                    <w:jc w:val="center"/>
                    <w:rPr>
                      <w:color w:val="7030A0"/>
                      <w:szCs w:val="21"/>
                    </w:rPr>
                  </w:pPr>
                  <w:r>
                    <w:rPr>
                      <w:color w:val="000000" w:themeColor="text1"/>
                      <w:szCs w:val="21"/>
                      <w14:textFill>
                        <w14:solidFill>
                          <w14:schemeClr w14:val="tx1"/>
                        </w14:solidFill>
                      </w14:textFill>
                    </w:rPr>
                    <w:t>900-041-49</w:t>
                  </w:r>
                </w:p>
              </w:tc>
              <w:tc>
                <w:tcPr>
                  <w:tcW w:w="567" w:type="dxa"/>
                  <w:vMerge w:val="continue"/>
                  <w:vAlign w:val="center"/>
                </w:tcPr>
                <w:p w14:paraId="3F8B07B3">
                  <w:pPr>
                    <w:ind w:left="-105" w:leftChars="-50" w:right="-105" w:rightChars="-50"/>
                    <w:jc w:val="center"/>
                    <w:rPr>
                      <w:color w:val="7030A0"/>
                      <w:szCs w:val="21"/>
                    </w:rPr>
                  </w:pPr>
                </w:p>
              </w:tc>
              <w:tc>
                <w:tcPr>
                  <w:tcW w:w="708" w:type="dxa"/>
                  <w:vMerge w:val="continue"/>
                  <w:vAlign w:val="center"/>
                </w:tcPr>
                <w:p w14:paraId="53B3304C">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1C50BE62">
                  <w:pPr>
                    <w:ind w:left="-105" w:leftChars="-50" w:right="-105" w:rightChars="-50"/>
                    <w:jc w:val="center"/>
                    <w:rPr>
                      <w:color w:val="7030A0"/>
                      <w:szCs w:val="21"/>
                    </w:rPr>
                  </w:pPr>
                  <w:r>
                    <w:rPr>
                      <w:rFonts w:hint="eastAsia"/>
                      <w:color w:val="000000" w:themeColor="text1"/>
                      <w:szCs w:val="21"/>
                      <w14:textFill>
                        <w14:solidFill>
                          <w14:schemeClr w14:val="tx1"/>
                        </w14:solidFill>
                      </w14:textFill>
                    </w:rPr>
                    <w:t>桶装</w:t>
                  </w:r>
                </w:p>
              </w:tc>
              <w:tc>
                <w:tcPr>
                  <w:tcW w:w="709" w:type="dxa"/>
                  <w:vAlign w:val="center"/>
                </w:tcPr>
                <w:p w14:paraId="7D75CB9A">
                  <w:pPr>
                    <w:ind w:left="-105" w:leftChars="-50" w:right="-105" w:rightChars="-50"/>
                    <w:jc w:val="center"/>
                    <w:rPr>
                      <w:color w:val="7030A0"/>
                      <w:szCs w:val="21"/>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p>
              </w:tc>
              <w:tc>
                <w:tcPr>
                  <w:tcW w:w="566" w:type="dxa"/>
                  <w:vAlign w:val="center"/>
                </w:tcPr>
                <w:p w14:paraId="60A48938">
                  <w:pPr>
                    <w:ind w:left="-105" w:leftChars="-50" w:right="-105" w:rightChars="-50"/>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0.01</w:t>
                  </w:r>
                </w:p>
              </w:tc>
              <w:tc>
                <w:tcPr>
                  <w:tcW w:w="704" w:type="dxa"/>
                  <w:vAlign w:val="center"/>
                </w:tcPr>
                <w:p w14:paraId="23311E7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1年</w:t>
                  </w:r>
                </w:p>
              </w:tc>
            </w:tr>
            <w:tr w14:paraId="52DD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3DD94FFA">
                  <w:pPr>
                    <w:ind w:left="-105" w:leftChars="-50" w:right="-105" w:rightChars="-50"/>
                    <w:jc w:val="center"/>
                    <w:rPr>
                      <w:color w:val="7030A0"/>
                      <w:szCs w:val="21"/>
                    </w:rPr>
                  </w:pPr>
                  <w:r>
                    <w:rPr>
                      <w:rFonts w:hint="eastAsia"/>
                      <w:color w:val="000000" w:themeColor="text1"/>
                      <w:szCs w:val="21"/>
                      <w14:textFill>
                        <w14:solidFill>
                          <w14:schemeClr w14:val="tx1"/>
                        </w14:solidFill>
                      </w14:textFill>
                    </w:rPr>
                    <w:t>9</w:t>
                  </w:r>
                </w:p>
              </w:tc>
              <w:tc>
                <w:tcPr>
                  <w:tcW w:w="772" w:type="dxa"/>
                  <w:vMerge w:val="continue"/>
                  <w:vAlign w:val="center"/>
                </w:tcPr>
                <w:p w14:paraId="54DE0D53">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65B20B6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漆渣</w:t>
                  </w:r>
                </w:p>
              </w:tc>
              <w:tc>
                <w:tcPr>
                  <w:tcW w:w="709" w:type="dxa"/>
                  <w:vAlign w:val="center"/>
                </w:tcPr>
                <w:p w14:paraId="7A6B8D7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1134" w:type="dxa"/>
                  <w:vAlign w:val="center"/>
                </w:tcPr>
                <w:p w14:paraId="0B1EC010">
                  <w:pPr>
                    <w:ind w:left="-105" w:leftChars="-50" w:right="-105" w:rightChars="-50"/>
                    <w:jc w:val="center"/>
                    <w:rPr>
                      <w:color w:val="7030A0"/>
                      <w:szCs w:val="21"/>
                    </w:rPr>
                  </w:pPr>
                  <w:r>
                    <w:rPr>
                      <w:rFonts w:hint="eastAsia"/>
                      <w:color w:val="000000" w:themeColor="text1"/>
                      <w:szCs w:val="21"/>
                      <w14:textFill>
                        <w14:solidFill>
                          <w14:schemeClr w14:val="tx1"/>
                        </w14:solidFill>
                      </w14:textFill>
                    </w:rPr>
                    <w:t>900-252-12</w:t>
                  </w:r>
                </w:p>
              </w:tc>
              <w:tc>
                <w:tcPr>
                  <w:tcW w:w="567" w:type="dxa"/>
                  <w:vMerge w:val="continue"/>
                  <w:vAlign w:val="center"/>
                </w:tcPr>
                <w:p w14:paraId="35BAD159">
                  <w:pPr>
                    <w:ind w:left="-105" w:leftChars="-50" w:right="-105" w:rightChars="-50"/>
                    <w:jc w:val="center"/>
                    <w:rPr>
                      <w:color w:val="7030A0"/>
                      <w:szCs w:val="21"/>
                    </w:rPr>
                  </w:pPr>
                </w:p>
              </w:tc>
              <w:tc>
                <w:tcPr>
                  <w:tcW w:w="708" w:type="dxa"/>
                  <w:vMerge w:val="continue"/>
                  <w:vAlign w:val="center"/>
                </w:tcPr>
                <w:p w14:paraId="5AFE0B43">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5F02F19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袋装</w:t>
                  </w:r>
                </w:p>
              </w:tc>
              <w:tc>
                <w:tcPr>
                  <w:tcW w:w="709" w:type="dxa"/>
                  <w:vAlign w:val="center"/>
                </w:tcPr>
                <w:p w14:paraId="3C3CB01C">
                  <w:pPr>
                    <w:ind w:left="-105" w:leftChars="-50" w:right="-105" w:rightChars="-50"/>
                    <w:jc w:val="center"/>
                    <w:rPr>
                      <w:color w:val="0070C0"/>
                      <w:szCs w:val="21"/>
                    </w:rPr>
                  </w:pPr>
                  <w:r>
                    <w:rPr>
                      <w:rFonts w:hint="eastAsia"/>
                      <w:color w:val="000000" w:themeColor="text1"/>
                      <w:szCs w:val="21"/>
                      <w14:textFill>
                        <w14:solidFill>
                          <w14:schemeClr w14:val="tx1"/>
                        </w14:solidFill>
                      </w14:textFill>
                    </w:rPr>
                    <w:t>2.97</w:t>
                  </w:r>
                </w:p>
              </w:tc>
              <w:tc>
                <w:tcPr>
                  <w:tcW w:w="566" w:type="dxa"/>
                  <w:vAlign w:val="center"/>
                </w:tcPr>
                <w:p w14:paraId="0EFA148E">
                  <w:pPr>
                    <w:ind w:left="-105" w:leftChars="-50" w:right="-105" w:rightChars="-50"/>
                    <w:jc w:val="center"/>
                    <w:rPr>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0.74</w:t>
                  </w:r>
                </w:p>
              </w:tc>
              <w:tc>
                <w:tcPr>
                  <w:tcW w:w="704" w:type="dxa"/>
                  <w:vAlign w:val="center"/>
                </w:tcPr>
                <w:p w14:paraId="2AF34D0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14:paraId="72372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14:paraId="2078D01A">
                  <w:pPr>
                    <w:ind w:left="-105" w:leftChars="-50" w:right="-105" w:rightChars="-50"/>
                    <w:jc w:val="center"/>
                    <w:rPr>
                      <w:color w:val="7030A0"/>
                      <w:szCs w:val="21"/>
                    </w:rPr>
                  </w:pPr>
                  <w:r>
                    <w:rPr>
                      <w:rFonts w:hint="eastAsia"/>
                      <w:color w:val="000000" w:themeColor="text1"/>
                      <w:szCs w:val="21"/>
                      <w14:textFill>
                        <w14:solidFill>
                          <w14:schemeClr w14:val="tx1"/>
                        </w14:solidFill>
                      </w14:textFill>
                    </w:rPr>
                    <w:t>10</w:t>
                  </w:r>
                </w:p>
              </w:tc>
              <w:tc>
                <w:tcPr>
                  <w:tcW w:w="772" w:type="dxa"/>
                  <w:vMerge w:val="continue"/>
                  <w:vAlign w:val="center"/>
                </w:tcPr>
                <w:p w14:paraId="55D43CA0">
                  <w:pPr>
                    <w:ind w:left="-105" w:leftChars="-50" w:right="-105" w:rightChars="-50"/>
                    <w:jc w:val="center"/>
                    <w:rPr>
                      <w:color w:val="000000" w:themeColor="text1"/>
                      <w:szCs w:val="21"/>
                      <w14:textFill>
                        <w14:solidFill>
                          <w14:schemeClr w14:val="tx1"/>
                        </w14:solidFill>
                      </w14:textFill>
                    </w:rPr>
                  </w:pPr>
                </w:p>
              </w:tc>
              <w:tc>
                <w:tcPr>
                  <w:tcW w:w="1276" w:type="dxa"/>
                  <w:vAlign w:val="center"/>
                </w:tcPr>
                <w:p w14:paraId="4A26B56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废包装桶</w:t>
                  </w:r>
                </w:p>
              </w:tc>
              <w:tc>
                <w:tcPr>
                  <w:tcW w:w="709" w:type="dxa"/>
                  <w:vAlign w:val="center"/>
                </w:tcPr>
                <w:p w14:paraId="4A09B36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1134" w:type="dxa"/>
                  <w:vAlign w:val="center"/>
                </w:tcPr>
                <w:p w14:paraId="7134CD89">
                  <w:pPr>
                    <w:ind w:left="-105" w:leftChars="-50" w:right="-105" w:rightChars="-50"/>
                    <w:jc w:val="center"/>
                    <w:rPr>
                      <w:color w:val="7030A0"/>
                      <w:szCs w:val="21"/>
                    </w:rPr>
                  </w:pPr>
                  <w:r>
                    <w:rPr>
                      <w:rFonts w:hint="eastAsia"/>
                      <w:color w:val="000000" w:themeColor="text1"/>
                      <w:szCs w:val="21"/>
                      <w14:textFill>
                        <w14:solidFill>
                          <w14:schemeClr w14:val="tx1"/>
                        </w14:solidFill>
                      </w14:textFill>
                    </w:rPr>
                    <w:t>900-252-12</w:t>
                  </w:r>
                </w:p>
              </w:tc>
              <w:tc>
                <w:tcPr>
                  <w:tcW w:w="567" w:type="dxa"/>
                  <w:vMerge w:val="continue"/>
                  <w:vAlign w:val="center"/>
                </w:tcPr>
                <w:p w14:paraId="11BDED6B">
                  <w:pPr>
                    <w:ind w:left="-105" w:leftChars="-50" w:right="-105" w:rightChars="-50"/>
                    <w:jc w:val="center"/>
                    <w:rPr>
                      <w:color w:val="7030A0"/>
                      <w:szCs w:val="21"/>
                    </w:rPr>
                  </w:pPr>
                </w:p>
              </w:tc>
              <w:tc>
                <w:tcPr>
                  <w:tcW w:w="708" w:type="dxa"/>
                  <w:vMerge w:val="continue"/>
                  <w:vAlign w:val="center"/>
                </w:tcPr>
                <w:p w14:paraId="3E49E409">
                  <w:pPr>
                    <w:ind w:left="-105" w:leftChars="-50" w:right="-105" w:rightChars="-50"/>
                    <w:jc w:val="center"/>
                    <w:rPr>
                      <w:color w:val="000000" w:themeColor="text1"/>
                      <w:szCs w:val="21"/>
                      <w14:textFill>
                        <w14:solidFill>
                          <w14:schemeClr w14:val="tx1"/>
                        </w14:solidFill>
                      </w14:textFill>
                    </w:rPr>
                  </w:pPr>
                </w:p>
              </w:tc>
              <w:tc>
                <w:tcPr>
                  <w:tcW w:w="567" w:type="dxa"/>
                  <w:vAlign w:val="center"/>
                </w:tcPr>
                <w:p w14:paraId="33BDEFA8">
                  <w:pPr>
                    <w:ind w:left="-105" w:leftChars="-50" w:right="-105" w:rightChars="-50"/>
                    <w:jc w:val="center"/>
                    <w:rPr>
                      <w:color w:val="7030A0"/>
                      <w:szCs w:val="21"/>
                    </w:rPr>
                  </w:pPr>
                  <w:r>
                    <w:rPr>
                      <w:rFonts w:hint="eastAsia"/>
                      <w:color w:val="000000" w:themeColor="text1"/>
                      <w:szCs w:val="21"/>
                      <w14:textFill>
                        <w14:solidFill>
                          <w14:schemeClr w14:val="tx1"/>
                        </w14:solidFill>
                      </w14:textFill>
                    </w:rPr>
                    <w:t>袋装</w:t>
                  </w:r>
                </w:p>
              </w:tc>
              <w:tc>
                <w:tcPr>
                  <w:tcW w:w="709" w:type="dxa"/>
                  <w:vAlign w:val="center"/>
                </w:tcPr>
                <w:p w14:paraId="6309E056">
                  <w:pPr>
                    <w:ind w:left="-105" w:leftChars="-50" w:right="-105" w:rightChars="-50"/>
                    <w:jc w:val="center"/>
                    <w:rPr>
                      <w:color w:val="7030A0"/>
                      <w:szCs w:val="21"/>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p>
              </w:tc>
              <w:tc>
                <w:tcPr>
                  <w:tcW w:w="566" w:type="dxa"/>
                  <w:vAlign w:val="center"/>
                </w:tcPr>
                <w:p w14:paraId="189FD753">
                  <w:pPr>
                    <w:ind w:left="-105" w:leftChars="-50" w:right="-105" w:rightChars="-50"/>
                    <w:jc w:val="center"/>
                    <w:rPr>
                      <w:color w:val="000000" w:themeColor="text1"/>
                      <w:szCs w:val="21"/>
                      <w14:textFill>
                        <w14:solidFill>
                          <w14:schemeClr w14:val="tx1"/>
                        </w14:solidFill>
                      </w14:textFill>
                    </w:rPr>
                  </w:pPr>
                  <w:r>
                    <w:rPr>
                      <w:rFonts w:eastAsia="等线"/>
                      <w:color w:val="000000" w:themeColor="text1"/>
                      <w:szCs w:val="21"/>
                      <w14:textFill>
                        <w14:solidFill>
                          <w14:schemeClr w14:val="tx1"/>
                        </w14:solidFill>
                      </w14:textFill>
                    </w:rPr>
                    <w:t>0.05</w:t>
                  </w:r>
                </w:p>
              </w:tc>
              <w:tc>
                <w:tcPr>
                  <w:tcW w:w="704" w:type="dxa"/>
                  <w:vAlign w:val="center"/>
                </w:tcPr>
                <w:p w14:paraId="4714561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14:paraId="3D6AF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2" w:type="dxa"/>
                  <w:gridSpan w:val="9"/>
                  <w:vAlign w:val="center"/>
                </w:tcPr>
                <w:p w14:paraId="2359039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566" w:type="dxa"/>
                  <w:vAlign w:val="center"/>
                </w:tcPr>
                <w:p w14:paraId="28EACD16">
                  <w:pPr>
                    <w:ind w:left="-105" w:leftChars="-50" w:right="-105" w:rightChars="-50"/>
                    <w:jc w:val="center"/>
                    <w:rPr>
                      <w:rFonts w:eastAsia="等线"/>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12.26</w:t>
                  </w:r>
                </w:p>
              </w:tc>
              <w:tc>
                <w:tcPr>
                  <w:tcW w:w="704" w:type="dxa"/>
                  <w:vAlign w:val="center"/>
                </w:tcPr>
                <w:p w14:paraId="52CA7EB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14:paraId="4A2D0E10">
            <w:pPr>
              <w:adjustRightInd w:val="0"/>
              <w:snapToGrid w:val="0"/>
              <w:spacing w:before="156" w:beforeLines="5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综上所述，建设单位按照环评要求处置固体废物后，项目固体废物对周边环境产生的影响较小。</w:t>
            </w:r>
          </w:p>
          <w:p w14:paraId="3D814C5C">
            <w:pPr>
              <w:spacing w:line="360" w:lineRule="auto"/>
              <w:ind w:firstLine="482" w:firstLineChars="200"/>
              <w:contextualSpacing/>
              <w:rPr>
                <w:b/>
                <w:color w:val="000000" w:themeColor="text1"/>
                <w:sz w:val="24"/>
                <w14:textFill>
                  <w14:solidFill>
                    <w14:schemeClr w14:val="tx1"/>
                  </w14:solidFill>
                </w14:textFill>
              </w:rPr>
            </w:pPr>
            <w:r>
              <w:rPr>
                <w:b/>
                <w:color w:val="000000" w:themeColor="text1"/>
                <w:sz w:val="24"/>
                <w14:textFill>
                  <w14:solidFill>
                    <w14:schemeClr w14:val="tx1"/>
                  </w14:solidFill>
                </w14:textFill>
              </w:rPr>
              <w:t>五、地下水</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土壤</w:t>
            </w:r>
            <w:r>
              <w:rPr>
                <w:rFonts w:hint="eastAsia"/>
                <w:b/>
                <w:color w:val="000000" w:themeColor="text1"/>
                <w:sz w:val="24"/>
                <w14:textFill>
                  <w14:solidFill>
                    <w14:schemeClr w14:val="tx1"/>
                  </w14:solidFill>
                </w14:textFill>
              </w:rPr>
              <w:t>环境</w:t>
            </w:r>
            <w:r>
              <w:rPr>
                <w:b/>
                <w:color w:val="000000" w:themeColor="text1"/>
                <w:sz w:val="24"/>
                <w14:textFill>
                  <w14:solidFill>
                    <w14:schemeClr w14:val="tx1"/>
                  </w14:solidFill>
                </w14:textFill>
              </w:rPr>
              <w:t>影响分析</w:t>
            </w:r>
          </w:p>
          <w:p w14:paraId="245B4961">
            <w:pPr>
              <w:spacing w:line="360" w:lineRule="auto"/>
              <w:ind w:firstLine="482" w:firstLineChars="200"/>
              <w:contextualSpacing/>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1、影响识别 </w:t>
            </w:r>
          </w:p>
          <w:p w14:paraId="5D1ACD8D">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项目水源采用市政供水，不使用地下水作为供水水源，不采用渗井、渗坑等方式排放废水，项目建设不会引起地下水水位下降或引起环境水文地质问题。</w:t>
            </w:r>
          </w:p>
          <w:p w14:paraId="684C86B7">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项目用水由市政给水管网提供，不抽取地下水，生活污水经预处理达标后经市政管网排入</w:t>
            </w:r>
            <w:r>
              <w:rPr>
                <w:rFonts w:hint="eastAsia"/>
                <w:bCs/>
                <w:color w:val="000000" w:themeColor="text1"/>
                <w:sz w:val="24"/>
                <w14:textFill>
                  <w14:solidFill>
                    <w14:schemeClr w14:val="tx1"/>
                  </w14:solidFill>
                </w14:textFill>
              </w:rPr>
              <w:t>博罗县福田镇生活污水处理厂进行深度处理，最终排入福田河，</w:t>
            </w:r>
            <w:r>
              <w:rPr>
                <w:rFonts w:hint="eastAsia"/>
                <w:color w:val="000000" w:themeColor="text1"/>
                <w:sz w:val="24"/>
                <w14:textFill>
                  <w14:solidFill>
                    <w14:schemeClr w14:val="tx1"/>
                  </w14:solidFill>
                </w14:textFill>
              </w:rPr>
              <w:t>不排入地下水中，因此，不会改变地下水系统原有的水动力平衡条件，也不会造成局部地下水水位下降等不利影响。项目生产过程中不涉及危险化学品的使用，项目车间地面及厂区均已做好硬化、防渗漏处理，预计不会对地下水、土壤环境造成影响。</w:t>
            </w:r>
          </w:p>
          <w:p w14:paraId="5AD91B48">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项目生产车间、危废暂存区均拟设置防腐防渗措施，故不存在地面漫流和点源垂直进入地下水环境、土壤的影响。</w:t>
            </w:r>
          </w:p>
          <w:p w14:paraId="55F87C36">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项目对地下水、土壤可能存在的影响主要为生活污水预处理过程中的池体及排污管道的泄漏。由于项目生活污水处理装置和排污管道做了防腐、防渗的设计处理，不会带来因渗漏而引起地下水、土壤污染的问题。</w:t>
            </w:r>
          </w:p>
          <w:p w14:paraId="38C20267">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综上，项目原料、产品在储存、装卸、运输、生产全过程采取污染防治设施，阻止污染物进入地下水、土壤环境中，且经过硬化处理的地面能有效防治污染物下渗;项目对地下水和土壤不存在污染途径。</w:t>
            </w:r>
          </w:p>
          <w:p w14:paraId="05E2FAA5">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防护措施</w:t>
            </w:r>
          </w:p>
          <w:p w14:paraId="6FB63B85">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项目拟采用的分区保护措施如下表：</w:t>
            </w:r>
          </w:p>
          <w:p w14:paraId="3D164445">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color w:val="000000" w:themeColor="text1"/>
                <w:sz w:val="21"/>
                <w:szCs w:val="21"/>
                <w14:textFill>
                  <w14:solidFill>
                    <w14:schemeClr w14:val="tx1"/>
                  </w14:solidFill>
                </w14:textFill>
              </w:rPr>
              <w:t>表4-</w:t>
            </w:r>
            <w:r>
              <w:rPr>
                <w:rFonts w:ascii="Times New Roman" w:hAnsi="Times New Roman" w:eastAsia="宋体"/>
                <w:color w:val="000000" w:themeColor="text1"/>
                <w:sz w:val="21"/>
                <w:szCs w:val="21"/>
                <w14:textFill>
                  <w14:solidFill>
                    <w14:schemeClr w14:val="tx1"/>
                  </w14:solidFill>
                </w14:textFill>
              </w:rPr>
              <w:t>2</w:t>
            </w:r>
            <w:r>
              <w:rPr>
                <w:rFonts w:hint="eastAsia" w:ascii="Times New Roman" w:hAnsi="Times New Roman" w:eastAsia="宋体"/>
                <w:color w:val="000000" w:themeColor="text1"/>
                <w:sz w:val="21"/>
                <w:szCs w:val="21"/>
                <w14:textFill>
                  <w14:solidFill>
                    <w14:schemeClr w14:val="tx1"/>
                  </w14:solidFill>
                </w14:textFill>
              </w:rPr>
              <w:t>4</w:t>
            </w:r>
            <w:r>
              <w:rPr>
                <w:rFonts w:ascii="Times New Roman" w:hAnsi="Times New Roman" w:eastAsia="宋体"/>
                <w:color w:val="000000" w:themeColor="text1"/>
                <w:sz w:val="21"/>
                <w:szCs w:val="21"/>
                <w14:textFill>
                  <w14:solidFill>
                    <w14:schemeClr w14:val="tx1"/>
                  </w14:solidFill>
                </w14:textFill>
              </w:rPr>
              <w:t xml:space="preserve"> </w:t>
            </w:r>
            <w:r>
              <w:rPr>
                <w:rFonts w:hint="eastAsia" w:ascii="Times New Roman" w:hAnsi="Times New Roman" w:eastAsia="宋体"/>
                <w:color w:val="000000" w:themeColor="text1"/>
                <w:sz w:val="21"/>
                <w:szCs w:val="21"/>
                <w14:textFill>
                  <w14:solidFill>
                    <w14:schemeClr w14:val="tx1"/>
                  </w14:solidFill>
                </w14:textFill>
              </w:rPr>
              <w:t xml:space="preserve"> 地下水、土壤分区防护措施一览表</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3"/>
              <w:gridCol w:w="709"/>
              <w:gridCol w:w="709"/>
              <w:gridCol w:w="1276"/>
              <w:gridCol w:w="4891"/>
            </w:tblGrid>
            <w:tr w14:paraId="6BC7D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7" w:hRule="atLeast"/>
              </w:trPr>
              <w:tc>
                <w:tcPr>
                  <w:tcW w:w="357" w:type="pct"/>
                  <w:vAlign w:val="center"/>
                </w:tcPr>
                <w:p w14:paraId="1A45D4B9">
                  <w:pPr>
                    <w:jc w:val="center"/>
                    <w:rPr>
                      <w:rFonts w:hint="eastAsia" w:ascii="宋体" w:hAnsi="宋体"/>
                      <w:b/>
                      <w:bCs/>
                      <w:color w:val="000000" w:themeColor="text1"/>
                      <w:szCs w:val="21"/>
                      <w14:textFill>
                        <w14:solidFill>
                          <w14:schemeClr w14:val="tx1"/>
                        </w14:solidFill>
                      </w14:textFill>
                    </w:rPr>
                  </w:pPr>
                  <w:r>
                    <w:rPr>
                      <w:rFonts w:hint="eastAsia" w:ascii="宋体" w:hAnsi="宋体"/>
                      <w:b/>
                      <w:bCs/>
                      <w:color w:val="000000" w:themeColor="text1"/>
                      <w14:textFill>
                        <w14:solidFill>
                          <w14:schemeClr w14:val="tx1"/>
                        </w14:solidFill>
                      </w14:textFill>
                    </w:rPr>
                    <w:t>序号</w:t>
                  </w:r>
                </w:p>
              </w:tc>
              <w:tc>
                <w:tcPr>
                  <w:tcW w:w="868" w:type="pct"/>
                  <w:gridSpan w:val="2"/>
                  <w:vAlign w:val="center"/>
                </w:tcPr>
                <w:p w14:paraId="03FE85E4">
                  <w:pPr>
                    <w:jc w:val="center"/>
                    <w:rPr>
                      <w:rFonts w:hint="eastAsia"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区域</w:t>
                  </w:r>
                </w:p>
              </w:tc>
              <w:tc>
                <w:tcPr>
                  <w:tcW w:w="781" w:type="pct"/>
                  <w:vAlign w:val="center"/>
                </w:tcPr>
                <w:p w14:paraId="566336A5">
                  <w:pPr>
                    <w:jc w:val="center"/>
                    <w:rPr>
                      <w:rFonts w:hint="eastAsia"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潜在污染源</w:t>
                  </w:r>
                </w:p>
              </w:tc>
              <w:tc>
                <w:tcPr>
                  <w:tcW w:w="2995" w:type="pct"/>
                  <w:vAlign w:val="center"/>
                </w:tcPr>
                <w:p w14:paraId="37344856">
                  <w:pPr>
                    <w:jc w:val="center"/>
                    <w:rPr>
                      <w:rFonts w:hint="eastAsia"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防护措施</w:t>
                  </w:r>
                </w:p>
              </w:tc>
            </w:tr>
            <w:tr w14:paraId="28D7B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57" w:type="pct"/>
                  <w:vMerge w:val="restart"/>
                  <w:vAlign w:val="center"/>
                </w:tcPr>
                <w:p w14:paraId="6B92CBFE">
                  <w:pPr>
                    <w:jc w:val="center"/>
                    <w:rPr>
                      <w:rFonts w:hint="eastAsia" w:ascii="宋体" w:hAnsi="宋体"/>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434" w:type="pct"/>
                  <w:vMerge w:val="restart"/>
                  <w:vAlign w:val="center"/>
                </w:tcPr>
                <w:p w14:paraId="79A8C1B0">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重点防渗区</w:t>
                  </w:r>
                </w:p>
              </w:tc>
              <w:tc>
                <w:tcPr>
                  <w:tcW w:w="434" w:type="pct"/>
                  <w:vMerge w:val="restart"/>
                  <w:vAlign w:val="center"/>
                </w:tcPr>
                <w:p w14:paraId="5A1B64DD">
                  <w:pPr>
                    <w:jc w:val="center"/>
                    <w:rPr>
                      <w:rFonts w:hint="eastAsia" w:ascii="宋体" w:hAnsi="宋体"/>
                      <w:color w:val="000000" w:themeColor="text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781" w:type="pct"/>
                  <w:vAlign w:val="center"/>
                </w:tcPr>
                <w:p w14:paraId="67F949B9">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水性油漆</w:t>
                  </w:r>
                </w:p>
              </w:tc>
              <w:tc>
                <w:tcPr>
                  <w:tcW w:w="2995" w:type="pct"/>
                  <w:vAlign w:val="center"/>
                </w:tcPr>
                <w:p w14:paraId="618E3D6F">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铺设配筋混凝土加防渗剂的防渗地坪，车间地面采用防渗钢筋混凝土结构，内部采用水泥基渗透结晶型防渗材料涂层</w:t>
                  </w:r>
                </w:p>
              </w:tc>
            </w:tr>
            <w:tr w14:paraId="78DE3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57" w:type="pct"/>
                  <w:vMerge w:val="continue"/>
                  <w:vAlign w:val="center"/>
                </w:tcPr>
                <w:p w14:paraId="765AB1BC">
                  <w:pPr>
                    <w:widowControl/>
                    <w:jc w:val="left"/>
                    <w:rPr>
                      <w:rFonts w:hint="eastAsia" w:ascii="宋体" w:hAnsi="宋体"/>
                      <w:color w:val="7030A0"/>
                      <w:szCs w:val="21"/>
                    </w:rPr>
                  </w:pPr>
                </w:p>
              </w:tc>
              <w:tc>
                <w:tcPr>
                  <w:tcW w:w="434" w:type="pct"/>
                  <w:vMerge w:val="continue"/>
                  <w:vAlign w:val="center"/>
                </w:tcPr>
                <w:p w14:paraId="10616905">
                  <w:pPr>
                    <w:widowControl/>
                    <w:jc w:val="left"/>
                    <w:rPr>
                      <w:rFonts w:hint="eastAsia" w:ascii="宋体" w:hAnsi="宋体"/>
                      <w:color w:val="7030A0"/>
                      <w:szCs w:val="21"/>
                    </w:rPr>
                  </w:pPr>
                </w:p>
              </w:tc>
              <w:tc>
                <w:tcPr>
                  <w:tcW w:w="434" w:type="pct"/>
                  <w:vMerge w:val="continue"/>
                  <w:vAlign w:val="center"/>
                </w:tcPr>
                <w:p w14:paraId="040691B4">
                  <w:pPr>
                    <w:widowControl/>
                    <w:jc w:val="left"/>
                    <w:rPr>
                      <w:rFonts w:hint="eastAsia" w:ascii="宋体" w:hAnsi="宋体"/>
                      <w:color w:val="000000" w:themeColor="text1"/>
                      <w:szCs w:val="21"/>
                      <w14:textFill>
                        <w14:solidFill>
                          <w14:schemeClr w14:val="tx1"/>
                        </w14:solidFill>
                      </w14:textFill>
                    </w:rPr>
                  </w:pPr>
                </w:p>
              </w:tc>
              <w:tc>
                <w:tcPr>
                  <w:tcW w:w="781" w:type="pct"/>
                  <w:vAlign w:val="center"/>
                </w:tcPr>
                <w:p w14:paraId="0B10524D">
                  <w:pPr>
                    <w:pStyle w:val="15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生产废气</w:t>
                  </w:r>
                </w:p>
              </w:tc>
              <w:tc>
                <w:tcPr>
                  <w:tcW w:w="2995" w:type="pct"/>
                  <w:vAlign w:val="center"/>
                </w:tcPr>
                <w:p w14:paraId="0C321863">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加强车间管理，定期检查废气处理设施，确保设施正常运行</w:t>
                  </w:r>
                </w:p>
              </w:tc>
            </w:tr>
            <w:tr w14:paraId="58875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57" w:type="pct"/>
                  <w:vMerge w:val="continue"/>
                  <w:vAlign w:val="center"/>
                </w:tcPr>
                <w:p w14:paraId="0092C876">
                  <w:pPr>
                    <w:widowControl/>
                    <w:jc w:val="left"/>
                    <w:rPr>
                      <w:rFonts w:hint="eastAsia" w:ascii="宋体" w:hAnsi="宋体"/>
                      <w:color w:val="7030A0"/>
                      <w:szCs w:val="21"/>
                    </w:rPr>
                  </w:pPr>
                </w:p>
              </w:tc>
              <w:tc>
                <w:tcPr>
                  <w:tcW w:w="434" w:type="pct"/>
                  <w:vMerge w:val="continue"/>
                  <w:vAlign w:val="center"/>
                </w:tcPr>
                <w:p w14:paraId="1A2106C0">
                  <w:pPr>
                    <w:widowControl/>
                    <w:jc w:val="left"/>
                    <w:rPr>
                      <w:rFonts w:hint="eastAsia" w:ascii="宋体" w:hAnsi="宋体"/>
                      <w:color w:val="000000" w:themeColor="text1"/>
                      <w:szCs w:val="21"/>
                      <w14:textFill>
                        <w14:solidFill>
                          <w14:schemeClr w14:val="tx1"/>
                        </w14:solidFill>
                      </w14:textFill>
                    </w:rPr>
                  </w:pPr>
                </w:p>
              </w:tc>
              <w:tc>
                <w:tcPr>
                  <w:tcW w:w="434" w:type="pct"/>
                  <w:vAlign w:val="center"/>
                </w:tcPr>
                <w:p w14:paraId="000CA9DB">
                  <w:pPr>
                    <w:jc w:val="center"/>
                    <w:rPr>
                      <w:rFonts w:hint="eastAsia" w:ascii="宋体" w:hAnsi="宋体"/>
                      <w:color w:val="000000" w:themeColor="text1"/>
                      <w14:textFill>
                        <w14:solidFill>
                          <w14:schemeClr w14:val="tx1"/>
                        </w14:solidFill>
                      </w14:textFill>
                    </w:rPr>
                  </w:pPr>
                  <w:r>
                    <w:rPr>
                      <w:rFonts w:hint="eastAsia"/>
                      <w:color w:val="000000" w:themeColor="text1"/>
                      <w:szCs w:val="21"/>
                      <w14:textFill>
                        <w14:solidFill>
                          <w14:schemeClr w14:val="tx1"/>
                        </w14:solidFill>
                      </w14:textFill>
                    </w:rPr>
                    <w:t>原料仓库</w:t>
                  </w:r>
                </w:p>
              </w:tc>
              <w:tc>
                <w:tcPr>
                  <w:tcW w:w="781" w:type="pct"/>
                  <w:vAlign w:val="center"/>
                </w:tcPr>
                <w:p w14:paraId="00DCD4B9">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水性油漆</w:t>
                  </w:r>
                </w:p>
              </w:tc>
              <w:tc>
                <w:tcPr>
                  <w:tcW w:w="2995" w:type="pct"/>
                  <w:vAlign w:val="center"/>
                </w:tcPr>
                <w:p w14:paraId="32D961BD">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地面做好防腐、防渗措施</w:t>
                  </w:r>
                </w:p>
              </w:tc>
            </w:tr>
            <w:tr w14:paraId="32996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96" w:hRule="atLeast"/>
              </w:trPr>
              <w:tc>
                <w:tcPr>
                  <w:tcW w:w="357" w:type="pct"/>
                  <w:vMerge w:val="continue"/>
                  <w:vAlign w:val="center"/>
                </w:tcPr>
                <w:p w14:paraId="5A7C8909">
                  <w:pPr>
                    <w:widowControl/>
                    <w:jc w:val="left"/>
                    <w:rPr>
                      <w:rFonts w:hint="eastAsia" w:ascii="宋体" w:hAnsi="宋体"/>
                      <w:color w:val="7030A0"/>
                      <w:szCs w:val="21"/>
                    </w:rPr>
                  </w:pPr>
                </w:p>
              </w:tc>
              <w:tc>
                <w:tcPr>
                  <w:tcW w:w="434" w:type="pct"/>
                  <w:vMerge w:val="continue"/>
                  <w:vAlign w:val="center"/>
                </w:tcPr>
                <w:p w14:paraId="76A204EB">
                  <w:pPr>
                    <w:widowControl/>
                    <w:jc w:val="left"/>
                    <w:rPr>
                      <w:rFonts w:hint="eastAsia" w:ascii="宋体" w:hAnsi="宋体"/>
                      <w:color w:val="000000" w:themeColor="text1"/>
                      <w:szCs w:val="21"/>
                      <w14:textFill>
                        <w14:solidFill>
                          <w14:schemeClr w14:val="tx1"/>
                        </w14:solidFill>
                      </w14:textFill>
                    </w:rPr>
                  </w:pPr>
                </w:p>
              </w:tc>
              <w:tc>
                <w:tcPr>
                  <w:tcW w:w="434" w:type="pct"/>
                  <w:vAlign w:val="center"/>
                </w:tcPr>
                <w:p w14:paraId="40A3A5B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781" w:type="pct"/>
                  <w:vAlign w:val="center"/>
                </w:tcPr>
                <w:p w14:paraId="6119C23C">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危废废物</w:t>
                  </w:r>
                </w:p>
              </w:tc>
              <w:tc>
                <w:tcPr>
                  <w:tcW w:w="2995" w:type="pct"/>
                  <w:vAlign w:val="center"/>
                </w:tcPr>
                <w:p w14:paraId="343D66B1">
                  <w:pPr>
                    <w:widowControl/>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危险废物严格按要求进行处理处置，严禁随意倾倒、丢弃，建设单位及时联系危废单位回收，在危废处理单位未回收期间，应集中收集，专人管理，集中贮存，各类危险废物按性质不同分类进行贮存。危废暂存处应满足《</w:t>
                  </w:r>
                  <w:r>
                    <w:rPr>
                      <w:color w:val="000000" w:themeColor="text1"/>
                      <w14:textFill>
                        <w14:solidFill>
                          <w14:schemeClr w14:val="tx1"/>
                        </w14:solidFill>
                      </w14:textFill>
                    </w:rPr>
                    <w:t>危险废物贮存污染控制标准》（GB18597-2023）</w:t>
                  </w:r>
                  <w:r>
                    <w:rPr>
                      <w:rFonts w:hint="eastAsia" w:ascii="宋体" w:hAnsi="宋体"/>
                      <w:color w:val="000000" w:themeColor="text1"/>
                      <w14:textFill>
                        <w14:solidFill>
                          <w14:schemeClr w14:val="tx1"/>
                        </w14:solidFill>
                      </w14:textFill>
                    </w:rPr>
                    <w:t>，贮存场所要防风、防雨、防晒，并设计建造径流疏导系统、泄漏液体收集装置，基础必须防渗</w:t>
                  </w:r>
                </w:p>
              </w:tc>
            </w:tr>
            <w:tr w14:paraId="5FDDF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57" w:type="pct"/>
                  <w:vMerge w:val="restart"/>
                  <w:vAlign w:val="center"/>
                </w:tcPr>
                <w:p w14:paraId="42263821">
                  <w:pPr>
                    <w:jc w:val="center"/>
                    <w:rPr>
                      <w:rFonts w:hint="eastAsia" w:ascii="宋体" w:hAnsi="宋体"/>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434" w:type="pct"/>
                  <w:vMerge w:val="restart"/>
                  <w:vAlign w:val="center"/>
                </w:tcPr>
                <w:p w14:paraId="4F4434C3">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一般防渗区</w:t>
                  </w:r>
                </w:p>
              </w:tc>
              <w:tc>
                <w:tcPr>
                  <w:tcW w:w="434" w:type="pct"/>
                  <w:vAlign w:val="center"/>
                </w:tcPr>
                <w:p w14:paraId="06A8F077">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生活区</w:t>
                  </w:r>
                </w:p>
              </w:tc>
              <w:tc>
                <w:tcPr>
                  <w:tcW w:w="781" w:type="pct"/>
                  <w:vAlign w:val="center"/>
                </w:tcPr>
                <w:p w14:paraId="1A1DAD9F">
                  <w:pPr>
                    <w:jc w:val="center"/>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2995" w:type="pct"/>
                  <w:vAlign w:val="center"/>
                </w:tcPr>
                <w:p w14:paraId="7F9A5C90">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定期检查污水收集管道，确保无裂缝、无渗漏，每年对化粪池清淤一次，避免堵塞漫流</w:t>
                  </w:r>
                </w:p>
              </w:tc>
            </w:tr>
            <w:tr w14:paraId="317C5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57" w:type="pct"/>
                  <w:vMerge w:val="continue"/>
                  <w:vAlign w:val="center"/>
                </w:tcPr>
                <w:p w14:paraId="621FE133">
                  <w:pPr>
                    <w:jc w:val="center"/>
                    <w:rPr>
                      <w:color w:val="7030A0"/>
                    </w:rPr>
                  </w:pPr>
                </w:p>
              </w:tc>
              <w:tc>
                <w:tcPr>
                  <w:tcW w:w="434" w:type="pct"/>
                  <w:vMerge w:val="continue"/>
                  <w:vAlign w:val="center"/>
                </w:tcPr>
                <w:p w14:paraId="7C0F4AB9">
                  <w:pPr>
                    <w:jc w:val="center"/>
                    <w:rPr>
                      <w:rFonts w:hint="eastAsia" w:ascii="宋体" w:hAnsi="宋体"/>
                      <w:color w:val="000000" w:themeColor="text1"/>
                      <w14:textFill>
                        <w14:solidFill>
                          <w14:schemeClr w14:val="tx1"/>
                        </w14:solidFill>
                      </w14:textFill>
                    </w:rPr>
                  </w:pPr>
                </w:p>
              </w:tc>
              <w:tc>
                <w:tcPr>
                  <w:tcW w:w="434" w:type="pct"/>
                  <w:vAlign w:val="center"/>
                </w:tcPr>
                <w:p w14:paraId="71B29C4E">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一般工业固体废物仓</w:t>
                  </w:r>
                </w:p>
              </w:tc>
              <w:tc>
                <w:tcPr>
                  <w:tcW w:w="781" w:type="pct"/>
                  <w:vAlign w:val="center"/>
                </w:tcPr>
                <w:p w14:paraId="6C235B56">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边角料、废包装材料等</w:t>
                  </w:r>
                </w:p>
              </w:tc>
              <w:tc>
                <w:tcPr>
                  <w:tcW w:w="2995" w:type="pct"/>
                  <w:vAlign w:val="center"/>
                </w:tcPr>
                <w:p w14:paraId="2373EDF3">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一般工业固体废物在厂内采用库房贮存，贮存过程应满足相应的防渗漏，防雨淋，防扬尘等环境保护要求</w:t>
                  </w:r>
                </w:p>
              </w:tc>
            </w:tr>
          </w:tbl>
          <w:p w14:paraId="0A6C20D1">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六</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生态环境</w:t>
            </w:r>
            <w:r>
              <w:rPr>
                <w:b/>
                <w:bCs/>
                <w:color w:val="000000" w:themeColor="text1"/>
                <w:sz w:val="24"/>
                <w14:textFill>
                  <w14:solidFill>
                    <w14:schemeClr w14:val="tx1"/>
                  </w14:solidFill>
                </w14:textFill>
              </w:rPr>
              <w:t>影响分析</w:t>
            </w:r>
          </w:p>
          <w:p w14:paraId="7133A58C">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本项目租用已有厂房进行项目生产，不新增用地且用地范围内不含有生态环境保护目标。</w:t>
            </w:r>
          </w:p>
          <w:p w14:paraId="6562F1D4">
            <w:pPr>
              <w:spacing w:line="360" w:lineRule="auto"/>
              <w:ind w:firstLine="482" w:firstLineChars="200"/>
              <w:contextualSpacing/>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七</w:t>
            </w:r>
            <w:r>
              <w:rPr>
                <w:b/>
                <w:color w:val="000000" w:themeColor="text1"/>
                <w:sz w:val="24"/>
                <w14:textFill>
                  <w14:solidFill>
                    <w14:schemeClr w14:val="tx1"/>
                  </w14:solidFill>
                </w14:textFill>
              </w:rPr>
              <w:t>、环境风险影响分析</w:t>
            </w:r>
          </w:p>
          <w:p w14:paraId="1FE44987">
            <w:pPr>
              <w:spacing w:line="360" w:lineRule="auto"/>
              <w:ind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1</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风险源调查</w:t>
            </w:r>
          </w:p>
          <w:p w14:paraId="13E58F05">
            <w:pPr>
              <w:widowControl/>
              <w:snapToGrid w:val="0"/>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根据《建设项目环境风险评价技术导则》（HJ169-2018）附录B、《危险化学品重大危险源辨识》（GB18218-2018）及《企业突发环境事件风险分级方法》附录A等，</w:t>
            </w:r>
            <w:r>
              <w:rPr>
                <w:color w:val="000000" w:themeColor="text1"/>
                <w:sz w:val="24"/>
                <w14:textFill>
                  <w14:solidFill>
                    <w14:schemeClr w14:val="tx1"/>
                  </w14:solidFill>
                </w14:textFill>
              </w:rPr>
              <w:t>本项目原辅材料存在的危险物质主要为</w:t>
            </w:r>
            <w:r>
              <w:rPr>
                <w:rFonts w:hint="eastAsia"/>
                <w:color w:val="000000" w:themeColor="text1"/>
                <w:sz w:val="24"/>
                <w14:textFill>
                  <w14:solidFill>
                    <w14:schemeClr w14:val="tx1"/>
                  </w14:solidFill>
                </w14:textFill>
              </w:rPr>
              <w:t>机油、废机油</w:t>
            </w:r>
            <w:r>
              <w:rPr>
                <w:color w:val="000000" w:themeColor="text1"/>
                <w:sz w:val="24"/>
                <w14:textFill>
                  <w14:solidFill>
                    <w14:schemeClr w14:val="tx1"/>
                  </w14:solidFill>
                </w14:textFill>
              </w:rPr>
              <w:t>。</w:t>
            </w:r>
          </w:p>
          <w:p w14:paraId="68AC7786">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b/>
                <w:bCs/>
                <w:color w:val="000000" w:themeColor="text1"/>
                <w:sz w:val="24"/>
                <w14:textFill>
                  <w14:solidFill>
                    <w14:schemeClr w14:val="tx1"/>
                  </w14:solidFill>
                </w14:textFill>
              </w:rPr>
              <w:t>风险潜势初判及评价等级</w:t>
            </w:r>
          </w:p>
          <w:p w14:paraId="3B723F2C">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kern w:val="0"/>
                <w:sz w:val="24"/>
                <w14:textFill>
                  <w14:solidFill>
                    <w14:schemeClr w14:val="tx1"/>
                  </w14:solidFill>
                </w14:textFill>
              </w:rPr>
              <w:t>对照《建设项目环境风险评价技术导则》（</w:t>
            </w:r>
            <w:r>
              <w:rPr>
                <w:color w:val="000000" w:themeColor="text1"/>
                <w:kern w:val="0"/>
                <w:sz w:val="24"/>
                <w14:textFill>
                  <w14:solidFill>
                    <w14:schemeClr w14:val="tx1"/>
                  </w14:solidFill>
                </w14:textFill>
              </w:rPr>
              <w:t>HJ169-2018</w:t>
            </w:r>
            <w:r>
              <w:rPr>
                <w:rFonts w:hint="eastAsia" w:hAnsi="宋体"/>
                <w:color w:val="000000" w:themeColor="text1"/>
                <w:kern w:val="0"/>
                <w:sz w:val="24"/>
                <w14:textFill>
                  <w14:solidFill>
                    <w14:schemeClr w14:val="tx1"/>
                  </w14:solidFill>
                </w14:textFill>
              </w:rPr>
              <w:t>）附录</w:t>
            </w:r>
            <w:r>
              <w:rPr>
                <w:color w:val="000000" w:themeColor="text1"/>
                <w:kern w:val="0"/>
                <w:sz w:val="24"/>
                <w14:textFill>
                  <w14:solidFill>
                    <w14:schemeClr w14:val="tx1"/>
                  </w14:solidFill>
                </w14:textFill>
              </w:rPr>
              <w:t>B</w:t>
            </w:r>
            <w:r>
              <w:rPr>
                <w:rFonts w:hint="eastAsia" w:hAnsi="宋体"/>
                <w:color w:val="000000" w:themeColor="text1"/>
                <w:kern w:val="0"/>
                <w:sz w:val="24"/>
                <w14:textFill>
                  <w14:solidFill>
                    <w14:schemeClr w14:val="tx1"/>
                  </w14:solidFill>
                </w14:textFill>
              </w:rPr>
              <w:t>的表</w:t>
            </w:r>
            <w:r>
              <w:rPr>
                <w:color w:val="000000" w:themeColor="text1"/>
                <w:kern w:val="0"/>
                <w:sz w:val="24"/>
                <w14:textFill>
                  <w14:solidFill>
                    <w14:schemeClr w14:val="tx1"/>
                  </w14:solidFill>
                </w14:textFill>
              </w:rPr>
              <w:t>B.2</w:t>
            </w:r>
            <w:r>
              <w:rPr>
                <w:rFonts w:hint="eastAsia" w:hAnsi="宋体"/>
                <w:color w:val="000000" w:themeColor="text1"/>
                <w:kern w:val="0"/>
                <w:sz w:val="24"/>
                <w14:textFill>
                  <w14:solidFill>
                    <w14:schemeClr w14:val="tx1"/>
                  </w14:solidFill>
                </w14:textFill>
              </w:rPr>
              <w:t>的物质，</w:t>
            </w:r>
            <w:r>
              <w:rPr>
                <w:color w:val="000000" w:themeColor="text1"/>
                <w:kern w:val="0"/>
                <w:sz w:val="24"/>
                <w14:textFill>
                  <w14:solidFill>
                    <w14:schemeClr w14:val="tx1"/>
                  </w14:solidFill>
                </w14:textFill>
              </w:rPr>
              <w:t>本项目</w:t>
            </w:r>
            <w:r>
              <w:rPr>
                <w:rFonts w:hint="eastAsia"/>
                <w:color w:val="000000" w:themeColor="text1"/>
                <w:sz w:val="24"/>
                <w14:textFill>
                  <w14:solidFill>
                    <w14:schemeClr w14:val="tx1"/>
                  </w14:solidFill>
                </w14:textFill>
              </w:rPr>
              <w:t>机油、废机油按油类物质临界量2500吨；</w:t>
            </w:r>
            <w:r>
              <w:rPr>
                <w:color w:val="000000" w:themeColor="text1"/>
                <w:kern w:val="0"/>
                <w:sz w:val="24"/>
                <w14:textFill>
                  <w14:solidFill>
                    <w14:schemeClr w14:val="tx1"/>
                  </w14:solidFill>
                </w14:textFill>
              </w:rPr>
              <w:t>所涉及的危险化学品临界量见下表</w:t>
            </w:r>
            <w:r>
              <w:rPr>
                <w:rFonts w:hint="eastAsia" w:hAnsi="宋体"/>
                <w:color w:val="000000" w:themeColor="text1"/>
                <w:kern w:val="0"/>
                <w:sz w:val="24"/>
                <w14:textFill>
                  <w14:solidFill>
                    <w14:schemeClr w14:val="tx1"/>
                  </w14:solidFill>
                </w14:textFill>
              </w:rPr>
              <w:t>。</w:t>
            </w:r>
          </w:p>
          <w:p w14:paraId="28EE5F9D">
            <w:pPr>
              <w:spacing w:before="156" w:beforeLines="50"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w:t>
            </w:r>
            <w:r>
              <w:rPr>
                <w:rFonts w:hint="eastAsia"/>
                <w:b/>
                <w:color w:val="000000" w:themeColor="text1"/>
                <w:szCs w:val="21"/>
                <w14:textFill>
                  <w14:solidFill>
                    <w14:schemeClr w14:val="tx1"/>
                  </w14:solidFill>
                </w14:textFill>
              </w:rPr>
              <w:t>4-25</w:t>
            </w:r>
            <w:r>
              <w:rPr>
                <w:b/>
                <w:color w:val="000000" w:themeColor="text1"/>
                <w:szCs w:val="21"/>
                <w14:textFill>
                  <w14:solidFill>
                    <w14:schemeClr w14:val="tx1"/>
                  </w14:solidFill>
                </w14:textFill>
              </w:rPr>
              <w:t xml:space="preserve">  危险物质数量与临界量比值表</w:t>
            </w: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9"/>
              <w:gridCol w:w="2369"/>
              <w:gridCol w:w="1932"/>
              <w:gridCol w:w="1635"/>
            </w:tblGrid>
            <w:tr w14:paraId="3C3B1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5" w:type="pct"/>
                  <w:vAlign w:val="center"/>
                </w:tcPr>
                <w:p w14:paraId="5BD6E1B3">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物质</w:t>
                  </w:r>
                </w:p>
              </w:tc>
              <w:tc>
                <w:tcPr>
                  <w:tcW w:w="1451" w:type="pct"/>
                  <w:vAlign w:val="center"/>
                </w:tcPr>
                <w:p w14:paraId="5D9D7DCC">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最大存在量q（t）</w:t>
                  </w:r>
                </w:p>
              </w:tc>
              <w:tc>
                <w:tcPr>
                  <w:tcW w:w="1183" w:type="pct"/>
                  <w:vAlign w:val="center"/>
                </w:tcPr>
                <w:p w14:paraId="7DEFD8EB">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临界量Q（t）</w:t>
                  </w:r>
                </w:p>
              </w:tc>
              <w:tc>
                <w:tcPr>
                  <w:tcW w:w="1001" w:type="pct"/>
                  <w:vAlign w:val="center"/>
                </w:tcPr>
                <w:p w14:paraId="75619918">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q/Q</w:t>
                  </w:r>
                </w:p>
              </w:tc>
            </w:tr>
            <w:tr w14:paraId="6F198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5" w:type="pct"/>
                  <w:vAlign w:val="center"/>
                </w:tcPr>
                <w:p w14:paraId="4152B70A">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1451" w:type="pct"/>
                  <w:vAlign w:val="center"/>
                </w:tcPr>
                <w:p w14:paraId="1D44CE68">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1183" w:type="pct"/>
                  <w:vAlign w:val="center"/>
                </w:tcPr>
                <w:p w14:paraId="73AF221A">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2500</w:t>
                  </w:r>
                </w:p>
              </w:tc>
              <w:tc>
                <w:tcPr>
                  <w:tcW w:w="1001" w:type="pct"/>
                  <w:vAlign w:val="center"/>
                </w:tcPr>
                <w:p w14:paraId="20BC33BC">
                  <w:pPr>
                    <w:jc w:val="center"/>
                    <w:rPr>
                      <w:color w:val="000000" w:themeColor="text1"/>
                      <w14:textFill>
                        <w14:solidFill>
                          <w14:schemeClr w14:val="tx1"/>
                        </w14:solidFill>
                      </w14:textFill>
                    </w:rPr>
                  </w:pPr>
                  <w:r>
                    <w:rPr>
                      <w:rFonts w:eastAsia="等线"/>
                      <w:color w:val="000000" w:themeColor="text1"/>
                      <w:szCs w:val="21"/>
                      <w14:textFill>
                        <w14:solidFill>
                          <w14:schemeClr w14:val="tx1"/>
                        </w14:solidFill>
                      </w14:textFill>
                    </w:rPr>
                    <w:t>0.000008</w:t>
                  </w:r>
                </w:p>
              </w:tc>
            </w:tr>
            <w:tr w14:paraId="3FDF6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5" w:type="pct"/>
                  <w:vAlign w:val="center"/>
                </w:tcPr>
                <w:p w14:paraId="41BE4F98">
                  <w:pPr>
                    <w:jc w:val="center"/>
                    <w:rPr>
                      <w:color w:val="000000" w:themeColor="text1"/>
                      <w14:textFill>
                        <w14:solidFill>
                          <w14:schemeClr w14:val="tx1"/>
                        </w14:solidFill>
                      </w14:textFill>
                    </w:rPr>
                  </w:pPr>
                  <w:r>
                    <w:rPr>
                      <w:color w:val="000000" w:themeColor="text1"/>
                      <w14:textFill>
                        <w14:solidFill>
                          <w14:schemeClr w14:val="tx1"/>
                        </w14:solidFill>
                      </w14:textFill>
                    </w:rPr>
                    <w:t>废机油</w:t>
                  </w:r>
                </w:p>
              </w:tc>
              <w:tc>
                <w:tcPr>
                  <w:tcW w:w="1451" w:type="pct"/>
                  <w:vAlign w:val="center"/>
                </w:tcPr>
                <w:p w14:paraId="3D0059C1">
                  <w:pPr>
                    <w:jc w:val="center"/>
                    <w:rPr>
                      <w:color w:val="000000" w:themeColor="text1"/>
                      <w14:textFill>
                        <w14:solidFill>
                          <w14:schemeClr w14:val="tx1"/>
                        </w14:solidFill>
                      </w14:textFill>
                    </w:rPr>
                  </w:pPr>
                  <w:r>
                    <w:rPr>
                      <w:color w:val="000000" w:themeColor="text1"/>
                      <w14:textFill>
                        <w14:solidFill>
                          <w14:schemeClr w14:val="tx1"/>
                        </w14:solidFill>
                      </w14:textFill>
                    </w:rPr>
                    <w:t>0.01</w:t>
                  </w:r>
                </w:p>
              </w:tc>
              <w:tc>
                <w:tcPr>
                  <w:tcW w:w="1183" w:type="pct"/>
                  <w:vAlign w:val="center"/>
                </w:tcPr>
                <w:p w14:paraId="51800B4B">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2500</w:t>
                  </w:r>
                </w:p>
              </w:tc>
              <w:tc>
                <w:tcPr>
                  <w:tcW w:w="1001" w:type="pct"/>
                  <w:vAlign w:val="center"/>
                </w:tcPr>
                <w:p w14:paraId="383E0F58">
                  <w:pPr>
                    <w:jc w:val="center"/>
                    <w:rPr>
                      <w:color w:val="000000" w:themeColor="text1"/>
                      <w14:textFill>
                        <w14:solidFill>
                          <w14:schemeClr w14:val="tx1"/>
                        </w14:solidFill>
                      </w14:textFill>
                    </w:rPr>
                  </w:pPr>
                  <w:r>
                    <w:rPr>
                      <w:rFonts w:eastAsia="等线"/>
                      <w:color w:val="000000" w:themeColor="text1"/>
                      <w:szCs w:val="21"/>
                      <w14:textFill>
                        <w14:solidFill>
                          <w14:schemeClr w14:val="tx1"/>
                        </w14:solidFill>
                      </w14:textFill>
                    </w:rPr>
                    <w:t>0.000004</w:t>
                  </w:r>
                </w:p>
              </w:tc>
            </w:tr>
            <w:tr w14:paraId="0F1B7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999" w:type="pct"/>
                  <w:gridSpan w:val="3"/>
                  <w:vAlign w:val="center"/>
                </w:tcPr>
                <w:p w14:paraId="788AE7FC">
                  <w:pPr>
                    <w:jc w:val="center"/>
                    <w:rPr>
                      <w:color w:val="000000" w:themeColor="text1"/>
                      <w14:textFill>
                        <w14:solidFill>
                          <w14:schemeClr w14:val="tx1"/>
                        </w14:solidFill>
                      </w14:textFill>
                    </w:rPr>
                  </w:pPr>
                  <w:r>
                    <w:rPr>
                      <w:color w:val="000000" w:themeColor="text1"/>
                      <w14:textFill>
                        <w14:solidFill>
                          <w14:schemeClr w14:val="tx1"/>
                        </w14:solidFill>
                      </w14:textFill>
                    </w:rPr>
                    <w:t>项目Q值∑</w:t>
                  </w:r>
                </w:p>
              </w:tc>
              <w:tc>
                <w:tcPr>
                  <w:tcW w:w="1001" w:type="pct"/>
                  <w:vAlign w:val="center"/>
                </w:tcPr>
                <w:p w14:paraId="03F2A7C9">
                  <w:pPr>
                    <w:widowControl/>
                    <w:jc w:val="center"/>
                    <w:rPr>
                      <w:rFonts w:eastAsia="等线"/>
                      <w:color w:val="000000" w:themeColor="text1"/>
                      <w:kern w:val="0"/>
                      <w:szCs w:val="21"/>
                      <w14:textFill>
                        <w14:solidFill>
                          <w14:schemeClr w14:val="tx1"/>
                        </w14:solidFill>
                      </w14:textFill>
                    </w:rPr>
                  </w:pPr>
                  <w:r>
                    <w:rPr>
                      <w:rFonts w:eastAsia="等线"/>
                      <w:color w:val="000000" w:themeColor="text1"/>
                      <w:szCs w:val="21"/>
                      <w14:textFill>
                        <w14:solidFill>
                          <w14:schemeClr w14:val="tx1"/>
                        </w14:solidFill>
                      </w14:textFill>
                    </w:rPr>
                    <w:t>0.000012</w:t>
                  </w:r>
                </w:p>
              </w:tc>
            </w:tr>
          </w:tbl>
          <w:p w14:paraId="2C14C989">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根据《建设项目环境风险评价技术导则》（HJ169-2018），当Q＜1时，环境风险潜势为I，评价工作等级为简单分析。</w:t>
            </w:r>
          </w:p>
          <w:p w14:paraId="34845646">
            <w:pPr>
              <w:pStyle w:val="162"/>
              <w:ind w:firstLine="482"/>
              <w:rPr>
                <w:bCs/>
                <w:color w:val="000000" w:themeColor="text1"/>
                <w:kern w:val="0"/>
                <w14:textFill>
                  <w14:solidFill>
                    <w14:schemeClr w14:val="tx1"/>
                  </w14:solidFill>
                </w14:textFill>
              </w:rPr>
            </w:pP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环境风险分析</w:t>
            </w:r>
          </w:p>
          <w:p w14:paraId="53EE9C89">
            <w:pPr>
              <w:widowControl/>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本项目涉及的环境风险类型为泄漏，以及在泄漏、火灾、爆炸等事故下引发的伴/次生污染物排放。</w:t>
            </w:r>
          </w:p>
          <w:p w14:paraId="03F81D33">
            <w:pPr>
              <w:widowControl/>
              <w:spacing w:line="360" w:lineRule="auto"/>
              <w:ind w:firstLine="482" w:firstLineChars="200"/>
              <w:jc w:val="left"/>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泄漏</w:t>
            </w:r>
          </w:p>
          <w:p w14:paraId="6084D071">
            <w:pPr>
              <w:autoSpaceDE w:val="0"/>
              <w:autoSpaceDN w:val="0"/>
              <w:adjustRightInd w:val="0"/>
              <w:spacing w:line="360" w:lineRule="auto"/>
              <w:ind w:firstLine="480" w:firstLineChars="20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泄漏有事故泄漏和非事故泄漏两种。事故泄漏主要指自然灾害造成的泄漏，如地震、洪水等非人为因素，发生的可能性很低，最坏的情况是废水、废气和厂区内现存的</w:t>
            </w:r>
            <w:r>
              <w:rPr>
                <w:color w:val="000000" w:themeColor="text1"/>
                <w:sz w:val="24"/>
                <w14:textFill>
                  <w14:solidFill>
                    <w14:schemeClr w14:val="tx1"/>
                  </w14:solidFill>
                </w14:textFill>
              </w:rPr>
              <w:t>原辅材料和</w:t>
            </w:r>
            <w:r>
              <w:rPr>
                <w:rFonts w:hint="eastAsia"/>
                <w:color w:val="000000" w:themeColor="text1"/>
                <w:sz w:val="24"/>
                <w14:textFill>
                  <w14:solidFill>
                    <w14:schemeClr w14:val="tx1"/>
                  </w14:solidFill>
                </w14:textFill>
              </w:rPr>
              <w:t>危险废物</w:t>
            </w:r>
            <w:r>
              <w:rPr>
                <w:color w:val="000000" w:themeColor="text1"/>
                <w:kern w:val="0"/>
                <w:sz w:val="24"/>
                <w14:textFill>
                  <w14:solidFill>
                    <w14:schemeClr w14:val="tx1"/>
                  </w14:solidFill>
                </w14:textFill>
              </w:rPr>
              <w:t>全部进入环境，对厂区附近大气、地表水、土壤造成一定程度的污染。非事故泄漏是指作业不当、维护管理不完善等人为因素造成的泄漏，相对容易发生。由于厂区内</w:t>
            </w:r>
            <w:r>
              <w:rPr>
                <w:color w:val="000000" w:themeColor="text1"/>
                <w:sz w:val="24"/>
                <w14:textFill>
                  <w14:solidFill>
                    <w14:schemeClr w14:val="tx1"/>
                  </w14:solidFill>
                </w14:textFill>
              </w:rPr>
              <w:t>原辅材料和</w:t>
            </w:r>
            <w:r>
              <w:rPr>
                <w:rFonts w:hint="eastAsia"/>
                <w:color w:val="000000" w:themeColor="text1"/>
                <w:sz w:val="24"/>
                <w14:textFill>
                  <w14:solidFill>
                    <w14:schemeClr w14:val="tx1"/>
                  </w14:solidFill>
                </w14:textFill>
              </w:rPr>
              <w:t>危险废物</w:t>
            </w:r>
            <w:r>
              <w:rPr>
                <w:color w:val="000000" w:themeColor="text1"/>
                <w:kern w:val="0"/>
                <w:sz w:val="24"/>
                <w14:textFill>
                  <w14:solidFill>
                    <w14:schemeClr w14:val="tx1"/>
                  </w14:solidFill>
                </w14:textFill>
              </w:rPr>
              <w:t>总储存量不大，短时间内废气、废水的排放量少，局部泄漏量很少，在采取相关应急措施后其风险可控。</w:t>
            </w:r>
          </w:p>
          <w:p w14:paraId="623D719D">
            <w:pPr>
              <w:widowControl/>
              <w:spacing w:line="360" w:lineRule="auto"/>
              <w:ind w:firstLine="482" w:firstLineChars="200"/>
              <w:jc w:val="left"/>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厂区火灾、爆炸</w:t>
            </w:r>
          </w:p>
          <w:p w14:paraId="6A3C89D2">
            <w:pPr>
              <w:autoSpaceDE w:val="0"/>
              <w:autoSpaceDN w:val="0"/>
              <w:adjustRightInd w:val="0"/>
              <w:spacing w:line="360" w:lineRule="auto"/>
              <w:ind w:firstLine="480" w:firstLineChars="20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原辅材料不属于易燃易爆物，正常情况并无火灾隐患。但是厂区内部发生火灾、爆炸事故时，在高温环境下各种物质会因燃烧而产生废气污染物进入空气中，对厂区周围及下风向的环境空气产生影响，事故发生后到结束前这一时段内污染程度会达到最大，污染物最大地面浓度可能会超过该区域的环境空气质量标准。同时，在火灾事故的处理过程中，还会产生消防废水等污染，因此火灾、爆炸事故中产生的伴生/次生污染对环境的影响不可忽视。</w:t>
            </w:r>
          </w:p>
          <w:p w14:paraId="2F802BCF">
            <w:pPr>
              <w:widowControl/>
              <w:spacing w:line="360" w:lineRule="auto"/>
              <w:ind w:firstLine="482" w:firstLineChars="200"/>
              <w:jc w:val="left"/>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、环境风险防范措施及应急要求</w:t>
            </w:r>
          </w:p>
          <w:p w14:paraId="631D7AF7">
            <w:pPr>
              <w:pStyle w:val="155"/>
              <w:ind w:firstLine="482"/>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（1）风险事故发生对地表水环境的影响及应急处理措施</w:t>
            </w:r>
          </w:p>
          <w:p w14:paraId="7D033C9B">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建设单位必须对消防废水设计合理的处置方案。风险事故发生时的废水应急处理措施如下：</w:t>
            </w:r>
          </w:p>
          <w:p w14:paraId="0038EF36">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1）设立相关突发环境事故应急处理组织机构，人员的组成和职责从公司的现状出发，建立健全的公司突发环境事故应急组织机构。</w:t>
            </w:r>
          </w:p>
          <w:p w14:paraId="233DA97C">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2）事故发生后，及时转移、撤离、疏散可能受到危害的人员，并妥善安置。</w:t>
            </w:r>
          </w:p>
          <w:p w14:paraId="0F9BBCBD">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3）发生火灾事故时，在事故发生位置四周用装满沙土的袋子围成围堰拦截消防废液，并在厂内采取导流方式将消防废液、泡沫等统一收集，消除安全隐患后交由有资质单位处理。</w:t>
            </w:r>
          </w:p>
          <w:p w14:paraId="64A4537C">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4）项目占地区域地面必须作水泥硬底化防渗处理，发生火灾时，消防废液不会通过地面渗入地下而污染地下水。</w:t>
            </w:r>
          </w:p>
          <w:p w14:paraId="0F239810">
            <w:pPr>
              <w:pStyle w:val="155"/>
              <w:ind w:firstLine="482"/>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（2）风险事故发生对大气环境的影响及应急处理措施</w:t>
            </w:r>
          </w:p>
          <w:p w14:paraId="638D5362">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风险事故发生时的废气应急处理措施如下：</w:t>
            </w:r>
          </w:p>
          <w:p w14:paraId="3FC4D1EF">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1）设立相关突发环境事故应急处理组织机构，人员的组成和职责从公司的现状出发，建立健全的公司突发环境事故应急组织机构。</w:t>
            </w:r>
          </w:p>
          <w:p w14:paraId="7CB696E9">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2）事故发生时，救援人员必须佩戴理性的防毒过滤面具，同时穿好工作服，迅速判明事故当时的风向，可利用风标、旗帜等辨明风向，向上风向撤离。</w:t>
            </w:r>
          </w:p>
          <w:p w14:paraId="03C867BA">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3）事故发生后，要制定污染监测计划，清理处置残余污染物，进行场地清洗和消毒，对可能污染进行监测，根据现场监测结果，确定被转移、疏散群众返回时间，直至异常方可停止监测工作。</w:t>
            </w:r>
          </w:p>
          <w:p w14:paraId="3A400072">
            <w:pPr>
              <w:pStyle w:val="155"/>
              <w:ind w:firstLine="482"/>
              <w:rPr>
                <w:b/>
                <w:bCs/>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5</w:t>
            </w:r>
            <w:r>
              <w:rPr>
                <w:b/>
                <w:bCs/>
                <w:color w:val="000000" w:themeColor="text1"/>
                <w:szCs w:val="24"/>
                <w14:textFill>
                  <w14:solidFill>
                    <w14:schemeClr w14:val="tx1"/>
                  </w14:solidFill>
                </w14:textFill>
              </w:rPr>
              <w:t>、分析结论</w:t>
            </w:r>
          </w:p>
          <w:p w14:paraId="445DDFE5">
            <w:pPr>
              <w:pStyle w:val="155"/>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综上，项目应严格按照消防及安监部门的要求，做好防范措施，设立健全的突发环境事故应急组织机构，以便采取更有效的措施来监测灾情及防止污染事故的进一步扩散。项目严格落实上述措施，并加强防范意识，则项目运营期间发生火灾风险的概率较小，本项目的环境风险可接受</w:t>
            </w:r>
            <w:r>
              <w:rPr>
                <w:rFonts w:hint="eastAsia"/>
                <w:color w:val="000000" w:themeColor="text1"/>
                <w:szCs w:val="24"/>
                <w14:textFill>
                  <w14:solidFill>
                    <w14:schemeClr w14:val="tx1"/>
                  </w14:solidFill>
                </w14:textFill>
              </w:rPr>
              <w:t>。</w:t>
            </w:r>
          </w:p>
          <w:p w14:paraId="60631CCC">
            <w:pPr>
              <w:pStyle w:val="155"/>
              <w:ind w:firstLine="480"/>
              <w:rPr>
                <w:rFonts w:cs="宋体"/>
                <w:color w:val="000000" w:themeColor="text1"/>
                <w14:textFill>
                  <w14:solidFill>
                    <w14:schemeClr w14:val="tx1"/>
                  </w14:solidFill>
                </w14:textFill>
              </w:rPr>
            </w:pPr>
          </w:p>
        </w:tc>
      </w:tr>
    </w:tbl>
    <w:p w14:paraId="2964764E">
      <w:pPr>
        <w:jc w:val="center"/>
        <w:rPr>
          <w:color w:val="000000" w:themeColor="text1"/>
          <w:sz w:val="30"/>
          <w14:textFill>
            <w14:solidFill>
              <w14:schemeClr w14:val="tx1"/>
            </w14:solidFill>
          </w14:textFill>
        </w:rPr>
      </w:pPr>
    </w:p>
    <w:p w14:paraId="0E1B5320">
      <w:pPr>
        <w:jc w:val="center"/>
        <w:rPr>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14:paraId="49509C5C">
      <w:pPr>
        <w:jc w:val="center"/>
        <w:outlineLvl w:val="0"/>
        <w:rPr>
          <w:rFonts w:hint="eastAsia"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五</w:t>
      </w:r>
      <w:r>
        <w:rPr>
          <w:rFonts w:ascii="黑体" w:hAnsi="黑体" w:eastAsia="黑体"/>
          <w:color w:val="000000" w:themeColor="text1"/>
          <w:sz w:val="30"/>
          <w14:textFill>
            <w14:solidFill>
              <w14:schemeClr w14:val="tx1"/>
            </w14:solidFill>
          </w14:textFill>
        </w:rPr>
        <w:t>、环境保护措施监督检查清单</w:t>
      </w:r>
    </w:p>
    <w:tbl>
      <w:tblPr>
        <w:tblStyle w:val="4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1596"/>
        <w:gridCol w:w="1168"/>
        <w:gridCol w:w="1725"/>
        <w:gridCol w:w="2860"/>
      </w:tblGrid>
      <w:tr w14:paraId="1BC679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51" w:type="dxa"/>
            <w:tcBorders>
              <w:tl2br w:val="single" w:color="auto" w:sz="4" w:space="0"/>
            </w:tcBorders>
          </w:tcPr>
          <w:p w14:paraId="348B55EE">
            <w:pPr>
              <w:adjustRightInd w:val="0"/>
              <w:snapToGrid w:val="0"/>
              <w:ind w:firstLine="632" w:firstLineChars="3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内容</w:t>
            </w:r>
          </w:p>
          <w:p w14:paraId="606C6380">
            <w:pPr>
              <w:adjustRightInd w:val="0"/>
              <w:snapToGrid w:val="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要素</w:t>
            </w:r>
          </w:p>
        </w:tc>
        <w:tc>
          <w:tcPr>
            <w:tcW w:w="1596" w:type="dxa"/>
            <w:vAlign w:val="center"/>
          </w:tcPr>
          <w:p w14:paraId="39320FC0">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w:t>
            </w:r>
          </w:p>
          <w:p w14:paraId="509301F4">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名称)/污染源</w:t>
            </w:r>
          </w:p>
        </w:tc>
        <w:tc>
          <w:tcPr>
            <w:tcW w:w="1168" w:type="dxa"/>
            <w:vAlign w:val="center"/>
          </w:tcPr>
          <w:p w14:paraId="32BED93D">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污染物项目</w:t>
            </w:r>
          </w:p>
        </w:tc>
        <w:tc>
          <w:tcPr>
            <w:tcW w:w="1725" w:type="dxa"/>
            <w:vAlign w:val="center"/>
          </w:tcPr>
          <w:p w14:paraId="5EA0CCB4">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环境保护措施</w:t>
            </w:r>
          </w:p>
        </w:tc>
        <w:tc>
          <w:tcPr>
            <w:tcW w:w="2860" w:type="dxa"/>
            <w:vAlign w:val="center"/>
          </w:tcPr>
          <w:p w14:paraId="59DA0389">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14:paraId="6CCE43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Merge w:val="restart"/>
            <w:vAlign w:val="center"/>
          </w:tcPr>
          <w:p w14:paraId="281F099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1596" w:type="dxa"/>
            <w:vAlign w:val="center"/>
          </w:tcPr>
          <w:p w14:paraId="49BEE6B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颗粒物废气</w:t>
            </w:r>
            <w:r>
              <w:rPr>
                <w:color w:val="000000" w:themeColor="text1"/>
                <w:szCs w:val="21"/>
                <w14:textFill>
                  <w14:solidFill>
                    <w14:schemeClr w14:val="tx1"/>
                  </w14:solidFill>
                </w14:textFill>
              </w:rPr>
              <w:t>排气筒</w:t>
            </w:r>
          </w:p>
          <w:p w14:paraId="3BA557DD">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DA001</w:t>
            </w:r>
          </w:p>
        </w:tc>
        <w:tc>
          <w:tcPr>
            <w:tcW w:w="1168" w:type="dxa"/>
            <w:vAlign w:val="center"/>
          </w:tcPr>
          <w:p w14:paraId="5128964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颗粒物、锰及其化合物</w:t>
            </w:r>
          </w:p>
        </w:tc>
        <w:tc>
          <w:tcPr>
            <w:tcW w:w="1725" w:type="dxa"/>
            <w:vAlign w:val="center"/>
          </w:tcPr>
          <w:p w14:paraId="1D19BEDE">
            <w:pPr>
              <w:autoSpaceDE w:val="0"/>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收集后通过</w:t>
            </w:r>
            <w:r>
              <w:rPr>
                <w:rFonts w:hint="eastAsia"/>
                <w:color w:val="000000" w:themeColor="text1"/>
                <w:szCs w:val="21"/>
                <w14:textFill>
                  <w14:solidFill>
                    <w14:schemeClr w14:val="tx1"/>
                  </w14:solidFill>
                </w14:textFill>
              </w:rPr>
              <w:t>“布袋除尘”设施</w:t>
            </w:r>
            <w:r>
              <w:rPr>
                <w:color w:val="000000" w:themeColor="text1"/>
                <w:szCs w:val="21"/>
                <w14:textFill>
                  <w14:solidFill>
                    <w14:schemeClr w14:val="tx1"/>
                  </w14:solidFill>
                </w14:textFill>
              </w:rPr>
              <w:t>净化处理后引至</w:t>
            </w:r>
            <w:r>
              <w:rPr>
                <w:rFonts w:hint="eastAsia"/>
                <w:color w:val="000000" w:themeColor="text1"/>
                <w:szCs w:val="21"/>
                <w14:textFill>
                  <w14:solidFill>
                    <w14:schemeClr w14:val="tx1"/>
                  </w14:solidFill>
                </w14:textFill>
              </w:rPr>
              <w:t>15米高</w:t>
            </w:r>
            <w:r>
              <w:rPr>
                <w:color w:val="000000" w:themeColor="text1"/>
                <w:szCs w:val="21"/>
                <w14:textFill>
                  <w14:solidFill>
                    <w14:schemeClr w14:val="tx1"/>
                  </w14:solidFill>
                </w14:textFill>
              </w:rPr>
              <w:t>排气筒高空排放</w:t>
            </w:r>
          </w:p>
        </w:tc>
        <w:tc>
          <w:tcPr>
            <w:tcW w:w="2860" w:type="dxa"/>
            <w:vAlign w:val="center"/>
          </w:tcPr>
          <w:p w14:paraId="7FBC1067">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广东省《大气污染物排放限值》（DB44/27-2001）</w:t>
            </w:r>
            <w:r>
              <w:rPr>
                <w:rFonts w:hint="eastAsia"/>
                <w:color w:val="000000" w:themeColor="text1"/>
                <w:kern w:val="0"/>
                <w:szCs w:val="21"/>
                <w14:textFill>
                  <w14:solidFill>
                    <w14:schemeClr w14:val="tx1"/>
                  </w14:solidFill>
                </w14:textFill>
              </w:rPr>
              <w:t>第二时段二级标准</w:t>
            </w:r>
          </w:p>
        </w:tc>
      </w:tr>
      <w:tr w14:paraId="11EB60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Merge w:val="continue"/>
            <w:vAlign w:val="center"/>
          </w:tcPr>
          <w:p w14:paraId="4009A179">
            <w:pPr>
              <w:adjustRightInd w:val="0"/>
              <w:snapToGrid w:val="0"/>
              <w:jc w:val="center"/>
              <w:rPr>
                <w:color w:val="000000" w:themeColor="text1"/>
                <w:szCs w:val="21"/>
                <w14:textFill>
                  <w14:solidFill>
                    <w14:schemeClr w14:val="tx1"/>
                  </w14:solidFill>
                </w14:textFill>
              </w:rPr>
            </w:pPr>
          </w:p>
        </w:tc>
        <w:tc>
          <w:tcPr>
            <w:tcW w:w="1596" w:type="dxa"/>
            <w:vMerge w:val="restart"/>
            <w:vAlign w:val="center"/>
          </w:tcPr>
          <w:p w14:paraId="4C846384">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喷漆废气</w:t>
            </w:r>
            <w:r>
              <w:rPr>
                <w:color w:val="000000" w:themeColor="text1"/>
                <w:szCs w:val="21"/>
                <w14:textFill>
                  <w14:solidFill>
                    <w14:schemeClr w14:val="tx1"/>
                  </w14:solidFill>
                </w14:textFill>
              </w:rPr>
              <w:t>排气筒</w:t>
            </w:r>
          </w:p>
          <w:p w14:paraId="0DEAA083">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DA002</w:t>
            </w:r>
          </w:p>
        </w:tc>
        <w:tc>
          <w:tcPr>
            <w:tcW w:w="1168" w:type="dxa"/>
            <w:vAlign w:val="center"/>
          </w:tcPr>
          <w:p w14:paraId="7D1C881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r>
              <w:rPr>
                <w:color w:val="000000" w:themeColor="text1"/>
                <w:szCs w:val="21"/>
                <w14:textFill>
                  <w14:solidFill>
                    <w14:schemeClr w14:val="tx1"/>
                  </w14:solidFill>
                </w14:textFill>
              </w:rPr>
              <w:t>VOC</w:t>
            </w:r>
            <w:r>
              <w:rPr>
                <w:rFonts w:hint="eastAsia"/>
                <w:color w:val="000000" w:themeColor="text1"/>
                <w:szCs w:val="21"/>
                <w14:textFill>
                  <w14:solidFill>
                    <w14:schemeClr w14:val="tx1"/>
                  </w14:solidFill>
                </w14:textFill>
              </w:rPr>
              <w:t>、非甲烷总烃</w:t>
            </w:r>
          </w:p>
        </w:tc>
        <w:tc>
          <w:tcPr>
            <w:tcW w:w="1725" w:type="dxa"/>
            <w:vMerge w:val="restart"/>
            <w:vAlign w:val="center"/>
          </w:tcPr>
          <w:p w14:paraId="4A9DFE00">
            <w:pPr>
              <w:autoSpaceDE w:val="0"/>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落实</w:t>
            </w:r>
            <w:r>
              <w:rPr>
                <w:rFonts w:hint="eastAsia"/>
                <w:color w:val="000000" w:themeColor="text1"/>
                <w:szCs w:val="21"/>
                <w14:textFill>
                  <w14:solidFill>
                    <w14:schemeClr w14:val="tx1"/>
                  </w14:solidFill>
                </w14:textFill>
              </w:rPr>
              <w:t>密闭负压车间设计与</w:t>
            </w:r>
            <w:r>
              <w:rPr>
                <w:color w:val="000000" w:themeColor="text1"/>
                <w:szCs w:val="21"/>
                <w14:textFill>
                  <w14:solidFill>
                    <w14:schemeClr w14:val="tx1"/>
                  </w14:solidFill>
                </w14:textFill>
              </w:rPr>
              <w:t>收集后通过</w:t>
            </w:r>
            <w:r>
              <w:rPr>
                <w:rFonts w:hint="eastAsia"/>
                <w:color w:val="000000" w:themeColor="text1"/>
                <w:szCs w:val="21"/>
                <w14:textFill>
                  <w14:solidFill>
                    <w14:schemeClr w14:val="tx1"/>
                  </w14:solidFill>
                </w14:textFill>
              </w:rPr>
              <w:t>“水喷淋+过滤除雾器+二级活性炭吸附”</w:t>
            </w:r>
            <w:r>
              <w:rPr>
                <w:color w:val="000000" w:themeColor="text1"/>
                <w:szCs w:val="21"/>
                <w14:textFill>
                  <w14:solidFill>
                    <w14:schemeClr w14:val="tx1"/>
                  </w14:solidFill>
                </w14:textFill>
              </w:rPr>
              <w:t>设施净化处理后引至</w:t>
            </w:r>
            <w:r>
              <w:rPr>
                <w:rFonts w:hint="eastAsia"/>
                <w:color w:val="000000" w:themeColor="text1"/>
                <w:szCs w:val="21"/>
                <w14:textFill>
                  <w14:solidFill>
                    <w14:schemeClr w14:val="tx1"/>
                  </w14:solidFill>
                </w14:textFill>
              </w:rPr>
              <w:t>15米高</w:t>
            </w:r>
            <w:r>
              <w:rPr>
                <w:color w:val="000000" w:themeColor="text1"/>
                <w:szCs w:val="21"/>
                <w14:textFill>
                  <w14:solidFill>
                    <w14:schemeClr w14:val="tx1"/>
                  </w14:solidFill>
                </w14:textFill>
              </w:rPr>
              <w:t>排气筒高空排放</w:t>
            </w:r>
          </w:p>
        </w:tc>
        <w:tc>
          <w:tcPr>
            <w:tcW w:w="2860" w:type="dxa"/>
            <w:vAlign w:val="center"/>
          </w:tcPr>
          <w:p w14:paraId="2A26147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广东省《固定污染源挥发性有机物综合排放标准》（DB44/2367-2022）</w:t>
            </w:r>
            <w:r>
              <w:rPr>
                <w:rFonts w:hint="eastAsia"/>
                <w:color w:val="000000" w:themeColor="text1"/>
                <w:szCs w:val="21"/>
                <w14:textFill>
                  <w14:solidFill>
                    <w14:schemeClr w14:val="tx1"/>
                  </w14:solidFill>
                </w14:textFill>
              </w:rPr>
              <w:t>表1挥发性有机物排放限值</w:t>
            </w:r>
          </w:p>
        </w:tc>
      </w:tr>
      <w:tr w14:paraId="1B0595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Merge w:val="continue"/>
            <w:vAlign w:val="center"/>
          </w:tcPr>
          <w:p w14:paraId="0DDF684E">
            <w:pPr>
              <w:jc w:val="center"/>
              <w:rPr>
                <w:color w:val="000000" w:themeColor="text1"/>
                <w14:textFill>
                  <w14:solidFill>
                    <w14:schemeClr w14:val="tx1"/>
                  </w14:solidFill>
                </w14:textFill>
              </w:rPr>
            </w:pPr>
          </w:p>
        </w:tc>
        <w:tc>
          <w:tcPr>
            <w:tcW w:w="1596" w:type="dxa"/>
            <w:vMerge w:val="continue"/>
            <w:vAlign w:val="center"/>
          </w:tcPr>
          <w:p w14:paraId="4EB133FA">
            <w:pPr>
              <w:jc w:val="center"/>
              <w:rPr>
                <w:color w:val="000000" w:themeColor="text1"/>
                <w14:textFill>
                  <w14:solidFill>
                    <w14:schemeClr w14:val="tx1"/>
                  </w14:solidFill>
                </w14:textFill>
              </w:rPr>
            </w:pPr>
          </w:p>
        </w:tc>
        <w:tc>
          <w:tcPr>
            <w:tcW w:w="1168" w:type="dxa"/>
            <w:vAlign w:val="center"/>
          </w:tcPr>
          <w:p w14:paraId="7F23EE2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p w14:paraId="20739945">
            <w:pPr>
              <w:jc w:val="center"/>
              <w:rPr>
                <w:color w:val="7030A0"/>
                <w:szCs w:val="21"/>
              </w:rPr>
            </w:pPr>
            <w:r>
              <w:rPr>
                <w:rFonts w:hint="eastAsia"/>
                <w:color w:val="000000" w:themeColor="text1"/>
                <w:szCs w:val="21"/>
                <w14:textFill>
                  <w14:solidFill>
                    <w14:schemeClr w14:val="tx1"/>
                  </w14:solidFill>
                </w14:textFill>
              </w:rPr>
              <w:t>（漆雾）</w:t>
            </w:r>
          </w:p>
        </w:tc>
        <w:tc>
          <w:tcPr>
            <w:tcW w:w="1725" w:type="dxa"/>
            <w:vMerge w:val="continue"/>
            <w:vAlign w:val="center"/>
          </w:tcPr>
          <w:p w14:paraId="0DCBBCEB">
            <w:pPr>
              <w:jc w:val="center"/>
              <w:rPr>
                <w:color w:val="000000" w:themeColor="text1"/>
                <w:szCs w:val="21"/>
                <w14:textFill>
                  <w14:solidFill>
                    <w14:schemeClr w14:val="tx1"/>
                  </w14:solidFill>
                </w14:textFill>
              </w:rPr>
            </w:pPr>
          </w:p>
        </w:tc>
        <w:tc>
          <w:tcPr>
            <w:tcW w:w="2860" w:type="dxa"/>
            <w:vAlign w:val="center"/>
          </w:tcPr>
          <w:p w14:paraId="5C1B3679">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广东省《大气污染物排放限值》（DB44/27-2001）</w:t>
            </w:r>
            <w:r>
              <w:rPr>
                <w:rFonts w:hint="eastAsia"/>
                <w:color w:val="000000" w:themeColor="text1"/>
                <w:kern w:val="0"/>
                <w:szCs w:val="21"/>
                <w14:textFill>
                  <w14:solidFill>
                    <w14:schemeClr w14:val="tx1"/>
                  </w14:solidFill>
                </w14:textFill>
              </w:rPr>
              <w:t>第二时段二级标准</w:t>
            </w:r>
          </w:p>
        </w:tc>
      </w:tr>
      <w:tr w14:paraId="300FDD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451" w:type="dxa"/>
            <w:vMerge w:val="continue"/>
            <w:vAlign w:val="center"/>
          </w:tcPr>
          <w:p w14:paraId="4037C0CD">
            <w:pPr>
              <w:jc w:val="center"/>
              <w:rPr>
                <w:color w:val="000000" w:themeColor="text1"/>
                <w14:textFill>
                  <w14:solidFill>
                    <w14:schemeClr w14:val="tx1"/>
                  </w14:solidFill>
                </w14:textFill>
              </w:rPr>
            </w:pPr>
          </w:p>
        </w:tc>
        <w:tc>
          <w:tcPr>
            <w:tcW w:w="1596" w:type="dxa"/>
            <w:vAlign w:val="center"/>
          </w:tcPr>
          <w:p w14:paraId="35EC44D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r>
              <w:rPr>
                <w:color w:val="000000" w:themeColor="text1"/>
                <w:szCs w:val="21"/>
                <w14:textFill>
                  <w14:solidFill>
                    <w14:schemeClr w14:val="tx1"/>
                  </w14:solidFill>
                </w14:textFill>
              </w:rPr>
              <w:t>排气筒</w:t>
            </w:r>
          </w:p>
          <w:p w14:paraId="4419300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DA003</w:t>
            </w:r>
          </w:p>
        </w:tc>
        <w:tc>
          <w:tcPr>
            <w:tcW w:w="1168" w:type="dxa"/>
            <w:vAlign w:val="center"/>
          </w:tcPr>
          <w:p w14:paraId="1553C95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p>
        </w:tc>
        <w:tc>
          <w:tcPr>
            <w:tcW w:w="1725" w:type="dxa"/>
            <w:vAlign w:val="center"/>
          </w:tcPr>
          <w:p w14:paraId="4A60F2A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经高效油烟</w:t>
            </w:r>
            <w:r>
              <w:rPr>
                <w:color w:val="000000" w:themeColor="text1"/>
                <w:szCs w:val="21"/>
                <w14:textFill>
                  <w14:solidFill>
                    <w14:schemeClr w14:val="tx1"/>
                  </w14:solidFill>
                </w14:textFill>
              </w:rPr>
              <w:t>净化器处理后经</w:t>
            </w:r>
            <w:r>
              <w:rPr>
                <w:rFonts w:hint="eastAsia"/>
                <w:color w:val="000000" w:themeColor="text1"/>
                <w:szCs w:val="21"/>
                <w14:textFill>
                  <w14:solidFill>
                    <w14:schemeClr w14:val="tx1"/>
                  </w14:solidFill>
                </w14:textFill>
              </w:rPr>
              <w:t>楼顶</w:t>
            </w:r>
            <w:r>
              <w:rPr>
                <w:color w:val="000000" w:themeColor="text1"/>
                <w:szCs w:val="21"/>
                <w14:textFill>
                  <w14:solidFill>
                    <w14:schemeClr w14:val="tx1"/>
                  </w14:solidFill>
                </w14:textFill>
              </w:rPr>
              <w:t>排气筒排放</w:t>
            </w:r>
          </w:p>
        </w:tc>
        <w:tc>
          <w:tcPr>
            <w:tcW w:w="2860" w:type="dxa"/>
            <w:vAlign w:val="center"/>
          </w:tcPr>
          <w:p w14:paraId="044A4398">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饮食业</w:t>
            </w:r>
            <w:r>
              <w:rPr>
                <w:color w:val="000000" w:themeColor="text1"/>
                <w:kern w:val="0"/>
                <w:szCs w:val="21"/>
                <w14:textFill>
                  <w14:solidFill>
                    <w14:schemeClr w14:val="tx1"/>
                  </w14:solidFill>
                </w14:textFill>
              </w:rPr>
              <w:t>油烟排放</w:t>
            </w:r>
            <w:r>
              <w:rPr>
                <w:rFonts w:hint="eastAsia"/>
                <w:color w:val="000000" w:themeColor="text1"/>
                <w:kern w:val="0"/>
                <w:szCs w:val="21"/>
                <w14:textFill>
                  <w14:solidFill>
                    <w14:schemeClr w14:val="tx1"/>
                  </w14:solidFill>
                </w14:textFill>
              </w:rPr>
              <w:t>标准</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试行</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（GB</w:t>
            </w:r>
            <w:r>
              <w:rPr>
                <w:color w:val="000000" w:themeColor="text1"/>
                <w:kern w:val="0"/>
                <w:szCs w:val="21"/>
                <w14:textFill>
                  <w14:solidFill>
                    <w14:schemeClr w14:val="tx1"/>
                  </w14:solidFill>
                </w14:textFill>
              </w:rPr>
              <w:t>18483-2001</w:t>
            </w:r>
            <w:r>
              <w:rPr>
                <w:rFonts w:hint="eastAsia"/>
                <w:color w:val="000000" w:themeColor="text1"/>
                <w:kern w:val="0"/>
                <w:szCs w:val="21"/>
                <w14:textFill>
                  <w14:solidFill>
                    <w14:schemeClr w14:val="tx1"/>
                  </w14:solidFill>
                </w14:textFill>
              </w:rPr>
              <w:t>）小型标准</w:t>
            </w:r>
          </w:p>
        </w:tc>
      </w:tr>
      <w:tr w14:paraId="5F6F7B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451" w:type="dxa"/>
            <w:vMerge w:val="continue"/>
            <w:vAlign w:val="center"/>
          </w:tcPr>
          <w:p w14:paraId="6BC0F641">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p>
        </w:tc>
        <w:tc>
          <w:tcPr>
            <w:tcW w:w="1596" w:type="dxa"/>
            <w:vMerge w:val="restart"/>
            <w:vAlign w:val="center"/>
          </w:tcPr>
          <w:p w14:paraId="64B407CF">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厂界</w:t>
            </w:r>
          </w:p>
        </w:tc>
        <w:tc>
          <w:tcPr>
            <w:tcW w:w="1168" w:type="dxa"/>
            <w:vAlign w:val="center"/>
          </w:tcPr>
          <w:p w14:paraId="699C7520">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w:t>
            </w:r>
            <w:r>
              <w:rPr>
                <w:color w:val="000000" w:themeColor="text1"/>
                <w:kern w:val="0"/>
                <w:szCs w:val="21"/>
                <w14:textFill>
                  <w14:solidFill>
                    <w14:schemeClr w14:val="tx1"/>
                  </w14:solidFill>
                </w14:textFill>
              </w:rPr>
              <w:t>VOCs</w:t>
            </w:r>
          </w:p>
        </w:tc>
        <w:tc>
          <w:tcPr>
            <w:tcW w:w="1725" w:type="dxa"/>
            <w:vMerge w:val="restart"/>
            <w:vAlign w:val="center"/>
          </w:tcPr>
          <w:p w14:paraId="3246402A">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加强通风换气</w:t>
            </w:r>
          </w:p>
        </w:tc>
        <w:tc>
          <w:tcPr>
            <w:tcW w:w="2860" w:type="dxa"/>
            <w:vAlign w:val="center"/>
          </w:tcPr>
          <w:p w14:paraId="4C18688B">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广东省《家具制造行业挥发性有机化合物排放标准》（DB44/814-2010）无组织排放监控点浓度限值标准</w:t>
            </w:r>
          </w:p>
        </w:tc>
      </w:tr>
      <w:tr w14:paraId="17BAA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451" w:type="dxa"/>
            <w:vMerge w:val="continue"/>
            <w:vAlign w:val="center"/>
          </w:tcPr>
          <w:p w14:paraId="52ED6979">
            <w:pPr>
              <w:adjustRightInd w:val="0"/>
              <w:snapToGrid w:val="0"/>
              <w:spacing w:before="31" w:beforeLines="10" w:after="31" w:afterLines="10" w:line="259" w:lineRule="auto"/>
              <w:ind w:left="-120" w:right="-120"/>
              <w:jc w:val="center"/>
              <w:rPr>
                <w:color w:val="000000" w:themeColor="text1"/>
                <w14:textFill>
                  <w14:solidFill>
                    <w14:schemeClr w14:val="tx1"/>
                  </w14:solidFill>
                </w14:textFill>
              </w:rPr>
            </w:pPr>
          </w:p>
        </w:tc>
        <w:tc>
          <w:tcPr>
            <w:tcW w:w="1596" w:type="dxa"/>
            <w:vMerge w:val="continue"/>
            <w:vAlign w:val="center"/>
          </w:tcPr>
          <w:p w14:paraId="78F4266A">
            <w:pPr>
              <w:adjustRightInd w:val="0"/>
              <w:snapToGrid w:val="0"/>
              <w:spacing w:before="31" w:beforeLines="10" w:after="31" w:afterLines="10" w:line="259" w:lineRule="auto"/>
              <w:ind w:left="-120" w:right="-120"/>
              <w:jc w:val="center"/>
              <w:rPr>
                <w:color w:val="000000" w:themeColor="text1"/>
                <w14:textFill>
                  <w14:solidFill>
                    <w14:schemeClr w14:val="tx1"/>
                  </w14:solidFill>
                </w14:textFill>
              </w:rPr>
            </w:pPr>
          </w:p>
        </w:tc>
        <w:tc>
          <w:tcPr>
            <w:tcW w:w="1168" w:type="dxa"/>
            <w:vAlign w:val="center"/>
          </w:tcPr>
          <w:p w14:paraId="49729A15">
            <w:pPr>
              <w:jc w:val="center"/>
              <w:rPr>
                <w:color w:val="7030A0"/>
                <w:szCs w:val="21"/>
              </w:rPr>
            </w:pPr>
            <w:r>
              <w:rPr>
                <w:color w:val="000000" w:themeColor="text1"/>
                <w:szCs w:val="21"/>
                <w14:textFill>
                  <w14:solidFill>
                    <w14:schemeClr w14:val="tx1"/>
                  </w14:solidFill>
                </w14:textFill>
              </w:rPr>
              <w:t>颗粒物</w:t>
            </w:r>
          </w:p>
        </w:tc>
        <w:tc>
          <w:tcPr>
            <w:tcW w:w="1725" w:type="dxa"/>
            <w:vMerge w:val="continue"/>
            <w:vAlign w:val="center"/>
          </w:tcPr>
          <w:p w14:paraId="4C8DEEEC">
            <w:pPr>
              <w:adjustRightInd w:val="0"/>
              <w:snapToGrid w:val="0"/>
              <w:spacing w:before="31" w:beforeLines="10" w:after="31" w:afterLines="10" w:line="259" w:lineRule="auto"/>
              <w:ind w:left="-120" w:right="-120"/>
              <w:jc w:val="center"/>
              <w:rPr>
                <w:color w:val="000000" w:themeColor="text1"/>
                <w:kern w:val="0"/>
                <w:szCs w:val="21"/>
                <w14:textFill>
                  <w14:solidFill>
                    <w14:schemeClr w14:val="tx1"/>
                  </w14:solidFill>
                </w14:textFill>
              </w:rPr>
            </w:pPr>
          </w:p>
        </w:tc>
        <w:tc>
          <w:tcPr>
            <w:tcW w:w="2860" w:type="dxa"/>
            <w:vAlign w:val="center"/>
          </w:tcPr>
          <w:p w14:paraId="7C139EA9">
            <w:pPr>
              <w:adjustRightInd w:val="0"/>
              <w:snapToGrid w:val="0"/>
              <w:spacing w:before="31" w:beforeLines="10" w:after="31" w:afterLines="10" w:line="259" w:lineRule="auto"/>
              <w:ind w:left="-120" w:right="-1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广东省《大气污染物排放限值》（DB44/27-2001）无组织排放监控浓度限值</w:t>
            </w:r>
          </w:p>
        </w:tc>
      </w:tr>
      <w:tr w14:paraId="646D3F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451" w:type="dxa"/>
            <w:vMerge w:val="continue"/>
            <w:vAlign w:val="center"/>
          </w:tcPr>
          <w:p w14:paraId="6F5E0C1F">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p>
        </w:tc>
        <w:tc>
          <w:tcPr>
            <w:tcW w:w="1596" w:type="dxa"/>
            <w:vAlign w:val="center"/>
          </w:tcPr>
          <w:p w14:paraId="0603FEFF">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ascii="宋体"/>
                <w:color w:val="000000" w:themeColor="text1"/>
                <w:kern w:val="0"/>
                <w:szCs w:val="21"/>
                <w14:textFill>
                  <w14:solidFill>
                    <w14:schemeClr w14:val="tx1"/>
                  </w14:solidFill>
                </w14:textFill>
              </w:rPr>
              <w:t>厂内</w:t>
            </w:r>
          </w:p>
        </w:tc>
        <w:tc>
          <w:tcPr>
            <w:tcW w:w="1168" w:type="dxa"/>
            <w:vAlign w:val="center"/>
          </w:tcPr>
          <w:p w14:paraId="625A2851">
            <w:pPr>
              <w:adjustRightInd w:val="0"/>
              <w:snapToGrid w:val="0"/>
              <w:jc w:val="center"/>
              <w:rPr>
                <w:color w:val="000000" w:themeColor="text1"/>
                <w:szCs w:val="21"/>
                <w14:textFill>
                  <w14:solidFill>
                    <w14:schemeClr w14:val="tx1"/>
                  </w14:solidFill>
                </w14:textFill>
              </w:rPr>
            </w:pPr>
            <w:r>
              <w:rPr>
                <w:rFonts w:hint="eastAsia"/>
                <w:bCs/>
                <w:color w:val="000000" w:themeColor="text1"/>
                <w14:textFill>
                  <w14:solidFill>
                    <w14:schemeClr w14:val="tx1"/>
                  </w14:solidFill>
                </w14:textFill>
              </w:rPr>
              <w:t>非甲烷总烃</w:t>
            </w:r>
          </w:p>
        </w:tc>
        <w:tc>
          <w:tcPr>
            <w:tcW w:w="1725" w:type="dxa"/>
            <w:vAlign w:val="center"/>
          </w:tcPr>
          <w:p w14:paraId="37C9A7A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通过加强车间密闭</w:t>
            </w:r>
          </w:p>
        </w:tc>
        <w:tc>
          <w:tcPr>
            <w:tcW w:w="2860" w:type="dxa"/>
            <w:vAlign w:val="center"/>
          </w:tcPr>
          <w:p w14:paraId="4E31B80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广东省《固定污染源挥发性有机物综合排放标准》（DB44/2367-2022）中表3厂区内无组织排放限值</w:t>
            </w:r>
          </w:p>
        </w:tc>
      </w:tr>
      <w:tr w14:paraId="2EA152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451" w:type="dxa"/>
            <w:vAlign w:val="center"/>
          </w:tcPr>
          <w:p w14:paraId="4E19C2F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1596" w:type="dxa"/>
            <w:vAlign w:val="center"/>
          </w:tcPr>
          <w:p w14:paraId="4D5A9D9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1168" w:type="dxa"/>
            <w:vAlign w:val="center"/>
          </w:tcPr>
          <w:p w14:paraId="285C3B04">
            <w:pPr>
              <w:jc w:val="center"/>
              <w:rPr>
                <w:color w:val="000000" w:themeColor="text1"/>
                <w:szCs w:val="21"/>
                <w:vertAlign w:val="subscript"/>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p>
          <w:p w14:paraId="7550D2C7">
            <w:pPr>
              <w:jc w:val="center"/>
              <w:rPr>
                <w:color w:val="000000" w:themeColor="text1"/>
                <w:szCs w:val="21"/>
                <w:vertAlign w:val="subscript"/>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p w14:paraId="38B323B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p w14:paraId="4B6CF97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氨氮</w:t>
            </w:r>
          </w:p>
          <w:p w14:paraId="2EAB44F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总磷</w:t>
            </w:r>
          </w:p>
          <w:p w14:paraId="7B817F6F">
            <w:pPr>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动植物油</w:t>
            </w:r>
          </w:p>
        </w:tc>
        <w:tc>
          <w:tcPr>
            <w:tcW w:w="1725" w:type="dxa"/>
            <w:vAlign w:val="center"/>
          </w:tcPr>
          <w:p w14:paraId="3202BF0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经“隔油隔渣+三级化粪池”达标后经市政污水管网排入博罗县福田镇生活污水处理厂进行深度处理，最终排入福田河。</w:t>
            </w:r>
          </w:p>
        </w:tc>
        <w:tc>
          <w:tcPr>
            <w:tcW w:w="2860" w:type="dxa"/>
            <w:vAlign w:val="center"/>
          </w:tcPr>
          <w:p w14:paraId="2E6688F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广东省《水污染物排放限值》（DB44/26-2001）第二时段三级标准</w:t>
            </w:r>
          </w:p>
        </w:tc>
      </w:tr>
      <w:tr w14:paraId="0C24A8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51" w:type="dxa"/>
            <w:vAlign w:val="center"/>
          </w:tcPr>
          <w:p w14:paraId="4367C27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1596" w:type="dxa"/>
            <w:vAlign w:val="center"/>
          </w:tcPr>
          <w:p w14:paraId="7E9B0C0A">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机械设备</w:t>
            </w:r>
          </w:p>
        </w:tc>
        <w:tc>
          <w:tcPr>
            <w:tcW w:w="1168" w:type="dxa"/>
            <w:vAlign w:val="center"/>
          </w:tcPr>
          <w:p w14:paraId="1D29D52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机械噪声</w:t>
            </w:r>
          </w:p>
        </w:tc>
        <w:tc>
          <w:tcPr>
            <w:tcW w:w="1725" w:type="dxa"/>
            <w:vAlign w:val="center"/>
          </w:tcPr>
          <w:p w14:paraId="68E39E1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合理布局、利用墙体隔声和控制经营作业时间等</w:t>
            </w:r>
          </w:p>
        </w:tc>
        <w:tc>
          <w:tcPr>
            <w:tcW w:w="2860" w:type="dxa"/>
            <w:vAlign w:val="center"/>
          </w:tcPr>
          <w:p w14:paraId="7F34155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《工业企业厂界环境噪声排放标准》（GB12348-2008）中2类区排放限值</w:t>
            </w:r>
          </w:p>
        </w:tc>
      </w:tr>
      <w:tr w14:paraId="408374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51" w:type="dxa"/>
            <w:vAlign w:val="center"/>
          </w:tcPr>
          <w:p w14:paraId="7561A30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电磁辐射</w:t>
            </w:r>
          </w:p>
        </w:tc>
        <w:tc>
          <w:tcPr>
            <w:tcW w:w="1596" w:type="dxa"/>
            <w:vAlign w:val="center"/>
          </w:tcPr>
          <w:p w14:paraId="3DB8EE0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68" w:type="dxa"/>
            <w:vAlign w:val="center"/>
          </w:tcPr>
          <w:p w14:paraId="7A91821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725" w:type="dxa"/>
            <w:vAlign w:val="center"/>
          </w:tcPr>
          <w:p w14:paraId="3B38F251">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860" w:type="dxa"/>
            <w:vAlign w:val="center"/>
          </w:tcPr>
          <w:p w14:paraId="12B4E35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40E5BA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451" w:type="dxa"/>
            <w:vAlign w:val="center"/>
          </w:tcPr>
          <w:p w14:paraId="0E09D2F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7349" w:type="dxa"/>
            <w:gridSpan w:val="4"/>
            <w:vAlign w:val="center"/>
          </w:tcPr>
          <w:p w14:paraId="29EE9563">
            <w:pPr>
              <w:widowControl/>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项目员工生活垃圾交由环卫部门统一清运；</w:t>
            </w:r>
            <w:r>
              <w:rPr>
                <w:rFonts w:hint="eastAsia"/>
                <w:color w:val="000000" w:themeColor="text1"/>
                <w:szCs w:val="21"/>
                <w14:textFill>
                  <w14:solidFill>
                    <w14:schemeClr w14:val="tx1"/>
                  </w14:solidFill>
                </w14:textFill>
              </w:rPr>
              <w:t>木材边角料、金属边角料、包装废物，车间及布袋除尘器收集到的颗粒物</w:t>
            </w:r>
            <w:r>
              <w:rPr>
                <w:color w:val="000000" w:themeColor="text1"/>
                <w:szCs w:val="21"/>
                <w14:textFill>
                  <w14:solidFill>
                    <w14:schemeClr w14:val="tx1"/>
                  </w14:solidFill>
                </w14:textFill>
              </w:rPr>
              <w:t>交由专业公司回收处理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漆渣</w:t>
            </w:r>
            <w:r>
              <w:rPr>
                <w:rFonts w:hint="eastAsia"/>
                <w:color w:val="000000" w:themeColor="text1"/>
                <w:szCs w:val="21"/>
                <w14:textFill>
                  <w14:solidFill>
                    <w14:schemeClr w14:val="tx1"/>
                  </w14:solidFill>
                </w14:textFill>
              </w:rPr>
              <w:t>，废包装桶，水帘柜更换废水，喷枪清洗废水，废活性炭，喷漆、晾干废气处理装置喷淋塔定期更换废水、干式过滤器废滤料、废机油、废含机油抹布及手套，废机油包装桶</w:t>
            </w:r>
            <w:r>
              <w:rPr>
                <w:color w:val="000000" w:themeColor="text1"/>
                <w:szCs w:val="21"/>
                <w14:textFill>
                  <w14:solidFill>
                    <w14:schemeClr w14:val="tx1"/>
                  </w14:solidFill>
                </w14:textFill>
              </w:rPr>
              <w:t>交由有危险废物处理资质单位处理</w:t>
            </w:r>
            <w:r>
              <w:rPr>
                <w:rFonts w:hint="eastAsia"/>
                <w:color w:val="000000" w:themeColor="text1"/>
                <w:szCs w:val="21"/>
                <w14:textFill>
                  <w14:solidFill>
                    <w14:schemeClr w14:val="tx1"/>
                  </w14:solidFill>
                </w14:textFill>
              </w:rPr>
              <w:t>。</w:t>
            </w:r>
          </w:p>
        </w:tc>
      </w:tr>
      <w:tr w14:paraId="7CF601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51" w:type="dxa"/>
            <w:vAlign w:val="center"/>
          </w:tcPr>
          <w:p w14:paraId="481E67D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土壤及地下水污染防治措施</w:t>
            </w:r>
          </w:p>
        </w:tc>
        <w:tc>
          <w:tcPr>
            <w:tcW w:w="7349" w:type="dxa"/>
            <w:gridSpan w:val="4"/>
            <w:vAlign w:val="center"/>
          </w:tcPr>
          <w:p w14:paraId="5181D5D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分区防控、源头控制、过程控制</w:t>
            </w:r>
          </w:p>
        </w:tc>
      </w:tr>
      <w:tr w14:paraId="36507D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51" w:type="dxa"/>
            <w:vAlign w:val="center"/>
          </w:tcPr>
          <w:p w14:paraId="04B6E8B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生态保护措施</w:t>
            </w:r>
          </w:p>
        </w:tc>
        <w:tc>
          <w:tcPr>
            <w:tcW w:w="7349" w:type="dxa"/>
            <w:gridSpan w:val="4"/>
            <w:vAlign w:val="center"/>
          </w:tcPr>
          <w:p w14:paraId="780A183B">
            <w:pPr>
              <w:adjustRightInd w:val="0"/>
              <w:snapToGrid w:val="0"/>
              <w:jc w:val="center"/>
              <w:rPr>
                <w:color w:val="000000" w:themeColor="text1"/>
                <w:szCs w:val="21"/>
                <w14:textFill>
                  <w14:solidFill>
                    <w14:schemeClr w14:val="tx1"/>
                  </w14:solidFill>
                </w14:textFill>
              </w:rPr>
            </w:pPr>
            <w:r>
              <w:rPr>
                <w:color w:val="000000" w:themeColor="text1"/>
                <w14:textFill>
                  <w14:solidFill>
                    <w14:schemeClr w14:val="tx1"/>
                  </w14:solidFill>
                </w14:textFill>
              </w:rPr>
              <w:t>本项目占地范围内不存在生态环境保护目标</w:t>
            </w:r>
          </w:p>
        </w:tc>
      </w:tr>
      <w:tr w14:paraId="2743A6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451" w:type="dxa"/>
            <w:vAlign w:val="center"/>
          </w:tcPr>
          <w:p w14:paraId="48E2F1B9">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环境风险</w:t>
            </w:r>
          </w:p>
          <w:p w14:paraId="45601362">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防范措施</w:t>
            </w:r>
          </w:p>
        </w:tc>
        <w:tc>
          <w:tcPr>
            <w:tcW w:w="7349" w:type="dxa"/>
            <w:gridSpan w:val="4"/>
            <w:vAlign w:val="center"/>
          </w:tcPr>
          <w:p w14:paraId="11D473E4">
            <w:pPr>
              <w:snapToGrid w:val="0"/>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1、废气事故排放风险的防范措施</w:t>
            </w:r>
          </w:p>
          <w:p w14:paraId="1E6EAAC7">
            <w:pPr>
              <w:snapToGrid w:val="0"/>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对本项目产生废气的大气环境估算，各废气污染物下风向浓度不超过评价标准，对周围环境的影响较小。但是，当废气治理设施发生故障情况，可能会对环境空气质量造成一定的影响。导致废气治理设施运行故障的原因主要有：抽风设备故障、人员操作失误、处理装置故障等。</w:t>
            </w:r>
          </w:p>
          <w:p w14:paraId="169A4992">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建设单位必须严加管理，杜绝事故排放的事故发生。应认真做好设备的保养，定期维护、保修工作，使处理设施达到预期效果。废气抽排风的风机采用一用一备的方法，严禁出现风机失效的事故工况。现场作业人员定时记录废气抽排放系统及收集排放系统，并派专人巡视，废气处理系统出现故障，立即停止生产，切断废气来源，维修正常后再恢复生产，杜绝事故性废气直排，并及时呈报单位主管。待检修完毕再通知生产车间相关工序。</w:t>
            </w:r>
          </w:p>
          <w:p w14:paraId="38051F23">
            <w:pPr>
              <w:snapToGrid w:val="0"/>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2、废水事故排放风险的防范措施</w:t>
            </w:r>
          </w:p>
          <w:p w14:paraId="378844ED">
            <w:pPr>
              <w:snapToGrid w:val="0"/>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事故风险主要为喷淋塔废水溢出厂外或渗入地下，造成地表水体、土壤等环境污染。</w:t>
            </w:r>
          </w:p>
          <w:p w14:paraId="01C90F51">
            <w:pPr>
              <w:snapToGrid w:val="0"/>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当发生事故时，应立即停产，进行围堵截污，防止废水排入雨水管道；车间地面作好防渗漏措施；车间门口须设置拦截事故废水的墁坡或截流沟。</w:t>
            </w:r>
          </w:p>
          <w:p w14:paraId="195D5A63">
            <w:pPr>
              <w:widowControl/>
              <w:ind w:firstLine="420" w:firstLineChars="200"/>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项目</w:t>
            </w:r>
            <w:r>
              <w:rPr>
                <w:rFonts w:hint="eastAsia"/>
                <w:color w:val="000000" w:themeColor="text1"/>
                <w:kern w:val="0"/>
                <w:szCs w:val="21"/>
                <w14:textFill>
                  <w14:solidFill>
                    <w14:schemeClr w14:val="tx1"/>
                  </w14:solidFill>
                </w14:textFill>
              </w:rPr>
              <w:t>化学品仓和</w:t>
            </w:r>
            <w:r>
              <w:rPr>
                <w:color w:val="000000" w:themeColor="text1"/>
                <w:kern w:val="0"/>
                <w:szCs w:val="21"/>
                <w14:textFill>
                  <w14:solidFill>
                    <w14:schemeClr w14:val="tx1"/>
                  </w14:solidFill>
                </w14:textFill>
              </w:rPr>
              <w:t>危险废物</w:t>
            </w:r>
            <w:r>
              <w:rPr>
                <w:rFonts w:hint="eastAsia"/>
                <w:color w:val="000000" w:themeColor="text1"/>
                <w:kern w:val="0"/>
                <w:szCs w:val="21"/>
                <w14:textFill>
                  <w14:solidFill>
                    <w14:schemeClr w14:val="tx1"/>
                  </w14:solidFill>
                </w14:textFill>
              </w:rPr>
              <w:t>暂存室</w:t>
            </w:r>
            <w:r>
              <w:rPr>
                <w:color w:val="000000" w:themeColor="text1"/>
                <w:kern w:val="0"/>
                <w:szCs w:val="21"/>
                <w14:textFill>
                  <w14:solidFill>
                    <w14:schemeClr w14:val="tx1"/>
                  </w14:solidFill>
                </w14:textFill>
              </w:rPr>
              <w:t xml:space="preserve">防范措施： </w:t>
            </w:r>
          </w:p>
          <w:p w14:paraId="2D615824">
            <w:pPr>
              <w:widowControl/>
              <w:ind w:firstLine="420" w:firstLineChars="200"/>
              <w:jc w:val="left"/>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①</w:t>
            </w:r>
            <w:r>
              <w:rPr>
                <w:color w:val="000000" w:themeColor="text1"/>
                <w:kern w:val="0"/>
                <w:szCs w:val="21"/>
                <w14:textFill>
                  <w14:solidFill>
                    <w14:schemeClr w14:val="tx1"/>
                  </w14:solidFill>
                </w14:textFill>
              </w:rPr>
              <w:t>项目废活性炭</w:t>
            </w:r>
            <w:r>
              <w:rPr>
                <w:rFonts w:hint="eastAsia"/>
                <w:color w:val="000000" w:themeColor="text1"/>
                <w:kern w:val="0"/>
                <w:szCs w:val="21"/>
                <w14:textFill>
                  <w14:solidFill>
                    <w14:schemeClr w14:val="tx1"/>
                  </w14:solidFill>
                </w14:textFill>
              </w:rPr>
              <w:t>、废包装桶</w:t>
            </w:r>
            <w:r>
              <w:rPr>
                <w:color w:val="000000" w:themeColor="text1"/>
                <w:kern w:val="0"/>
                <w:szCs w:val="21"/>
                <w14:textFill>
                  <w14:solidFill>
                    <w14:schemeClr w14:val="tx1"/>
                  </w14:solidFill>
                </w14:textFill>
              </w:rPr>
              <w:t xml:space="preserve">避免露天存放，需要使用密闭包装桶盛装。 </w:t>
            </w:r>
          </w:p>
          <w:p w14:paraId="0A7F3533">
            <w:pPr>
              <w:widowControl/>
              <w:ind w:firstLine="420" w:firstLineChars="200"/>
              <w:jc w:val="left"/>
              <w:rPr>
                <w:color w:val="000000" w:themeColor="text1"/>
                <w:kern w:val="0"/>
                <w:sz w:val="24"/>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②</w:t>
            </w:r>
            <w:r>
              <w:rPr>
                <w:color w:val="000000" w:themeColor="text1"/>
                <w:kern w:val="0"/>
                <w:szCs w:val="21"/>
                <w14:textFill>
                  <w14:solidFill>
                    <w14:schemeClr w14:val="tx1"/>
                  </w14:solidFill>
                </w14:textFill>
              </w:rPr>
              <w:t>危险废物临时堆放场要做好防风、防雨、防晒。</w:t>
            </w:r>
          </w:p>
          <w:p w14:paraId="4D288A04">
            <w:pPr>
              <w:ind w:left="-50" w:leftChars="-24" w:firstLine="420" w:firstLineChars="200"/>
              <w:rPr>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③</w:t>
            </w:r>
            <w:r>
              <w:rPr>
                <w:color w:val="000000" w:themeColor="text1"/>
                <w:szCs w:val="21"/>
                <w14:textFill>
                  <w14:solidFill>
                    <w14:schemeClr w14:val="tx1"/>
                  </w14:solidFill>
                </w14:textFill>
              </w:rPr>
              <w:t>化学品仓库需要设置围堰，若发生泄漏事故，可以有效的收集泄漏的化学品。</w:t>
            </w:r>
          </w:p>
        </w:tc>
      </w:tr>
      <w:tr w14:paraId="05758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451" w:type="dxa"/>
            <w:vAlign w:val="center"/>
          </w:tcPr>
          <w:p w14:paraId="6966B186">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其他环境</w:t>
            </w:r>
          </w:p>
          <w:p w14:paraId="23B55812">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管理要求</w:t>
            </w:r>
          </w:p>
        </w:tc>
        <w:tc>
          <w:tcPr>
            <w:tcW w:w="7349" w:type="dxa"/>
            <w:gridSpan w:val="4"/>
            <w:vAlign w:val="center"/>
          </w:tcPr>
          <w:p w14:paraId="7F005DB6">
            <w:pPr>
              <w:widowControl/>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项目建成投入运行后，其环境管理是一项长期的管理工作，必须建立完善的管理机构和体系，并在此基础上建立健全各项环境监督和管理制度。 </w:t>
            </w:r>
          </w:p>
          <w:p w14:paraId="4C1811A4">
            <w:pPr>
              <w:widowControl/>
              <w:ind w:firstLine="420" w:firstLineChars="200"/>
              <w:jc w:val="left"/>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①</w:t>
            </w:r>
            <w:r>
              <w:rPr>
                <w:color w:val="000000" w:themeColor="text1"/>
                <w:kern w:val="0"/>
                <w:szCs w:val="21"/>
                <w14:textFill>
                  <w14:solidFill>
                    <w14:schemeClr w14:val="tx1"/>
                  </w14:solidFill>
                </w14:textFill>
              </w:rPr>
              <w:t xml:space="preserve">环境管理组织机构 </w:t>
            </w:r>
          </w:p>
          <w:p w14:paraId="5269AA9A">
            <w:pPr>
              <w:widowControl/>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为了做好生产全过程的环境保护工作，减轻项目外排污染物对环境的影响程度，建设单位必须高度重视环境保护工作。设立内部环境保护管理机构，专人负责环境保护工作，实行定岗定员，岗位责任制，负责各生产环节的环境保护管理，保证环保设施的正常运行。 </w:t>
            </w:r>
          </w:p>
          <w:p w14:paraId="3AC2B09C">
            <w:pPr>
              <w:widowControl/>
              <w:ind w:firstLine="420" w:firstLineChars="200"/>
              <w:jc w:val="left"/>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②</w:t>
            </w:r>
            <w:r>
              <w:rPr>
                <w:color w:val="000000" w:themeColor="text1"/>
                <w:kern w:val="0"/>
                <w:szCs w:val="21"/>
                <w14:textFill>
                  <w14:solidFill>
                    <w14:schemeClr w14:val="tx1"/>
                  </w14:solidFill>
                </w14:textFill>
              </w:rPr>
              <w:t xml:space="preserve">健全环境管理制度 </w:t>
            </w:r>
          </w:p>
          <w:p w14:paraId="59FE2244">
            <w:pPr>
              <w:widowControl/>
              <w:ind w:firstLine="420" w:firstLineChars="200"/>
              <w:jc w:val="left"/>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按照 ISO14000 的要求，建立完善的环境管理体系，健全内部环境管理制度，加强日常环境管理工作，对整个生产过程实施全过程环境管理，杜绝生产过程中环境污染事故的发生，保护环境。</w:t>
            </w:r>
          </w:p>
        </w:tc>
      </w:tr>
    </w:tbl>
    <w:p w14:paraId="084224C3">
      <w:pPr>
        <w:rPr>
          <w:rFonts w:hint="eastAsia"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br w:type="page"/>
      </w:r>
    </w:p>
    <w:p w14:paraId="6C88F1DA">
      <w:pPr>
        <w:jc w:val="center"/>
        <w:outlineLvl w:val="0"/>
        <w:rPr>
          <w:rFonts w:hint="eastAsia"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六</w:t>
      </w:r>
      <w:r>
        <w:rPr>
          <w:rFonts w:ascii="黑体" w:hAnsi="黑体" w:eastAsia="黑体"/>
          <w:color w:val="000000" w:themeColor="text1"/>
          <w:sz w:val="30"/>
          <w14:textFill>
            <w14:solidFill>
              <w14:schemeClr w14:val="tx1"/>
            </w14:solidFill>
          </w14:textFill>
        </w:rPr>
        <w:t>、结论</w:t>
      </w:r>
    </w:p>
    <w:tbl>
      <w:tblPr>
        <w:tblStyle w:val="40"/>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14F23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1" w:hRule="atLeast"/>
        </w:trPr>
        <w:tc>
          <w:tcPr>
            <w:tcW w:w="9060" w:type="dxa"/>
          </w:tcPr>
          <w:p w14:paraId="5CB32E0E">
            <w:pPr>
              <w:spacing w:line="360" w:lineRule="auto"/>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本项目性质与周边环境功能区划相符，符合规划布局要求，选址合理可行。建设项目应认真执行环保“三同时”管理规定，把项目对环境的影响控制在最低限度。在切实落实本评价提出的各项有关环保措施，并确保各种治理设施正常运转的前提下，项目对周围环境质量的影响不大，对周边环境敏感点不会带来大的影响。因此，</w:t>
            </w:r>
            <w:r>
              <w:rPr>
                <w:b/>
                <w:bCs/>
                <w:color w:val="000000" w:themeColor="text1"/>
                <w:sz w:val="24"/>
                <w14:textFill>
                  <w14:solidFill>
                    <w14:schemeClr w14:val="tx1"/>
                  </w14:solidFill>
                </w14:textFill>
              </w:rPr>
              <w:t>在认真执行环保“三同时”、切实执行环保措施的前提下，从环境保护角度分析，本项目的建设是可行的。</w:t>
            </w:r>
          </w:p>
          <w:p w14:paraId="60FAC4A6">
            <w:pPr>
              <w:spacing w:line="360" w:lineRule="auto"/>
              <w:ind w:firstLine="480" w:firstLineChars="200"/>
              <w:rPr>
                <w:color w:val="000000" w:themeColor="text1"/>
                <w:sz w:val="24"/>
                <w14:textFill>
                  <w14:solidFill>
                    <w14:schemeClr w14:val="tx1"/>
                  </w14:solidFill>
                </w14:textFill>
              </w:rPr>
            </w:pPr>
          </w:p>
          <w:p w14:paraId="0F56EDEC">
            <w:pPr>
              <w:spacing w:line="360" w:lineRule="auto"/>
              <w:jc w:val="center"/>
              <w:rPr>
                <w:rFonts w:hint="eastAsia" w:ascii="宋体" w:hAnsi="宋体"/>
                <w:color w:val="000000" w:themeColor="text1"/>
                <w:sz w:val="24"/>
                <w14:textFill>
                  <w14:solidFill>
                    <w14:schemeClr w14:val="tx1"/>
                  </w14:solidFill>
                </w14:textFill>
              </w:rPr>
            </w:pPr>
          </w:p>
        </w:tc>
      </w:tr>
    </w:tbl>
    <w:p w14:paraId="2AAE9B41">
      <w:pPr>
        <w:jc w:val="center"/>
        <w:rPr>
          <w:rFonts w:hint="eastAsia" w:ascii="黑体" w:hAnsi="黑体" w:eastAsia="黑体"/>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14:paraId="0786D9B8">
      <w:pPr>
        <w:pStyle w:val="35"/>
        <w:adjustRightInd w:val="0"/>
        <w:spacing w:before="0" w:beforeAutospacing="0" w:after="0" w:afterAutospacing="0" w:line="360" w:lineRule="auto"/>
        <w:outlineLvl w:val="0"/>
        <w:rPr>
          <w:rFonts w:hint="eastAsia" w:ascii="黑体" w:hAnsi="黑体" w:eastAsia="黑体"/>
          <w:snapToGrid w:val="0"/>
          <w:color w:val="000000" w:themeColor="text1"/>
          <w:sz w:val="32"/>
          <w:szCs w:val="32"/>
          <w14:textFill>
            <w14:solidFill>
              <w14:schemeClr w14:val="tx1"/>
            </w14:solidFill>
          </w14:textFill>
        </w:rPr>
      </w:pPr>
      <w:r>
        <w:rPr>
          <w:rFonts w:hint="eastAsia" w:ascii="黑体" w:hAnsi="黑体" w:eastAsia="黑体"/>
          <w:snapToGrid w:val="0"/>
          <w:color w:val="000000" w:themeColor="text1"/>
          <w:sz w:val="32"/>
          <w:szCs w:val="32"/>
          <w14:textFill>
            <w14:solidFill>
              <w14:schemeClr w14:val="tx1"/>
            </w14:solidFill>
          </w14:textFill>
        </w:rPr>
        <w:t>附表</w:t>
      </w:r>
    </w:p>
    <w:p w14:paraId="5B5B17CC">
      <w:pPr>
        <w:pStyle w:val="35"/>
        <w:adjustRightInd w:val="0"/>
        <w:spacing w:before="0" w:beforeAutospacing="0" w:after="0" w:afterAutospacing="0" w:line="360" w:lineRule="auto"/>
        <w:jc w:val="center"/>
        <w:rPr>
          <w:rFonts w:hint="eastAsia" w:ascii="方正小标宋_GBK" w:hAnsi="黑体" w:eastAsia="方正小标宋_GBK"/>
          <w:snapToGrid w:val="0"/>
          <w:color w:val="000000" w:themeColor="text1"/>
          <w:sz w:val="36"/>
          <w:szCs w:val="36"/>
          <w14:textFill>
            <w14:solidFill>
              <w14:schemeClr w14:val="tx1"/>
            </w14:solidFill>
          </w14:textFill>
        </w:rPr>
      </w:pPr>
      <w:r>
        <w:rPr>
          <w:rFonts w:hint="eastAsia" w:ascii="方正小标宋_GBK" w:hAnsi="黑体" w:eastAsia="方正小标宋_GBK"/>
          <w:snapToGrid w:val="0"/>
          <w:color w:val="000000" w:themeColor="text1"/>
          <w:sz w:val="36"/>
          <w:szCs w:val="36"/>
          <w14:textFill>
            <w14:solidFill>
              <w14:schemeClr w14:val="tx1"/>
            </w14:solidFill>
          </w14:textFill>
        </w:rPr>
        <w:t>建设项目污染物排放量汇总表</w:t>
      </w:r>
    </w:p>
    <w:tbl>
      <w:tblPr>
        <w:tblStyle w:val="40"/>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138"/>
        <w:gridCol w:w="1444"/>
        <w:gridCol w:w="1276"/>
        <w:gridCol w:w="1701"/>
        <w:gridCol w:w="1559"/>
        <w:gridCol w:w="1761"/>
        <w:gridCol w:w="1565"/>
        <w:gridCol w:w="1220"/>
      </w:tblGrid>
      <w:tr w14:paraId="16BA5B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24" w:type="dxa"/>
            <w:tcBorders>
              <w:tl2br w:val="single" w:color="auto" w:sz="4" w:space="0"/>
            </w:tcBorders>
            <w:tcMar>
              <w:left w:w="28" w:type="dxa"/>
              <w:right w:w="28" w:type="dxa"/>
            </w:tcMar>
            <w:vAlign w:val="center"/>
          </w:tcPr>
          <w:p w14:paraId="50ACD08A">
            <w:pPr>
              <w:pStyle w:val="72"/>
              <w:spacing w:line="240" w:lineRule="auto"/>
              <w:jc w:val="right"/>
              <w:rPr>
                <w:rFonts w:hint="eastAsia" w:ascii="黑体" w:hAnsi="黑体" w:cs="宋体"/>
                <w:snapToGrid w:val="0"/>
                <w:color w:val="000000" w:themeColor="text1"/>
                <w:spacing w:val="-6"/>
                <w:kern w:val="21"/>
                <w:szCs w:val="21"/>
                <w14:textFill>
                  <w14:solidFill>
                    <w14:schemeClr w14:val="tx1"/>
                  </w14:solidFill>
                </w14:textFill>
              </w:rPr>
            </w:pPr>
            <w:r>
              <w:rPr>
                <w:rFonts w:hint="eastAsia" w:ascii="黑体" w:hAnsi="黑体" w:cs="宋体"/>
                <w:snapToGrid w:val="0"/>
                <w:color w:val="000000" w:themeColor="text1"/>
                <w:spacing w:val="-6"/>
                <w:kern w:val="21"/>
                <w:szCs w:val="21"/>
                <w14:textFill>
                  <w14:solidFill>
                    <w14:schemeClr w14:val="tx1"/>
                  </w14:solidFill>
                </w14:textFill>
              </w:rPr>
              <w:t>项目</w:t>
            </w:r>
          </w:p>
          <w:p w14:paraId="10C91966">
            <w:pPr>
              <w:pStyle w:val="72"/>
              <w:spacing w:line="240" w:lineRule="auto"/>
              <w:jc w:val="left"/>
              <w:rPr>
                <w:rFonts w:hint="eastAsia" w:ascii="黑体" w:hAnsi="黑体" w:cs="宋体"/>
                <w:snapToGrid w:val="0"/>
                <w:color w:val="000000" w:themeColor="text1"/>
                <w:spacing w:val="-6"/>
                <w:kern w:val="21"/>
                <w:szCs w:val="21"/>
                <w14:textFill>
                  <w14:solidFill>
                    <w14:schemeClr w14:val="tx1"/>
                  </w14:solidFill>
                </w14:textFill>
              </w:rPr>
            </w:pPr>
            <w:r>
              <w:rPr>
                <w:rFonts w:hint="eastAsia" w:ascii="黑体" w:hAnsi="黑体" w:cs="宋体"/>
                <w:snapToGrid w:val="0"/>
                <w:color w:val="000000" w:themeColor="text1"/>
                <w:spacing w:val="-6"/>
                <w:kern w:val="21"/>
                <w:szCs w:val="21"/>
                <w14:textFill>
                  <w14:solidFill>
                    <w14:schemeClr w14:val="tx1"/>
                  </w14:solidFill>
                </w14:textFill>
              </w:rPr>
              <w:t>分类</w:t>
            </w:r>
          </w:p>
        </w:tc>
        <w:tc>
          <w:tcPr>
            <w:tcW w:w="2138" w:type="dxa"/>
            <w:tcMar>
              <w:left w:w="28" w:type="dxa"/>
              <w:right w:w="28" w:type="dxa"/>
            </w:tcMar>
            <w:vAlign w:val="center"/>
          </w:tcPr>
          <w:p w14:paraId="0DE01AAD">
            <w:pPr>
              <w:pStyle w:val="72"/>
              <w:spacing w:line="240" w:lineRule="auto"/>
              <w:rPr>
                <w:rFonts w:hint="eastAsia" w:ascii="黑体" w:hAnsi="黑体" w:cs="宋体"/>
                <w:snapToGrid w:val="0"/>
                <w:color w:val="000000" w:themeColor="text1"/>
                <w:spacing w:val="-6"/>
                <w:kern w:val="21"/>
                <w:szCs w:val="21"/>
                <w14:textFill>
                  <w14:solidFill>
                    <w14:schemeClr w14:val="tx1"/>
                  </w14:solidFill>
                </w14:textFill>
              </w:rPr>
            </w:pPr>
            <w:r>
              <w:rPr>
                <w:rFonts w:hint="eastAsia" w:ascii="黑体" w:hAnsi="黑体" w:cs="宋体"/>
                <w:snapToGrid w:val="0"/>
                <w:color w:val="000000" w:themeColor="text1"/>
                <w:spacing w:val="-6"/>
                <w:kern w:val="21"/>
                <w:szCs w:val="21"/>
                <w14:textFill>
                  <w14:solidFill>
                    <w14:schemeClr w14:val="tx1"/>
                  </w14:solidFill>
                </w14:textFill>
              </w:rPr>
              <w:t>污染物名称</w:t>
            </w:r>
          </w:p>
        </w:tc>
        <w:tc>
          <w:tcPr>
            <w:tcW w:w="1444" w:type="dxa"/>
            <w:tcMar>
              <w:left w:w="28" w:type="dxa"/>
              <w:right w:w="28" w:type="dxa"/>
            </w:tcMar>
            <w:vAlign w:val="center"/>
          </w:tcPr>
          <w:p w14:paraId="696C104C">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现有工程</w:t>
            </w:r>
          </w:p>
          <w:p w14:paraId="71BA2F50">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排放量（固</w:t>
            </w:r>
            <w:r>
              <w:rPr>
                <w:rFonts w:hint="eastAsia" w:ascii="黑体" w:hAnsi="黑体"/>
                <w:snapToGrid w:val="0"/>
                <w:color w:val="000000" w:themeColor="text1"/>
                <w:spacing w:val="-6"/>
                <w:kern w:val="21"/>
                <w:szCs w:val="21"/>
                <w14:textFill>
                  <w14:solidFill>
                    <w14:schemeClr w14:val="tx1"/>
                  </w14:solidFill>
                </w14:textFill>
              </w:rPr>
              <w:t>体</w:t>
            </w:r>
            <w:r>
              <w:rPr>
                <w:rFonts w:ascii="黑体" w:hAnsi="黑体"/>
                <w:snapToGrid w:val="0"/>
                <w:color w:val="000000" w:themeColor="text1"/>
                <w:spacing w:val="-6"/>
                <w:kern w:val="21"/>
                <w:szCs w:val="21"/>
                <w14:textFill>
                  <w14:solidFill>
                    <w14:schemeClr w14:val="tx1"/>
                  </w14:solidFill>
                </w14:textFill>
              </w:rPr>
              <w:t>废</w:t>
            </w:r>
            <w:r>
              <w:rPr>
                <w:rFonts w:hint="eastAsia" w:ascii="黑体" w:hAnsi="黑体"/>
                <w:snapToGrid w:val="0"/>
                <w:color w:val="000000" w:themeColor="text1"/>
                <w:spacing w:val="-6"/>
                <w:kern w:val="21"/>
                <w:szCs w:val="21"/>
                <w14:textFill>
                  <w14:solidFill>
                    <w14:schemeClr w14:val="tx1"/>
                  </w14:solidFill>
                </w14:textFill>
              </w:rPr>
              <w:t>物</w:t>
            </w:r>
            <w:r>
              <w:rPr>
                <w:rFonts w:ascii="黑体" w:hAnsi="黑体"/>
                <w:snapToGrid w:val="0"/>
                <w:color w:val="000000" w:themeColor="text1"/>
                <w:spacing w:val="-6"/>
                <w:kern w:val="21"/>
                <w:szCs w:val="21"/>
                <w14:textFill>
                  <w14:solidFill>
                    <w14:schemeClr w14:val="tx1"/>
                  </w14:solidFill>
                </w14:textFill>
              </w:rPr>
              <w:t>产生量）</w:t>
            </w: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1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①</w:t>
            </w:r>
            <w:r>
              <w:rPr>
                <w:rFonts w:ascii="黑体" w:hAnsi="黑体"/>
                <w:snapToGrid w:val="0"/>
                <w:color w:val="000000" w:themeColor="text1"/>
                <w:spacing w:val="-6"/>
                <w:kern w:val="21"/>
                <w:szCs w:val="21"/>
                <w14:textFill>
                  <w14:solidFill>
                    <w14:schemeClr w14:val="tx1"/>
                  </w14:solidFill>
                </w14:textFill>
              </w:rPr>
              <w:fldChar w:fldCharType="end"/>
            </w:r>
          </w:p>
        </w:tc>
        <w:tc>
          <w:tcPr>
            <w:tcW w:w="1276" w:type="dxa"/>
            <w:tcMar>
              <w:left w:w="28" w:type="dxa"/>
              <w:right w:w="28" w:type="dxa"/>
            </w:tcMar>
            <w:vAlign w:val="center"/>
          </w:tcPr>
          <w:p w14:paraId="0EB60BFF">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现有工程</w:t>
            </w:r>
          </w:p>
          <w:p w14:paraId="78F6F9E5">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许可排放量</w:t>
            </w:r>
          </w:p>
          <w:p w14:paraId="35DDB23D">
            <w:pPr>
              <w:pStyle w:val="72"/>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2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snapToGrid w:val="0"/>
                <w:color w:val="000000" w:themeColor="text1"/>
                <w:spacing w:val="-6"/>
                <w:kern w:val="21"/>
                <w:szCs w:val="21"/>
                <w14:textFill>
                  <w14:solidFill>
                    <w14:schemeClr w14:val="tx1"/>
                  </w14:solidFill>
                </w14:textFill>
              </w:rPr>
              <w:t>②</w:t>
            </w:r>
            <w:r>
              <w:rPr>
                <w:rFonts w:ascii="黑体" w:hAnsi="黑体"/>
                <w:snapToGrid w:val="0"/>
                <w:color w:val="000000" w:themeColor="text1"/>
                <w:spacing w:val="-6"/>
                <w:kern w:val="21"/>
                <w:szCs w:val="21"/>
                <w14:textFill>
                  <w14:solidFill>
                    <w14:schemeClr w14:val="tx1"/>
                  </w14:solidFill>
                </w14:textFill>
              </w:rPr>
              <w:fldChar w:fldCharType="end"/>
            </w:r>
          </w:p>
        </w:tc>
        <w:tc>
          <w:tcPr>
            <w:tcW w:w="1701" w:type="dxa"/>
            <w:tcMar>
              <w:left w:w="28" w:type="dxa"/>
              <w:right w:w="28" w:type="dxa"/>
            </w:tcMar>
            <w:vAlign w:val="center"/>
          </w:tcPr>
          <w:p w14:paraId="150BA54E">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在建工程</w:t>
            </w:r>
          </w:p>
          <w:p w14:paraId="7AD15E53">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排放量（固</w:t>
            </w:r>
            <w:r>
              <w:rPr>
                <w:rFonts w:hint="eastAsia" w:ascii="黑体" w:hAnsi="黑体"/>
                <w:snapToGrid w:val="0"/>
                <w:color w:val="000000" w:themeColor="text1"/>
                <w:spacing w:val="-6"/>
                <w:kern w:val="21"/>
                <w:szCs w:val="21"/>
                <w14:textFill>
                  <w14:solidFill>
                    <w14:schemeClr w14:val="tx1"/>
                  </w14:solidFill>
                </w14:textFill>
              </w:rPr>
              <w:t>体</w:t>
            </w:r>
            <w:r>
              <w:rPr>
                <w:rFonts w:ascii="黑体" w:hAnsi="黑体"/>
                <w:snapToGrid w:val="0"/>
                <w:color w:val="000000" w:themeColor="text1"/>
                <w:spacing w:val="-6"/>
                <w:kern w:val="21"/>
                <w:szCs w:val="21"/>
                <w14:textFill>
                  <w14:solidFill>
                    <w14:schemeClr w14:val="tx1"/>
                  </w14:solidFill>
                </w14:textFill>
              </w:rPr>
              <w:t>废</w:t>
            </w:r>
            <w:r>
              <w:rPr>
                <w:rFonts w:hint="eastAsia" w:ascii="黑体" w:hAnsi="黑体"/>
                <w:snapToGrid w:val="0"/>
                <w:color w:val="000000" w:themeColor="text1"/>
                <w:spacing w:val="-6"/>
                <w:kern w:val="21"/>
                <w:szCs w:val="21"/>
                <w14:textFill>
                  <w14:solidFill>
                    <w14:schemeClr w14:val="tx1"/>
                  </w14:solidFill>
                </w14:textFill>
              </w:rPr>
              <w:t>物</w:t>
            </w:r>
            <w:r>
              <w:rPr>
                <w:rFonts w:ascii="黑体" w:hAnsi="黑体"/>
                <w:snapToGrid w:val="0"/>
                <w:color w:val="000000" w:themeColor="text1"/>
                <w:spacing w:val="-6"/>
                <w:kern w:val="21"/>
                <w:szCs w:val="21"/>
                <w14:textFill>
                  <w14:solidFill>
                    <w14:schemeClr w14:val="tx1"/>
                  </w14:solidFill>
                </w14:textFill>
              </w:rPr>
              <w:t>产生量）</w:t>
            </w: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3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③</w:t>
            </w:r>
            <w:r>
              <w:rPr>
                <w:rFonts w:ascii="黑体" w:hAnsi="黑体"/>
                <w:snapToGrid w:val="0"/>
                <w:color w:val="000000" w:themeColor="text1"/>
                <w:spacing w:val="-6"/>
                <w:kern w:val="21"/>
                <w:szCs w:val="21"/>
                <w14:textFill>
                  <w14:solidFill>
                    <w14:schemeClr w14:val="tx1"/>
                  </w14:solidFill>
                </w14:textFill>
              </w:rPr>
              <w:fldChar w:fldCharType="end"/>
            </w:r>
          </w:p>
        </w:tc>
        <w:tc>
          <w:tcPr>
            <w:tcW w:w="1559" w:type="dxa"/>
            <w:tcMar>
              <w:left w:w="28" w:type="dxa"/>
              <w:right w:w="28" w:type="dxa"/>
            </w:tcMar>
            <w:vAlign w:val="center"/>
          </w:tcPr>
          <w:p w14:paraId="4D1C90CF">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本项目</w:t>
            </w:r>
          </w:p>
          <w:p w14:paraId="5BEC3C60">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排放量（固</w:t>
            </w:r>
            <w:r>
              <w:rPr>
                <w:rFonts w:hint="eastAsia" w:ascii="黑体" w:hAnsi="黑体"/>
                <w:snapToGrid w:val="0"/>
                <w:color w:val="000000" w:themeColor="text1"/>
                <w:spacing w:val="-6"/>
                <w:kern w:val="21"/>
                <w:szCs w:val="21"/>
                <w14:textFill>
                  <w14:solidFill>
                    <w14:schemeClr w14:val="tx1"/>
                  </w14:solidFill>
                </w14:textFill>
              </w:rPr>
              <w:t>体</w:t>
            </w:r>
            <w:r>
              <w:rPr>
                <w:rFonts w:ascii="黑体" w:hAnsi="黑体"/>
                <w:snapToGrid w:val="0"/>
                <w:color w:val="000000" w:themeColor="text1"/>
                <w:spacing w:val="-6"/>
                <w:kern w:val="21"/>
                <w:szCs w:val="21"/>
                <w14:textFill>
                  <w14:solidFill>
                    <w14:schemeClr w14:val="tx1"/>
                  </w14:solidFill>
                </w14:textFill>
              </w:rPr>
              <w:t>废</w:t>
            </w:r>
            <w:r>
              <w:rPr>
                <w:rFonts w:hint="eastAsia" w:ascii="黑体" w:hAnsi="黑体"/>
                <w:snapToGrid w:val="0"/>
                <w:color w:val="000000" w:themeColor="text1"/>
                <w:spacing w:val="-6"/>
                <w:kern w:val="21"/>
                <w:szCs w:val="21"/>
                <w14:textFill>
                  <w14:solidFill>
                    <w14:schemeClr w14:val="tx1"/>
                  </w14:solidFill>
                </w14:textFill>
              </w:rPr>
              <w:t>物</w:t>
            </w:r>
            <w:r>
              <w:rPr>
                <w:rFonts w:ascii="黑体" w:hAnsi="黑体"/>
                <w:snapToGrid w:val="0"/>
                <w:color w:val="000000" w:themeColor="text1"/>
                <w:spacing w:val="-6"/>
                <w:kern w:val="21"/>
                <w:szCs w:val="21"/>
                <w14:textFill>
                  <w14:solidFill>
                    <w14:schemeClr w14:val="tx1"/>
                  </w14:solidFill>
                </w14:textFill>
              </w:rPr>
              <w:t>产生量）</w:t>
            </w: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4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④</w:t>
            </w:r>
            <w:r>
              <w:rPr>
                <w:rFonts w:ascii="黑体" w:hAnsi="黑体"/>
                <w:snapToGrid w:val="0"/>
                <w:color w:val="000000" w:themeColor="text1"/>
                <w:spacing w:val="-6"/>
                <w:kern w:val="21"/>
                <w:szCs w:val="21"/>
                <w14:textFill>
                  <w14:solidFill>
                    <w14:schemeClr w14:val="tx1"/>
                  </w14:solidFill>
                </w14:textFill>
              </w:rPr>
              <w:fldChar w:fldCharType="end"/>
            </w:r>
          </w:p>
        </w:tc>
        <w:tc>
          <w:tcPr>
            <w:tcW w:w="1761" w:type="dxa"/>
            <w:tcMar>
              <w:left w:w="28" w:type="dxa"/>
              <w:right w:w="28" w:type="dxa"/>
            </w:tcMar>
            <w:vAlign w:val="center"/>
          </w:tcPr>
          <w:p w14:paraId="10D50D4A">
            <w:pPr>
              <w:pStyle w:val="72"/>
              <w:spacing w:line="240" w:lineRule="auto"/>
              <w:rPr>
                <w:rFonts w:hint="eastAsia" w:ascii="黑体" w:hAnsi="黑体"/>
                <w:snapToGrid w:val="0"/>
                <w:color w:val="000000" w:themeColor="text1"/>
                <w:spacing w:val="-16"/>
                <w:kern w:val="21"/>
                <w:szCs w:val="21"/>
                <w14:textFill>
                  <w14:solidFill>
                    <w14:schemeClr w14:val="tx1"/>
                  </w14:solidFill>
                </w14:textFill>
              </w:rPr>
            </w:pPr>
            <w:r>
              <w:rPr>
                <w:rFonts w:ascii="黑体" w:hAnsi="黑体"/>
                <w:snapToGrid w:val="0"/>
                <w:color w:val="000000" w:themeColor="text1"/>
                <w:spacing w:val="-16"/>
                <w:kern w:val="21"/>
                <w:szCs w:val="21"/>
                <w14:textFill>
                  <w14:solidFill>
                    <w14:schemeClr w14:val="tx1"/>
                  </w14:solidFill>
                </w14:textFill>
              </w:rPr>
              <w:t>以新带老削减量</w:t>
            </w:r>
          </w:p>
          <w:p w14:paraId="586B7E43">
            <w:pPr>
              <w:pStyle w:val="72"/>
              <w:spacing w:line="240" w:lineRule="auto"/>
              <w:rPr>
                <w:rFonts w:hint="eastAsia" w:ascii="黑体" w:hAnsi="黑体"/>
                <w:snapToGrid w:val="0"/>
                <w:color w:val="000000" w:themeColor="text1"/>
                <w:spacing w:val="-16"/>
                <w:kern w:val="21"/>
                <w:szCs w:val="21"/>
                <w14:textFill>
                  <w14:solidFill>
                    <w14:schemeClr w14:val="tx1"/>
                  </w14:solidFill>
                </w14:textFill>
              </w:rPr>
            </w:pPr>
            <w:r>
              <w:rPr>
                <w:rFonts w:ascii="黑体" w:hAnsi="黑体"/>
                <w:snapToGrid w:val="0"/>
                <w:color w:val="000000" w:themeColor="text1"/>
                <w:spacing w:val="-16"/>
                <w:kern w:val="21"/>
                <w:szCs w:val="21"/>
                <w14:textFill>
                  <w14:solidFill>
                    <w14:schemeClr w14:val="tx1"/>
                  </w14:solidFill>
                </w14:textFill>
              </w:rPr>
              <w:t>（新建项目不填）</w:t>
            </w:r>
            <w:r>
              <w:rPr>
                <w:rFonts w:ascii="黑体" w:hAnsi="黑体"/>
                <w:snapToGrid w:val="0"/>
                <w:color w:val="000000" w:themeColor="text1"/>
                <w:spacing w:val="-16"/>
                <w:kern w:val="21"/>
                <w:szCs w:val="21"/>
                <w14:textFill>
                  <w14:solidFill>
                    <w14:schemeClr w14:val="tx1"/>
                  </w14:solidFill>
                </w14:textFill>
              </w:rPr>
              <w:fldChar w:fldCharType="begin"/>
            </w:r>
            <w:r>
              <w:rPr>
                <w:rFonts w:ascii="黑体" w:hAnsi="黑体"/>
                <w:snapToGrid w:val="0"/>
                <w:color w:val="000000" w:themeColor="text1"/>
                <w:spacing w:val="-16"/>
                <w:kern w:val="21"/>
                <w:szCs w:val="21"/>
                <w14:textFill>
                  <w14:solidFill>
                    <w14:schemeClr w14:val="tx1"/>
                  </w14:solidFill>
                </w14:textFill>
              </w:rPr>
              <w:instrText xml:space="preserve"> = 5 \* GB3 \* MERGEFORMAT </w:instrText>
            </w:r>
            <w:r>
              <w:rPr>
                <w:rFonts w:ascii="黑体" w:hAnsi="黑体"/>
                <w:snapToGrid w:val="0"/>
                <w:color w:val="000000" w:themeColor="text1"/>
                <w:spacing w:val="-1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⑤</w:t>
            </w:r>
            <w:r>
              <w:rPr>
                <w:rFonts w:ascii="黑体" w:hAnsi="黑体"/>
                <w:snapToGrid w:val="0"/>
                <w:color w:val="000000" w:themeColor="text1"/>
                <w:spacing w:val="-16"/>
                <w:kern w:val="21"/>
                <w:szCs w:val="21"/>
                <w14:textFill>
                  <w14:solidFill>
                    <w14:schemeClr w14:val="tx1"/>
                  </w14:solidFill>
                </w14:textFill>
              </w:rPr>
              <w:fldChar w:fldCharType="end"/>
            </w:r>
          </w:p>
        </w:tc>
        <w:tc>
          <w:tcPr>
            <w:tcW w:w="1565" w:type="dxa"/>
            <w:tcMar>
              <w:left w:w="28" w:type="dxa"/>
              <w:right w:w="28" w:type="dxa"/>
            </w:tcMar>
            <w:vAlign w:val="center"/>
          </w:tcPr>
          <w:p w14:paraId="2ED7BAE4">
            <w:pPr>
              <w:pStyle w:val="72"/>
              <w:spacing w:line="240" w:lineRule="auto"/>
              <w:rPr>
                <w:rFonts w:hint="eastAsia" w:ascii="黑体" w:hAnsi="黑体"/>
                <w:snapToGrid w:val="0"/>
                <w:color w:val="000000" w:themeColor="text1"/>
                <w:spacing w:val="-16"/>
                <w:kern w:val="21"/>
                <w:szCs w:val="21"/>
                <w14:textFill>
                  <w14:solidFill>
                    <w14:schemeClr w14:val="tx1"/>
                  </w14:solidFill>
                </w14:textFill>
              </w:rPr>
            </w:pPr>
            <w:r>
              <w:rPr>
                <w:rFonts w:ascii="黑体" w:hAnsi="黑体"/>
                <w:snapToGrid w:val="0"/>
                <w:color w:val="000000" w:themeColor="text1"/>
                <w:spacing w:val="-16"/>
                <w:kern w:val="21"/>
                <w:szCs w:val="21"/>
                <w14:textFill>
                  <w14:solidFill>
                    <w14:schemeClr w14:val="tx1"/>
                  </w14:solidFill>
                </w14:textFill>
              </w:rPr>
              <w:t>本项目建成后</w:t>
            </w:r>
          </w:p>
          <w:p w14:paraId="25297B8C">
            <w:pPr>
              <w:pStyle w:val="72"/>
              <w:spacing w:line="240" w:lineRule="auto"/>
              <w:rPr>
                <w:rFonts w:hint="eastAsia" w:ascii="黑体" w:hAnsi="黑体"/>
                <w:snapToGrid w:val="0"/>
                <w:color w:val="000000" w:themeColor="text1"/>
                <w:spacing w:val="-16"/>
                <w:kern w:val="21"/>
                <w:szCs w:val="21"/>
                <w14:textFill>
                  <w14:solidFill>
                    <w14:schemeClr w14:val="tx1"/>
                  </w14:solidFill>
                </w14:textFill>
              </w:rPr>
            </w:pPr>
            <w:r>
              <w:rPr>
                <w:rFonts w:hint="eastAsia" w:ascii="黑体" w:hAnsi="黑体"/>
                <w:snapToGrid w:val="0"/>
                <w:color w:val="000000" w:themeColor="text1"/>
                <w:spacing w:val="-16"/>
                <w:kern w:val="21"/>
                <w:szCs w:val="21"/>
                <w14:textFill>
                  <w14:solidFill>
                    <w14:schemeClr w14:val="tx1"/>
                  </w14:solidFill>
                </w14:textFill>
              </w:rPr>
              <w:t>全厂</w:t>
            </w:r>
            <w:r>
              <w:rPr>
                <w:rFonts w:ascii="黑体" w:hAnsi="黑体"/>
                <w:snapToGrid w:val="0"/>
                <w:color w:val="000000" w:themeColor="text1"/>
                <w:spacing w:val="-16"/>
                <w:kern w:val="21"/>
                <w:szCs w:val="21"/>
                <w14:textFill>
                  <w14:solidFill>
                    <w14:schemeClr w14:val="tx1"/>
                  </w14:solidFill>
                </w14:textFill>
              </w:rPr>
              <w:t>排放量（固</w:t>
            </w:r>
            <w:r>
              <w:rPr>
                <w:rFonts w:hint="eastAsia" w:ascii="黑体" w:hAnsi="黑体"/>
                <w:snapToGrid w:val="0"/>
                <w:color w:val="000000" w:themeColor="text1"/>
                <w:spacing w:val="-16"/>
                <w:kern w:val="21"/>
                <w:szCs w:val="21"/>
                <w14:textFill>
                  <w14:solidFill>
                    <w14:schemeClr w14:val="tx1"/>
                  </w14:solidFill>
                </w14:textFill>
              </w:rPr>
              <w:t>体</w:t>
            </w:r>
            <w:r>
              <w:rPr>
                <w:rFonts w:ascii="黑体" w:hAnsi="黑体"/>
                <w:snapToGrid w:val="0"/>
                <w:color w:val="000000" w:themeColor="text1"/>
                <w:spacing w:val="-16"/>
                <w:kern w:val="21"/>
                <w:szCs w:val="21"/>
                <w14:textFill>
                  <w14:solidFill>
                    <w14:schemeClr w14:val="tx1"/>
                  </w14:solidFill>
                </w14:textFill>
              </w:rPr>
              <w:t>废</w:t>
            </w:r>
            <w:r>
              <w:rPr>
                <w:rFonts w:hint="eastAsia" w:ascii="黑体" w:hAnsi="黑体"/>
                <w:snapToGrid w:val="0"/>
                <w:color w:val="000000" w:themeColor="text1"/>
                <w:spacing w:val="-16"/>
                <w:kern w:val="21"/>
                <w:szCs w:val="21"/>
                <w14:textFill>
                  <w14:solidFill>
                    <w14:schemeClr w14:val="tx1"/>
                  </w14:solidFill>
                </w14:textFill>
              </w:rPr>
              <w:t>物</w:t>
            </w:r>
            <w:r>
              <w:rPr>
                <w:rFonts w:ascii="黑体" w:hAnsi="黑体"/>
                <w:snapToGrid w:val="0"/>
                <w:color w:val="000000" w:themeColor="text1"/>
                <w:spacing w:val="-16"/>
                <w:kern w:val="21"/>
                <w:szCs w:val="21"/>
                <w14:textFill>
                  <w14:solidFill>
                    <w14:schemeClr w14:val="tx1"/>
                  </w14:solidFill>
                </w14:textFill>
              </w:rPr>
              <w:t>产生量）</w:t>
            </w:r>
            <w:r>
              <w:rPr>
                <w:rFonts w:ascii="黑体" w:hAnsi="黑体"/>
                <w:snapToGrid w:val="0"/>
                <w:color w:val="000000" w:themeColor="text1"/>
                <w:spacing w:val="-16"/>
                <w:kern w:val="21"/>
                <w:szCs w:val="21"/>
                <w14:textFill>
                  <w14:solidFill>
                    <w14:schemeClr w14:val="tx1"/>
                  </w14:solidFill>
                </w14:textFill>
              </w:rPr>
              <w:fldChar w:fldCharType="begin"/>
            </w:r>
            <w:r>
              <w:rPr>
                <w:rFonts w:ascii="黑体" w:hAnsi="黑体"/>
                <w:snapToGrid w:val="0"/>
                <w:color w:val="000000" w:themeColor="text1"/>
                <w:spacing w:val="-16"/>
                <w:kern w:val="21"/>
                <w:szCs w:val="21"/>
                <w14:textFill>
                  <w14:solidFill>
                    <w14:schemeClr w14:val="tx1"/>
                  </w14:solidFill>
                </w14:textFill>
              </w:rPr>
              <w:instrText xml:space="preserve"> = 6 \* GB3 \* MERGEFORMAT </w:instrText>
            </w:r>
            <w:r>
              <w:rPr>
                <w:rFonts w:ascii="黑体" w:hAnsi="黑体"/>
                <w:snapToGrid w:val="0"/>
                <w:color w:val="000000" w:themeColor="text1"/>
                <w:spacing w:val="-1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⑥</w:t>
            </w:r>
            <w:r>
              <w:rPr>
                <w:rFonts w:ascii="黑体" w:hAnsi="黑体"/>
                <w:snapToGrid w:val="0"/>
                <w:color w:val="000000" w:themeColor="text1"/>
                <w:spacing w:val="-16"/>
                <w:kern w:val="21"/>
                <w:szCs w:val="21"/>
                <w14:textFill>
                  <w14:solidFill>
                    <w14:schemeClr w14:val="tx1"/>
                  </w14:solidFill>
                </w14:textFill>
              </w:rPr>
              <w:fldChar w:fldCharType="end"/>
            </w:r>
          </w:p>
        </w:tc>
        <w:tc>
          <w:tcPr>
            <w:tcW w:w="1220" w:type="dxa"/>
            <w:tcMar>
              <w:left w:w="28" w:type="dxa"/>
              <w:right w:w="28" w:type="dxa"/>
            </w:tcMar>
            <w:vAlign w:val="center"/>
          </w:tcPr>
          <w:p w14:paraId="43755E9C">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变化量</w:t>
            </w:r>
          </w:p>
          <w:p w14:paraId="08BB5BB8">
            <w:pPr>
              <w:pStyle w:val="72"/>
              <w:spacing w:line="240" w:lineRule="auto"/>
              <w:rPr>
                <w:rFonts w:hint="eastAsia"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7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⑦</w:t>
            </w:r>
            <w:r>
              <w:rPr>
                <w:rFonts w:ascii="黑体" w:hAnsi="黑体"/>
                <w:snapToGrid w:val="0"/>
                <w:color w:val="000000" w:themeColor="text1"/>
                <w:spacing w:val="-6"/>
                <w:kern w:val="21"/>
                <w:szCs w:val="21"/>
                <w14:textFill>
                  <w14:solidFill>
                    <w14:schemeClr w14:val="tx1"/>
                  </w14:solidFill>
                </w14:textFill>
              </w:rPr>
              <w:fldChar w:fldCharType="end"/>
            </w:r>
          </w:p>
        </w:tc>
      </w:tr>
      <w:tr w14:paraId="0A62FB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14:paraId="065691BB">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废气</w:t>
            </w:r>
          </w:p>
        </w:tc>
        <w:tc>
          <w:tcPr>
            <w:tcW w:w="2138" w:type="dxa"/>
            <w:vAlign w:val="center"/>
          </w:tcPr>
          <w:p w14:paraId="4221692F">
            <w:pPr>
              <w:pStyle w:val="72"/>
              <w:spacing w:line="240" w:lineRule="auto"/>
              <w:rPr>
                <w:rFonts w:eastAsia="宋体"/>
                <w:snapToGrid w:val="0"/>
                <w:color w:val="000000" w:themeColor="text1"/>
                <w:kern w:val="2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废气量（万m</w:t>
            </w:r>
            <w:r>
              <w:rPr>
                <w:rFonts w:eastAsia="宋体"/>
                <w:snapToGrid w:val="0"/>
                <w:color w:val="000000" w:themeColor="text1"/>
                <w:kern w:val="21"/>
                <w:szCs w:val="21"/>
                <w:vertAlign w:val="superscript"/>
                <w14:textFill>
                  <w14:solidFill>
                    <w14:schemeClr w14:val="tx1"/>
                  </w14:solidFill>
                </w14:textFill>
              </w:rPr>
              <w:t>3</w:t>
            </w:r>
            <w:r>
              <w:rPr>
                <w:rFonts w:eastAsia="宋体"/>
                <w:snapToGrid w:val="0"/>
                <w:color w:val="000000" w:themeColor="text1"/>
                <w:kern w:val="21"/>
                <w:szCs w:val="21"/>
                <w14:textFill>
                  <w14:solidFill>
                    <w14:schemeClr w14:val="tx1"/>
                  </w14:solidFill>
                </w14:textFill>
              </w:rPr>
              <w:t>/a）</w:t>
            </w:r>
          </w:p>
        </w:tc>
        <w:tc>
          <w:tcPr>
            <w:tcW w:w="1444" w:type="dxa"/>
            <w:vAlign w:val="center"/>
          </w:tcPr>
          <w:p w14:paraId="16CCF70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502DC84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0768DB2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5CAC4A1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98</w:t>
            </w:r>
            <w:r>
              <w:rPr>
                <w:rFonts w:hAnsi="宋体" w:cs="宋体"/>
                <w:snapToGrid w:val="0"/>
                <w:color w:val="000000" w:themeColor="text1"/>
                <w:kern w:val="21"/>
                <w:szCs w:val="21"/>
                <w14:textFill>
                  <w14:solidFill>
                    <w14:schemeClr w14:val="tx1"/>
                  </w14:solidFill>
                </w14:textFill>
              </w:rPr>
              <w:t>40</w:t>
            </w:r>
          </w:p>
        </w:tc>
        <w:tc>
          <w:tcPr>
            <w:tcW w:w="1761" w:type="dxa"/>
            <w:vAlign w:val="center"/>
          </w:tcPr>
          <w:p w14:paraId="58A28BC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6ED81E3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98</w:t>
            </w:r>
            <w:r>
              <w:rPr>
                <w:rFonts w:hAnsi="宋体" w:cs="宋体"/>
                <w:snapToGrid w:val="0"/>
                <w:color w:val="000000" w:themeColor="text1"/>
                <w:kern w:val="21"/>
                <w:szCs w:val="21"/>
                <w14:textFill>
                  <w14:solidFill>
                    <w14:schemeClr w14:val="tx1"/>
                  </w14:solidFill>
                </w14:textFill>
              </w:rPr>
              <w:t>40</w:t>
            </w:r>
          </w:p>
        </w:tc>
        <w:tc>
          <w:tcPr>
            <w:tcW w:w="1220" w:type="dxa"/>
            <w:vAlign w:val="center"/>
          </w:tcPr>
          <w:p w14:paraId="740BF92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+98</w:t>
            </w:r>
            <w:r>
              <w:rPr>
                <w:rFonts w:hAnsi="宋体" w:cs="宋体"/>
                <w:snapToGrid w:val="0"/>
                <w:color w:val="000000" w:themeColor="text1"/>
                <w:kern w:val="21"/>
                <w:szCs w:val="21"/>
                <w14:textFill>
                  <w14:solidFill>
                    <w14:schemeClr w14:val="tx1"/>
                  </w14:solidFill>
                </w14:textFill>
              </w:rPr>
              <w:t>40</w:t>
            </w:r>
          </w:p>
        </w:tc>
      </w:tr>
      <w:tr w14:paraId="68871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12461B7C">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26991DE5">
            <w:pPr>
              <w:pStyle w:val="72"/>
              <w:spacing w:line="240" w:lineRule="auto"/>
              <w:rPr>
                <w:rFonts w:eastAsia="宋体"/>
                <w:snapToGrid w:val="0"/>
                <w:color w:val="000000" w:themeColor="text1"/>
                <w:kern w:val="2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颗粒物</w:t>
            </w:r>
          </w:p>
        </w:tc>
        <w:tc>
          <w:tcPr>
            <w:tcW w:w="1444" w:type="dxa"/>
            <w:vAlign w:val="center"/>
          </w:tcPr>
          <w:p w14:paraId="5B1C965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72C11BCA">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7554027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32EEEF89">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2.470</w:t>
            </w:r>
          </w:p>
        </w:tc>
        <w:tc>
          <w:tcPr>
            <w:tcW w:w="1761" w:type="dxa"/>
            <w:vAlign w:val="center"/>
          </w:tcPr>
          <w:p w14:paraId="13683B0E">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20AE4B39">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2.470</w:t>
            </w:r>
          </w:p>
        </w:tc>
        <w:tc>
          <w:tcPr>
            <w:tcW w:w="1220" w:type="dxa"/>
            <w:vAlign w:val="center"/>
          </w:tcPr>
          <w:p w14:paraId="598899F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w:t>
            </w:r>
            <w:r>
              <w:rPr>
                <w:rFonts w:hint="eastAsia" w:hAnsi="宋体" w:cs="宋体"/>
                <w:snapToGrid w:val="0"/>
                <w:color w:val="000000" w:themeColor="text1"/>
                <w:kern w:val="21"/>
                <w:szCs w:val="21"/>
                <w14:textFill>
                  <w14:solidFill>
                    <w14:schemeClr w14:val="tx1"/>
                  </w14:solidFill>
                </w14:textFill>
              </w:rPr>
              <w:t>2.470</w:t>
            </w:r>
          </w:p>
        </w:tc>
      </w:tr>
      <w:tr w14:paraId="630925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57850467">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2506D589">
            <w:pPr>
              <w:pStyle w:val="72"/>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锰及其化合物</w:t>
            </w:r>
          </w:p>
        </w:tc>
        <w:tc>
          <w:tcPr>
            <w:tcW w:w="1444" w:type="dxa"/>
            <w:vAlign w:val="center"/>
          </w:tcPr>
          <w:p w14:paraId="123AB4C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7134E44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1525FF9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6DCAF322">
            <w:pPr>
              <w:pStyle w:val="72"/>
              <w:spacing w:line="240" w:lineRule="auto"/>
              <w:rPr>
                <w:rFonts w:hint="eastAsia" w:hAnsi="宋体" w:cs="宋体"/>
                <w:snapToGrid w:val="0"/>
                <w:color w:val="0070C0"/>
                <w:kern w:val="21"/>
                <w:szCs w:val="21"/>
              </w:rPr>
            </w:pPr>
            <w:r>
              <w:rPr>
                <w:rFonts w:hint="eastAsia" w:hAnsi="宋体" w:cs="宋体"/>
                <w:snapToGrid w:val="0"/>
                <w:color w:val="000000" w:themeColor="text1"/>
                <w:kern w:val="21"/>
                <w:szCs w:val="21"/>
                <w14:textFill>
                  <w14:solidFill>
                    <w14:schemeClr w14:val="tx1"/>
                  </w14:solidFill>
                </w14:textFill>
              </w:rPr>
              <w:t>4.47×</w:t>
            </w:r>
            <w:r>
              <w:rPr>
                <w:rFonts w:hAnsi="宋体" w:cs="宋体"/>
                <w:snapToGrid w:val="0"/>
                <w:color w:val="000000" w:themeColor="text1"/>
                <w:kern w:val="21"/>
                <w:szCs w:val="21"/>
                <w14:textFill>
                  <w14:solidFill>
                    <w14:schemeClr w14:val="tx1"/>
                  </w14:solidFill>
                </w14:textFill>
              </w:rPr>
              <w:t>10</w:t>
            </w:r>
            <w:r>
              <w:rPr>
                <w:rFonts w:hAnsi="宋体" w:cs="宋体"/>
                <w:snapToGrid w:val="0"/>
                <w:color w:val="000000" w:themeColor="text1"/>
                <w:kern w:val="21"/>
                <w:szCs w:val="21"/>
                <w:vertAlign w:val="superscript"/>
                <w14:textFill>
                  <w14:solidFill>
                    <w14:schemeClr w14:val="tx1"/>
                  </w14:solidFill>
                </w14:textFill>
              </w:rPr>
              <w:t>-6</w:t>
            </w:r>
          </w:p>
        </w:tc>
        <w:tc>
          <w:tcPr>
            <w:tcW w:w="1761" w:type="dxa"/>
            <w:vAlign w:val="center"/>
          </w:tcPr>
          <w:p w14:paraId="1DDE50CC">
            <w:pPr>
              <w:pStyle w:val="72"/>
              <w:spacing w:line="240" w:lineRule="auto"/>
              <w:rPr>
                <w:rFonts w:hint="eastAsia" w:hAnsi="宋体" w:cs="宋体"/>
                <w:snapToGrid w:val="0"/>
                <w:color w:val="0070C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74CE55E2">
            <w:pPr>
              <w:pStyle w:val="72"/>
              <w:spacing w:line="240" w:lineRule="auto"/>
              <w:rPr>
                <w:rFonts w:hint="eastAsia" w:hAnsi="宋体" w:cs="宋体"/>
                <w:snapToGrid w:val="0"/>
                <w:color w:val="0070C0"/>
                <w:kern w:val="21"/>
                <w:szCs w:val="21"/>
              </w:rPr>
            </w:pPr>
            <w:r>
              <w:rPr>
                <w:rFonts w:hint="eastAsia" w:hAnsi="宋体" w:cs="宋体"/>
                <w:snapToGrid w:val="0"/>
                <w:color w:val="000000" w:themeColor="text1"/>
                <w:kern w:val="21"/>
                <w:szCs w:val="21"/>
                <w14:textFill>
                  <w14:solidFill>
                    <w14:schemeClr w14:val="tx1"/>
                  </w14:solidFill>
                </w14:textFill>
              </w:rPr>
              <w:t>4.47×</w:t>
            </w:r>
            <w:r>
              <w:rPr>
                <w:rFonts w:hAnsi="宋体" w:cs="宋体"/>
                <w:snapToGrid w:val="0"/>
                <w:color w:val="000000" w:themeColor="text1"/>
                <w:kern w:val="21"/>
                <w:szCs w:val="21"/>
                <w14:textFill>
                  <w14:solidFill>
                    <w14:schemeClr w14:val="tx1"/>
                  </w14:solidFill>
                </w14:textFill>
              </w:rPr>
              <w:t>10</w:t>
            </w:r>
            <w:r>
              <w:rPr>
                <w:rFonts w:hAnsi="宋体" w:cs="宋体"/>
                <w:snapToGrid w:val="0"/>
                <w:color w:val="000000" w:themeColor="text1"/>
                <w:kern w:val="21"/>
                <w:szCs w:val="21"/>
                <w:vertAlign w:val="superscript"/>
                <w14:textFill>
                  <w14:solidFill>
                    <w14:schemeClr w14:val="tx1"/>
                  </w14:solidFill>
                </w14:textFill>
              </w:rPr>
              <w:t>-6</w:t>
            </w:r>
          </w:p>
        </w:tc>
        <w:tc>
          <w:tcPr>
            <w:tcW w:w="1220" w:type="dxa"/>
            <w:vAlign w:val="center"/>
          </w:tcPr>
          <w:p w14:paraId="2AC1ACA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+4.47×</w:t>
            </w:r>
            <w:r>
              <w:rPr>
                <w:rFonts w:hAnsi="宋体" w:cs="宋体"/>
                <w:snapToGrid w:val="0"/>
                <w:color w:val="000000" w:themeColor="text1"/>
                <w:kern w:val="21"/>
                <w:szCs w:val="21"/>
                <w14:textFill>
                  <w14:solidFill>
                    <w14:schemeClr w14:val="tx1"/>
                  </w14:solidFill>
                </w14:textFill>
              </w:rPr>
              <w:t>10</w:t>
            </w:r>
            <w:r>
              <w:rPr>
                <w:rFonts w:hAnsi="宋体" w:cs="宋体"/>
                <w:snapToGrid w:val="0"/>
                <w:color w:val="000000" w:themeColor="text1"/>
                <w:kern w:val="21"/>
                <w:szCs w:val="21"/>
                <w:vertAlign w:val="superscript"/>
                <w14:textFill>
                  <w14:solidFill>
                    <w14:schemeClr w14:val="tx1"/>
                  </w14:solidFill>
                </w14:textFill>
              </w:rPr>
              <w:t>-6</w:t>
            </w:r>
          </w:p>
        </w:tc>
      </w:tr>
      <w:tr w14:paraId="1AB47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211A5FCB">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0BD9B362">
            <w:pPr>
              <w:pStyle w:val="72"/>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总VOC</w:t>
            </w:r>
            <w:r>
              <w:rPr>
                <w:rFonts w:eastAsia="宋体"/>
                <w:snapToGrid w:val="0"/>
                <w:color w:val="000000" w:themeColor="text1"/>
                <w:kern w:val="21"/>
                <w:szCs w:val="21"/>
                <w14:textFill>
                  <w14:solidFill>
                    <w14:schemeClr w14:val="tx1"/>
                  </w14:solidFill>
                </w14:textFill>
              </w:rPr>
              <w:t>s</w:t>
            </w:r>
          </w:p>
        </w:tc>
        <w:tc>
          <w:tcPr>
            <w:tcW w:w="1444" w:type="dxa"/>
            <w:vAlign w:val="center"/>
          </w:tcPr>
          <w:p w14:paraId="39C378C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1AFCB99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6C68AD2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06C755BD">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1.065</w:t>
            </w:r>
          </w:p>
        </w:tc>
        <w:tc>
          <w:tcPr>
            <w:tcW w:w="1761" w:type="dxa"/>
            <w:vAlign w:val="center"/>
          </w:tcPr>
          <w:p w14:paraId="2830D95A">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750F132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1.065</w:t>
            </w:r>
          </w:p>
        </w:tc>
        <w:tc>
          <w:tcPr>
            <w:tcW w:w="1220" w:type="dxa"/>
            <w:vAlign w:val="center"/>
          </w:tcPr>
          <w:p w14:paraId="5E5FC27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w:t>
            </w:r>
            <w:r>
              <w:rPr>
                <w:rFonts w:hint="eastAsia" w:hAnsi="宋体" w:cs="宋体"/>
                <w:snapToGrid w:val="0"/>
                <w:color w:val="000000" w:themeColor="text1"/>
                <w:kern w:val="21"/>
                <w:szCs w:val="21"/>
                <w14:textFill>
                  <w14:solidFill>
                    <w14:schemeClr w14:val="tx1"/>
                  </w14:solidFill>
                </w14:textFill>
              </w:rPr>
              <w:t>1.065</w:t>
            </w:r>
          </w:p>
        </w:tc>
      </w:tr>
      <w:tr w14:paraId="3990DD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14:paraId="17882B4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废水</w:t>
            </w:r>
          </w:p>
        </w:tc>
        <w:tc>
          <w:tcPr>
            <w:tcW w:w="2138" w:type="dxa"/>
            <w:vAlign w:val="center"/>
          </w:tcPr>
          <w:p w14:paraId="5DEFF783">
            <w:pPr>
              <w:pStyle w:val="72"/>
              <w:spacing w:line="240" w:lineRule="auto"/>
              <w:rPr>
                <w:rFonts w:eastAsia="宋体"/>
                <w:snapToGrid w:val="0"/>
                <w:color w:val="000000" w:themeColor="text1"/>
                <w:kern w:val="2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废水量（万m</w:t>
            </w:r>
            <w:r>
              <w:rPr>
                <w:rFonts w:eastAsia="宋体"/>
                <w:snapToGrid w:val="0"/>
                <w:color w:val="000000" w:themeColor="text1"/>
                <w:kern w:val="21"/>
                <w:szCs w:val="21"/>
                <w:vertAlign w:val="superscript"/>
                <w14:textFill>
                  <w14:solidFill>
                    <w14:schemeClr w14:val="tx1"/>
                  </w14:solidFill>
                </w14:textFill>
              </w:rPr>
              <w:t>3</w:t>
            </w:r>
            <w:r>
              <w:rPr>
                <w:rFonts w:eastAsia="宋体"/>
                <w:snapToGrid w:val="0"/>
                <w:color w:val="000000" w:themeColor="text1"/>
                <w:kern w:val="21"/>
                <w:szCs w:val="21"/>
                <w14:textFill>
                  <w14:solidFill>
                    <w14:schemeClr w14:val="tx1"/>
                  </w14:solidFill>
                </w14:textFill>
              </w:rPr>
              <w:t>/a）</w:t>
            </w:r>
          </w:p>
        </w:tc>
        <w:tc>
          <w:tcPr>
            <w:tcW w:w="1444" w:type="dxa"/>
            <w:vAlign w:val="center"/>
          </w:tcPr>
          <w:p w14:paraId="59F73E7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7D237DCB">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559DC18A">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2016C172">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0697</w:t>
            </w:r>
          </w:p>
        </w:tc>
        <w:tc>
          <w:tcPr>
            <w:tcW w:w="1761" w:type="dxa"/>
            <w:vAlign w:val="center"/>
          </w:tcPr>
          <w:p w14:paraId="240804FD">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62B417D4">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0697</w:t>
            </w:r>
          </w:p>
        </w:tc>
        <w:tc>
          <w:tcPr>
            <w:tcW w:w="1220" w:type="dxa"/>
            <w:vAlign w:val="center"/>
          </w:tcPr>
          <w:p w14:paraId="32030984">
            <w:pPr>
              <w:pStyle w:val="72"/>
              <w:spacing w:line="240" w:lineRule="auto"/>
              <w:ind w:left="-105" w:leftChars="-50" w:right="-105" w:rightChars="-50"/>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0697</w:t>
            </w:r>
          </w:p>
        </w:tc>
      </w:tr>
      <w:tr w14:paraId="10002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0582DBFA">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083DAF42">
            <w:pPr>
              <w:pStyle w:val="72"/>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COD</w:t>
            </w:r>
            <w:r>
              <w:rPr>
                <w:rFonts w:eastAsia="宋体"/>
                <w:color w:val="000000" w:themeColor="text1"/>
                <w:szCs w:val="21"/>
                <w:vertAlign w:val="subscript"/>
                <w14:textFill>
                  <w14:solidFill>
                    <w14:schemeClr w14:val="tx1"/>
                  </w14:solidFill>
                </w14:textFill>
              </w:rPr>
              <w:t>Cr</w:t>
            </w:r>
          </w:p>
        </w:tc>
        <w:tc>
          <w:tcPr>
            <w:tcW w:w="1444" w:type="dxa"/>
            <w:vAlign w:val="center"/>
          </w:tcPr>
          <w:p w14:paraId="41793B9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62F0B83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47D73EEA">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27956E4D">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w:t>
            </w:r>
            <w:r>
              <w:rPr>
                <w:rFonts w:hint="eastAsia" w:hAnsi="宋体" w:cs="宋体"/>
                <w:snapToGrid w:val="0"/>
                <w:color w:val="000000" w:themeColor="text1"/>
                <w:kern w:val="21"/>
                <w:szCs w:val="21"/>
                <w14:textFill>
                  <w14:solidFill>
                    <w14:schemeClr w14:val="tx1"/>
                  </w14:solidFill>
                </w14:textFill>
              </w:rPr>
              <w:t>35</w:t>
            </w:r>
          </w:p>
        </w:tc>
        <w:tc>
          <w:tcPr>
            <w:tcW w:w="1761" w:type="dxa"/>
            <w:vAlign w:val="center"/>
          </w:tcPr>
          <w:p w14:paraId="2AB54AE7">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08074BF9">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w:t>
            </w:r>
            <w:r>
              <w:rPr>
                <w:rFonts w:hint="eastAsia" w:hAnsi="宋体" w:cs="宋体"/>
                <w:snapToGrid w:val="0"/>
                <w:color w:val="000000" w:themeColor="text1"/>
                <w:kern w:val="21"/>
                <w:szCs w:val="21"/>
                <w14:textFill>
                  <w14:solidFill>
                    <w14:schemeClr w14:val="tx1"/>
                  </w14:solidFill>
                </w14:textFill>
              </w:rPr>
              <w:t>35</w:t>
            </w:r>
          </w:p>
        </w:tc>
        <w:tc>
          <w:tcPr>
            <w:tcW w:w="1220" w:type="dxa"/>
            <w:vAlign w:val="center"/>
          </w:tcPr>
          <w:p w14:paraId="1AFA50F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w:t>
            </w:r>
            <w:r>
              <w:rPr>
                <w:rFonts w:hAnsi="宋体" w:cs="宋体"/>
                <w:snapToGrid w:val="0"/>
                <w:color w:val="000000" w:themeColor="text1"/>
                <w:kern w:val="21"/>
                <w:szCs w:val="21"/>
                <w14:textFill>
                  <w14:solidFill>
                    <w14:schemeClr w14:val="tx1"/>
                  </w14:solidFill>
                </w14:textFill>
              </w:rPr>
              <w:t>0.0</w:t>
            </w:r>
            <w:r>
              <w:rPr>
                <w:rFonts w:hint="eastAsia" w:hAnsi="宋体" w:cs="宋体"/>
                <w:snapToGrid w:val="0"/>
                <w:color w:val="000000" w:themeColor="text1"/>
                <w:kern w:val="21"/>
                <w:szCs w:val="21"/>
                <w14:textFill>
                  <w14:solidFill>
                    <w14:schemeClr w14:val="tx1"/>
                  </w14:solidFill>
                </w14:textFill>
              </w:rPr>
              <w:t>35</w:t>
            </w:r>
          </w:p>
        </w:tc>
      </w:tr>
      <w:tr w14:paraId="4A52A5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707DE714">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2916D830">
            <w:pPr>
              <w:pStyle w:val="72"/>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BOD</w:t>
            </w:r>
            <w:r>
              <w:rPr>
                <w:rFonts w:eastAsia="宋体"/>
                <w:color w:val="000000" w:themeColor="text1"/>
                <w:szCs w:val="21"/>
                <w:vertAlign w:val="subscript"/>
                <w14:textFill>
                  <w14:solidFill>
                    <w14:schemeClr w14:val="tx1"/>
                  </w14:solidFill>
                </w14:textFill>
              </w:rPr>
              <w:t>5</w:t>
            </w:r>
          </w:p>
        </w:tc>
        <w:tc>
          <w:tcPr>
            <w:tcW w:w="1444" w:type="dxa"/>
            <w:vAlign w:val="center"/>
          </w:tcPr>
          <w:p w14:paraId="6C706EE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305B2FA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353F888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6164CC93">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7</w:t>
            </w:r>
          </w:p>
        </w:tc>
        <w:tc>
          <w:tcPr>
            <w:tcW w:w="1761" w:type="dxa"/>
            <w:vAlign w:val="center"/>
          </w:tcPr>
          <w:p w14:paraId="73090C13">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3D212B97">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7</w:t>
            </w:r>
          </w:p>
        </w:tc>
        <w:tc>
          <w:tcPr>
            <w:tcW w:w="1220" w:type="dxa"/>
            <w:vAlign w:val="center"/>
          </w:tcPr>
          <w:p w14:paraId="3C920EE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w:t>
            </w: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7</w:t>
            </w:r>
          </w:p>
        </w:tc>
      </w:tr>
      <w:tr w14:paraId="0407E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5FB59360">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53E3AEE1">
            <w:pPr>
              <w:pStyle w:val="72"/>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SS</w:t>
            </w:r>
          </w:p>
        </w:tc>
        <w:tc>
          <w:tcPr>
            <w:tcW w:w="1444" w:type="dxa"/>
            <w:vAlign w:val="center"/>
          </w:tcPr>
          <w:p w14:paraId="60B8C1E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2AF2D44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40C6146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0A08F216">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7</w:t>
            </w:r>
          </w:p>
        </w:tc>
        <w:tc>
          <w:tcPr>
            <w:tcW w:w="1761" w:type="dxa"/>
            <w:vAlign w:val="center"/>
          </w:tcPr>
          <w:p w14:paraId="143BDA7C">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57398C21">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7</w:t>
            </w:r>
          </w:p>
        </w:tc>
        <w:tc>
          <w:tcPr>
            <w:tcW w:w="1220" w:type="dxa"/>
            <w:vAlign w:val="center"/>
          </w:tcPr>
          <w:p w14:paraId="55C1B9F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w:t>
            </w: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7</w:t>
            </w:r>
          </w:p>
        </w:tc>
      </w:tr>
      <w:tr w14:paraId="0A9159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3D84EFDE">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2FF2F3D0">
            <w:pPr>
              <w:pStyle w:val="72"/>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NH</w:t>
            </w:r>
            <w:r>
              <w:rPr>
                <w:rFonts w:eastAsia="宋体"/>
                <w:color w:val="000000" w:themeColor="text1"/>
                <w:szCs w:val="21"/>
                <w:vertAlign w:val="subscript"/>
                <w14:textFill>
                  <w14:solidFill>
                    <w14:schemeClr w14:val="tx1"/>
                  </w14:solidFill>
                </w14:textFill>
              </w:rPr>
              <w:t>3</w:t>
            </w:r>
            <w:r>
              <w:rPr>
                <w:rFonts w:eastAsia="宋体"/>
                <w:color w:val="000000" w:themeColor="text1"/>
                <w:szCs w:val="21"/>
                <w14:textFill>
                  <w14:solidFill>
                    <w14:schemeClr w14:val="tx1"/>
                  </w14:solidFill>
                </w14:textFill>
              </w:rPr>
              <w:t>-N</w:t>
            </w:r>
          </w:p>
        </w:tc>
        <w:tc>
          <w:tcPr>
            <w:tcW w:w="1444" w:type="dxa"/>
            <w:vAlign w:val="center"/>
          </w:tcPr>
          <w:p w14:paraId="1680361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4FA743A1">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5EDA515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786ED52F">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1</w:t>
            </w:r>
            <w:r>
              <w:rPr>
                <w:rFonts w:hAnsi="宋体" w:cs="宋体"/>
                <w:snapToGrid w:val="0"/>
                <w:color w:val="000000" w:themeColor="text1"/>
                <w:kern w:val="21"/>
                <w:szCs w:val="21"/>
                <w14:textFill>
                  <w14:solidFill>
                    <w14:schemeClr w14:val="tx1"/>
                  </w14:solidFill>
                </w14:textFill>
              </w:rPr>
              <w:t>4</w:t>
            </w:r>
          </w:p>
        </w:tc>
        <w:tc>
          <w:tcPr>
            <w:tcW w:w="1761" w:type="dxa"/>
            <w:vAlign w:val="center"/>
          </w:tcPr>
          <w:p w14:paraId="4EF56BD4">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38367251">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1</w:t>
            </w:r>
            <w:r>
              <w:rPr>
                <w:rFonts w:hAnsi="宋体" w:cs="宋体"/>
                <w:snapToGrid w:val="0"/>
                <w:color w:val="000000" w:themeColor="text1"/>
                <w:kern w:val="21"/>
                <w:szCs w:val="21"/>
                <w14:textFill>
                  <w14:solidFill>
                    <w14:schemeClr w14:val="tx1"/>
                  </w14:solidFill>
                </w14:textFill>
              </w:rPr>
              <w:t>4</w:t>
            </w:r>
          </w:p>
        </w:tc>
        <w:tc>
          <w:tcPr>
            <w:tcW w:w="1220" w:type="dxa"/>
            <w:vAlign w:val="center"/>
          </w:tcPr>
          <w:p w14:paraId="1BCC602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w:t>
            </w:r>
            <w:r>
              <w:rPr>
                <w:rFonts w:hAnsi="宋体" w:cs="宋体"/>
                <w:snapToGrid w:val="0"/>
                <w:color w:val="000000" w:themeColor="text1"/>
                <w:kern w:val="21"/>
                <w:szCs w:val="21"/>
                <w14:textFill>
                  <w14:solidFill>
                    <w14:schemeClr w14:val="tx1"/>
                  </w14:solidFill>
                </w14:textFill>
              </w:rPr>
              <w:t>0.00</w:t>
            </w:r>
            <w:r>
              <w:rPr>
                <w:rFonts w:hint="eastAsia" w:hAnsi="宋体" w:cs="宋体"/>
                <w:snapToGrid w:val="0"/>
                <w:color w:val="000000" w:themeColor="text1"/>
                <w:kern w:val="21"/>
                <w:szCs w:val="21"/>
                <w14:textFill>
                  <w14:solidFill>
                    <w14:schemeClr w14:val="tx1"/>
                  </w14:solidFill>
                </w14:textFill>
              </w:rPr>
              <w:t>1</w:t>
            </w:r>
            <w:r>
              <w:rPr>
                <w:rFonts w:hAnsi="宋体" w:cs="宋体"/>
                <w:snapToGrid w:val="0"/>
                <w:color w:val="000000" w:themeColor="text1"/>
                <w:kern w:val="21"/>
                <w:szCs w:val="21"/>
                <w14:textFill>
                  <w14:solidFill>
                    <w14:schemeClr w14:val="tx1"/>
                  </w14:solidFill>
                </w14:textFill>
              </w:rPr>
              <w:t>4</w:t>
            </w:r>
          </w:p>
        </w:tc>
      </w:tr>
      <w:tr w14:paraId="584D7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052989A8">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25929CA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总磷</w:t>
            </w:r>
          </w:p>
        </w:tc>
        <w:tc>
          <w:tcPr>
            <w:tcW w:w="1444" w:type="dxa"/>
            <w:vAlign w:val="center"/>
          </w:tcPr>
          <w:p w14:paraId="04910D2A">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4BB2AAD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20510F3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60C1764A">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0.000</w:t>
            </w:r>
            <w:r>
              <w:rPr>
                <w:rFonts w:hint="eastAsia" w:hAnsi="宋体" w:cs="宋体"/>
                <w:snapToGrid w:val="0"/>
                <w:color w:val="000000" w:themeColor="text1"/>
                <w:kern w:val="21"/>
                <w:szCs w:val="21"/>
                <w14:textFill>
                  <w14:solidFill>
                    <w14:schemeClr w14:val="tx1"/>
                  </w14:solidFill>
                </w14:textFill>
              </w:rPr>
              <w:t>3</w:t>
            </w:r>
          </w:p>
        </w:tc>
        <w:tc>
          <w:tcPr>
            <w:tcW w:w="1761" w:type="dxa"/>
            <w:vAlign w:val="center"/>
          </w:tcPr>
          <w:p w14:paraId="78E3CF65">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56983FB7">
            <w:pPr>
              <w:pStyle w:val="72"/>
              <w:spacing w:line="240" w:lineRule="auto"/>
              <w:rPr>
                <w:rFonts w:hint="eastAsia" w:hAnsi="宋体" w:cs="宋体"/>
                <w:snapToGrid w:val="0"/>
                <w:color w:val="7030A0"/>
                <w:kern w:val="21"/>
                <w:szCs w:val="21"/>
              </w:rPr>
            </w:pPr>
            <w:r>
              <w:rPr>
                <w:rFonts w:hAnsi="宋体" w:cs="宋体"/>
                <w:snapToGrid w:val="0"/>
                <w:color w:val="000000" w:themeColor="text1"/>
                <w:kern w:val="21"/>
                <w:szCs w:val="21"/>
                <w14:textFill>
                  <w14:solidFill>
                    <w14:schemeClr w14:val="tx1"/>
                  </w14:solidFill>
                </w14:textFill>
              </w:rPr>
              <w:t>0.000</w:t>
            </w:r>
            <w:r>
              <w:rPr>
                <w:rFonts w:hint="eastAsia" w:hAnsi="宋体" w:cs="宋体"/>
                <w:snapToGrid w:val="0"/>
                <w:color w:val="000000" w:themeColor="text1"/>
                <w:kern w:val="21"/>
                <w:szCs w:val="21"/>
                <w14:textFill>
                  <w14:solidFill>
                    <w14:schemeClr w14:val="tx1"/>
                  </w14:solidFill>
                </w14:textFill>
              </w:rPr>
              <w:t>3</w:t>
            </w:r>
          </w:p>
        </w:tc>
        <w:tc>
          <w:tcPr>
            <w:tcW w:w="1220" w:type="dxa"/>
            <w:vAlign w:val="center"/>
          </w:tcPr>
          <w:p w14:paraId="29D12A3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w:t>
            </w:r>
            <w:r>
              <w:rPr>
                <w:rFonts w:hAnsi="宋体" w:cs="宋体"/>
                <w:snapToGrid w:val="0"/>
                <w:color w:val="000000" w:themeColor="text1"/>
                <w:kern w:val="21"/>
                <w:szCs w:val="21"/>
                <w14:textFill>
                  <w14:solidFill>
                    <w14:schemeClr w14:val="tx1"/>
                  </w14:solidFill>
                </w14:textFill>
              </w:rPr>
              <w:t>0.000</w:t>
            </w:r>
            <w:r>
              <w:rPr>
                <w:rFonts w:hint="eastAsia" w:hAnsi="宋体" w:cs="宋体"/>
                <w:snapToGrid w:val="0"/>
                <w:color w:val="000000" w:themeColor="text1"/>
                <w:kern w:val="21"/>
                <w:szCs w:val="21"/>
                <w14:textFill>
                  <w14:solidFill>
                    <w14:schemeClr w14:val="tx1"/>
                  </w14:solidFill>
                </w14:textFill>
              </w:rPr>
              <w:t>3</w:t>
            </w:r>
          </w:p>
        </w:tc>
      </w:tr>
      <w:tr w14:paraId="463969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Align w:val="center"/>
          </w:tcPr>
          <w:p w14:paraId="300A7EF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生活垃圾</w:t>
            </w:r>
          </w:p>
        </w:tc>
        <w:tc>
          <w:tcPr>
            <w:tcW w:w="2138" w:type="dxa"/>
            <w:vAlign w:val="center"/>
          </w:tcPr>
          <w:p w14:paraId="1DB4DCA3">
            <w:pPr>
              <w:pStyle w:val="72"/>
              <w:spacing w:line="240" w:lineRule="auto"/>
              <w:rPr>
                <w:rFonts w:eastAsia="宋体"/>
                <w:color w:val="000000" w:themeColor="text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生活垃圾</w:t>
            </w:r>
          </w:p>
        </w:tc>
        <w:tc>
          <w:tcPr>
            <w:tcW w:w="1444" w:type="dxa"/>
            <w:vAlign w:val="center"/>
          </w:tcPr>
          <w:p w14:paraId="3E81211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7ADE90CB">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4765B31B">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2394FA4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4.5</w:t>
            </w:r>
            <w:r>
              <w:rPr>
                <w:rFonts w:hAnsi="宋体" w:cs="宋体"/>
                <w:snapToGrid w:val="0"/>
                <w:color w:val="000000" w:themeColor="text1"/>
                <w:kern w:val="2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14:paraId="25529671">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6C62314F">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4.5</w:t>
            </w:r>
            <w:r>
              <w:rPr>
                <w:rFonts w:hAnsi="宋体" w:cs="宋体"/>
                <w:snapToGrid w:val="0"/>
                <w:color w:val="000000" w:themeColor="text1"/>
                <w:kern w:val="2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14:paraId="0E0A8FC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w:t>
            </w:r>
            <w:r>
              <w:rPr>
                <w:rFonts w:hint="eastAsia" w:hAnsi="宋体" w:cs="宋体"/>
                <w:snapToGrid w:val="0"/>
                <w:color w:val="000000" w:themeColor="text1"/>
                <w:kern w:val="21"/>
                <w:szCs w:val="21"/>
                <w14:textFill>
                  <w14:solidFill>
                    <w14:schemeClr w14:val="tx1"/>
                  </w14:solidFill>
                </w14:textFill>
              </w:rPr>
              <w:t>4.5</w:t>
            </w:r>
            <w:r>
              <w:rPr>
                <w:rFonts w:hAnsi="宋体" w:cs="宋体"/>
                <w:snapToGrid w:val="0"/>
                <w:color w:val="000000" w:themeColor="text1"/>
                <w:kern w:val="2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t/a</w:t>
            </w:r>
          </w:p>
        </w:tc>
      </w:tr>
      <w:tr w14:paraId="1F37B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14:paraId="2392436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一般工业</w:t>
            </w:r>
          </w:p>
          <w:p w14:paraId="3D30745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固体废物</w:t>
            </w:r>
          </w:p>
        </w:tc>
        <w:tc>
          <w:tcPr>
            <w:tcW w:w="2138" w:type="dxa"/>
            <w:vAlign w:val="center"/>
          </w:tcPr>
          <w:p w14:paraId="06EC6170">
            <w:pPr>
              <w:pStyle w:val="72"/>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木材边角料</w:t>
            </w:r>
          </w:p>
        </w:tc>
        <w:tc>
          <w:tcPr>
            <w:tcW w:w="1444" w:type="dxa"/>
            <w:vAlign w:val="center"/>
          </w:tcPr>
          <w:p w14:paraId="3562B6C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270A561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5294B45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2DD7A2EF">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35.46t/a</w:t>
            </w:r>
          </w:p>
        </w:tc>
        <w:tc>
          <w:tcPr>
            <w:tcW w:w="1761" w:type="dxa"/>
            <w:vAlign w:val="center"/>
          </w:tcPr>
          <w:p w14:paraId="4492742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417FDBE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35.46t/a</w:t>
            </w:r>
          </w:p>
        </w:tc>
        <w:tc>
          <w:tcPr>
            <w:tcW w:w="1220" w:type="dxa"/>
            <w:vAlign w:val="center"/>
          </w:tcPr>
          <w:p w14:paraId="6123386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w:t>
            </w:r>
            <w:r>
              <w:rPr>
                <w:rFonts w:hint="eastAsia" w:hAnsi="宋体" w:cs="宋体"/>
                <w:snapToGrid w:val="0"/>
                <w:color w:val="000000" w:themeColor="text1"/>
                <w:kern w:val="21"/>
                <w:szCs w:val="21"/>
                <w14:textFill>
                  <w14:solidFill>
                    <w14:schemeClr w14:val="tx1"/>
                  </w14:solidFill>
                </w14:textFill>
              </w:rPr>
              <w:t>35.46t/a</w:t>
            </w:r>
          </w:p>
        </w:tc>
      </w:tr>
      <w:tr w14:paraId="73AB68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3759EE4F">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10181EF9">
            <w:pPr>
              <w:pStyle w:val="72"/>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金属边角料</w:t>
            </w:r>
          </w:p>
        </w:tc>
        <w:tc>
          <w:tcPr>
            <w:tcW w:w="1444" w:type="dxa"/>
            <w:vAlign w:val="center"/>
          </w:tcPr>
          <w:p w14:paraId="0868FADF">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3E6CEA4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736427D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6458531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0.50</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14:paraId="2B78955D">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4C06DBDD">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0.50</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14:paraId="3E2D874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+0.50</w:t>
            </w:r>
            <w:r>
              <w:rPr>
                <w:rFonts w:hint="eastAsia" w:hAnsi="宋体" w:cs="宋体"/>
                <w:snapToGrid w:val="0"/>
                <w:color w:val="000000" w:themeColor="text1"/>
                <w:kern w:val="21"/>
                <w:szCs w:val="21"/>
                <w14:textFill>
                  <w14:solidFill>
                    <w14:schemeClr w14:val="tx1"/>
                  </w14:solidFill>
                </w14:textFill>
              </w:rPr>
              <w:t>t/a</w:t>
            </w:r>
          </w:p>
        </w:tc>
      </w:tr>
      <w:tr w14:paraId="0AFCC3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11C318C9">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049A7FB6">
            <w:pPr>
              <w:pStyle w:val="72"/>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包装废物</w:t>
            </w:r>
          </w:p>
        </w:tc>
        <w:tc>
          <w:tcPr>
            <w:tcW w:w="1444" w:type="dxa"/>
            <w:vAlign w:val="center"/>
          </w:tcPr>
          <w:p w14:paraId="36220E6F">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53907D5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69250AE1">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4D1F543F">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0.0</w:t>
            </w:r>
            <w:r>
              <w:rPr>
                <w:rFonts w:hAnsi="宋体" w:cs="宋体"/>
                <w:snapToGrid w:val="0"/>
                <w:color w:val="000000" w:themeColor="text1"/>
                <w:kern w:val="21"/>
                <w:szCs w:val="21"/>
                <w14:textFill>
                  <w14:solidFill>
                    <w14:schemeClr w14:val="tx1"/>
                  </w14:solidFill>
                </w14:textFill>
              </w:rPr>
              <w:t>2</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14:paraId="45EFCE0D">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1BC0A86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0.0</w:t>
            </w:r>
            <w:r>
              <w:rPr>
                <w:rFonts w:hAnsi="宋体" w:cs="宋体"/>
                <w:snapToGrid w:val="0"/>
                <w:color w:val="000000" w:themeColor="text1"/>
                <w:kern w:val="21"/>
                <w:szCs w:val="21"/>
                <w14:textFill>
                  <w14:solidFill>
                    <w14:schemeClr w14:val="tx1"/>
                  </w14:solidFill>
                </w14:textFill>
              </w:rPr>
              <w:t>2</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14:paraId="490975E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w:t>
            </w:r>
            <w:r>
              <w:rPr>
                <w:rFonts w:hint="eastAsia" w:hAnsi="宋体" w:cs="宋体"/>
                <w:snapToGrid w:val="0"/>
                <w:color w:val="000000" w:themeColor="text1"/>
                <w:kern w:val="21"/>
                <w:szCs w:val="21"/>
                <w14:textFill>
                  <w14:solidFill>
                    <w14:schemeClr w14:val="tx1"/>
                  </w14:solidFill>
                </w14:textFill>
              </w:rPr>
              <w:t>0.0</w:t>
            </w:r>
            <w:r>
              <w:rPr>
                <w:rFonts w:hAnsi="宋体" w:cs="宋体"/>
                <w:snapToGrid w:val="0"/>
                <w:color w:val="000000" w:themeColor="text1"/>
                <w:kern w:val="21"/>
                <w:szCs w:val="21"/>
                <w14:textFill>
                  <w14:solidFill>
                    <w14:schemeClr w14:val="tx1"/>
                  </w14:solidFill>
                </w14:textFill>
              </w:rPr>
              <w:t>2</w:t>
            </w:r>
            <w:r>
              <w:rPr>
                <w:rFonts w:hint="eastAsia" w:hAnsi="宋体" w:cs="宋体"/>
                <w:snapToGrid w:val="0"/>
                <w:color w:val="000000" w:themeColor="text1"/>
                <w:kern w:val="21"/>
                <w:szCs w:val="21"/>
                <w14:textFill>
                  <w14:solidFill>
                    <w14:schemeClr w14:val="tx1"/>
                  </w14:solidFill>
                </w14:textFill>
              </w:rPr>
              <w:t>t/a</w:t>
            </w:r>
          </w:p>
        </w:tc>
      </w:tr>
      <w:tr w14:paraId="58E5F7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1DE1583B">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6902950A">
            <w:pPr>
              <w:pStyle w:val="72"/>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车间地面及布袋除尘器收集到的颗粒物</w:t>
            </w:r>
          </w:p>
        </w:tc>
        <w:tc>
          <w:tcPr>
            <w:tcW w:w="1444" w:type="dxa"/>
            <w:vAlign w:val="center"/>
          </w:tcPr>
          <w:p w14:paraId="231C970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1ADA745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49AEA33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4BB88538">
            <w:pPr>
              <w:pStyle w:val="72"/>
              <w:spacing w:line="240" w:lineRule="auto"/>
              <w:rPr>
                <w:rFonts w:hint="eastAsia" w:hAnsi="宋体" w:cs="宋体"/>
                <w:snapToGrid w:val="0"/>
                <w:color w:val="7030A0"/>
                <w:kern w:val="21"/>
                <w:szCs w:val="21"/>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.9</w:t>
            </w:r>
            <w:r>
              <w:rPr>
                <w:rFonts w:hint="eastAsia"/>
                <w:color w:val="000000" w:themeColor="text1"/>
                <w:szCs w:val="21"/>
                <w14:textFill>
                  <w14:solidFill>
                    <w14:schemeClr w14:val="tx1"/>
                  </w14:solidFill>
                </w14:textFill>
              </w:rPr>
              <w:t>7</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14:paraId="00DB8213">
            <w:pPr>
              <w:pStyle w:val="72"/>
              <w:spacing w:line="240" w:lineRule="auto"/>
              <w:rPr>
                <w:rFonts w:hint="eastAsia" w:hAnsi="宋体" w:cs="宋体"/>
                <w:snapToGrid w:val="0"/>
                <w:color w:val="7030A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0019C662">
            <w:pPr>
              <w:pStyle w:val="72"/>
              <w:spacing w:line="240" w:lineRule="auto"/>
              <w:rPr>
                <w:rFonts w:hint="eastAsia" w:hAnsi="宋体" w:cs="宋体"/>
                <w:snapToGrid w:val="0"/>
                <w:color w:val="7030A0"/>
                <w:kern w:val="21"/>
                <w:szCs w:val="21"/>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.9</w:t>
            </w:r>
            <w:r>
              <w:rPr>
                <w:rFonts w:hint="eastAsia"/>
                <w:color w:val="000000" w:themeColor="text1"/>
                <w:szCs w:val="21"/>
                <w14:textFill>
                  <w14:solidFill>
                    <w14:schemeClr w14:val="tx1"/>
                  </w14:solidFill>
                </w14:textFill>
              </w:rPr>
              <w:t>7</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14:paraId="77DC48E9">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.9</w:t>
            </w:r>
            <w:r>
              <w:rPr>
                <w:rFonts w:hint="eastAsia"/>
                <w:color w:val="000000" w:themeColor="text1"/>
                <w:szCs w:val="21"/>
                <w14:textFill>
                  <w14:solidFill>
                    <w14:schemeClr w14:val="tx1"/>
                  </w14:solidFill>
                </w14:textFill>
              </w:rPr>
              <w:t>7</w:t>
            </w:r>
            <w:r>
              <w:rPr>
                <w:rFonts w:hint="eastAsia" w:hAnsi="宋体" w:cs="宋体"/>
                <w:snapToGrid w:val="0"/>
                <w:color w:val="000000" w:themeColor="text1"/>
                <w:kern w:val="21"/>
                <w:szCs w:val="21"/>
                <w14:textFill>
                  <w14:solidFill>
                    <w14:schemeClr w14:val="tx1"/>
                  </w14:solidFill>
                </w14:textFill>
              </w:rPr>
              <w:t>t/a</w:t>
            </w:r>
          </w:p>
        </w:tc>
      </w:tr>
      <w:tr w14:paraId="1175FE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14:paraId="4B670D5F">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危险废物</w:t>
            </w:r>
          </w:p>
        </w:tc>
        <w:tc>
          <w:tcPr>
            <w:tcW w:w="2138" w:type="dxa"/>
            <w:vAlign w:val="center"/>
          </w:tcPr>
          <w:p w14:paraId="4B78D306">
            <w:pPr>
              <w:jc w:val="center"/>
              <w:rPr>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漆渣</w:t>
            </w:r>
          </w:p>
        </w:tc>
        <w:tc>
          <w:tcPr>
            <w:tcW w:w="1444" w:type="dxa"/>
            <w:vAlign w:val="center"/>
          </w:tcPr>
          <w:p w14:paraId="75445B0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5A65112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7250F271">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2671C60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2.97</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75C5A5AB">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3A718FC0">
            <w:pPr>
              <w:pStyle w:val="72"/>
              <w:spacing w:line="240" w:lineRule="auto"/>
              <w:rPr>
                <w:rFonts w:hint="eastAsia" w:hAnsi="宋体" w:cs="宋体"/>
                <w:snapToGrid w:val="0"/>
                <w:color w:val="0070C0"/>
                <w:kern w:val="21"/>
                <w:szCs w:val="21"/>
              </w:rPr>
            </w:pPr>
            <w:r>
              <w:rPr>
                <w:rFonts w:hint="eastAsia"/>
                <w:color w:val="000000" w:themeColor="text1"/>
                <w:szCs w:val="21"/>
                <w14:textFill>
                  <w14:solidFill>
                    <w14:schemeClr w14:val="tx1"/>
                  </w14:solidFill>
                </w14:textFill>
              </w:rPr>
              <w:t>2.97</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31A491B1">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2.97</w:t>
            </w:r>
            <w:r>
              <w:rPr>
                <w:rFonts w:hint="eastAsia" w:hAnsi="宋体" w:cs="宋体"/>
                <w:snapToGrid w:val="0"/>
                <w:color w:val="000000" w:themeColor="text1"/>
                <w:kern w:val="21"/>
                <w:szCs w:val="21"/>
                <w14:textFill>
                  <w14:solidFill>
                    <w14:schemeClr w14:val="tx1"/>
                  </w14:solidFill>
                </w14:textFill>
              </w:rPr>
              <w:t xml:space="preserve"> t/a</w:t>
            </w:r>
          </w:p>
        </w:tc>
      </w:tr>
      <w:tr w14:paraId="5696F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76A129BE">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1FCB4E1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废包装桶</w:t>
            </w:r>
          </w:p>
        </w:tc>
        <w:tc>
          <w:tcPr>
            <w:tcW w:w="1444" w:type="dxa"/>
            <w:vAlign w:val="center"/>
          </w:tcPr>
          <w:p w14:paraId="5580A48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43356BE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737A072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2B70B1B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1D5E97D1">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50F2FAB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148893B3">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 xml:space="preserve"> t/a</w:t>
            </w:r>
          </w:p>
        </w:tc>
      </w:tr>
      <w:tr w14:paraId="24DDAB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78C30CC8">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6DCE3E4D">
            <w:pPr>
              <w:jc w:val="center"/>
              <w:rPr>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水帘柜更换废</w:t>
            </w:r>
            <w:r>
              <w:rPr>
                <w:color w:val="000000" w:themeColor="text1"/>
                <w:szCs w:val="21"/>
                <w14:textFill>
                  <w14:solidFill>
                    <w14:schemeClr w14:val="tx1"/>
                  </w14:solidFill>
                </w14:textFill>
              </w:rPr>
              <w:t>水</w:t>
            </w:r>
          </w:p>
        </w:tc>
        <w:tc>
          <w:tcPr>
            <w:tcW w:w="1444" w:type="dxa"/>
            <w:vAlign w:val="center"/>
          </w:tcPr>
          <w:p w14:paraId="1C3914A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54DAD85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6AAA2A8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1D2DEA8A">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23.04</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058B68C8">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503F806B">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23.04</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2F2E78D1">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23.04</w:t>
            </w:r>
            <w:r>
              <w:rPr>
                <w:rFonts w:hint="eastAsia" w:hAnsi="宋体" w:cs="宋体"/>
                <w:snapToGrid w:val="0"/>
                <w:color w:val="000000" w:themeColor="text1"/>
                <w:kern w:val="21"/>
                <w:szCs w:val="21"/>
                <w14:textFill>
                  <w14:solidFill>
                    <w14:schemeClr w14:val="tx1"/>
                  </w14:solidFill>
                </w14:textFill>
              </w:rPr>
              <w:t xml:space="preserve"> t/a</w:t>
            </w:r>
          </w:p>
        </w:tc>
      </w:tr>
      <w:tr w14:paraId="0635AE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670E7184">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3025C4F9">
            <w:pPr>
              <w:widowControl/>
              <w:snapToGrid w:val="0"/>
              <w:jc w:val="center"/>
              <w:rPr>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喷枪清洗废水</w:t>
            </w:r>
          </w:p>
        </w:tc>
        <w:tc>
          <w:tcPr>
            <w:tcW w:w="1444" w:type="dxa"/>
            <w:vAlign w:val="center"/>
          </w:tcPr>
          <w:p w14:paraId="34024D2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575618E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1D05F99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0944B4A8">
            <w:pPr>
              <w:pStyle w:val="72"/>
              <w:spacing w:line="240" w:lineRule="auto"/>
              <w:rPr>
                <w:rFonts w:hint="eastAsia" w:hAnsi="宋体" w:cs="宋体"/>
                <w:snapToGrid w:val="0"/>
                <w:color w:val="0070C0"/>
                <w:kern w:val="21"/>
                <w:szCs w:val="21"/>
              </w:rPr>
            </w:pPr>
            <w:r>
              <w:rPr>
                <w:rFonts w:hint="eastAsia" w:hAnsi="宋体" w:cs="宋体"/>
                <w:snapToGrid w:val="0"/>
                <w:color w:val="000000" w:themeColor="text1"/>
                <w:kern w:val="21"/>
                <w:szCs w:val="21"/>
                <w14:textFill>
                  <w14:solidFill>
                    <w14:schemeClr w14:val="tx1"/>
                  </w14:solidFill>
                </w14:textFill>
              </w:rPr>
              <w:t>0.65 t/a</w:t>
            </w:r>
          </w:p>
        </w:tc>
        <w:tc>
          <w:tcPr>
            <w:tcW w:w="1761" w:type="dxa"/>
            <w:vAlign w:val="center"/>
          </w:tcPr>
          <w:p w14:paraId="2BD3373F">
            <w:pPr>
              <w:pStyle w:val="72"/>
              <w:spacing w:line="240" w:lineRule="auto"/>
              <w:rPr>
                <w:rFonts w:hint="eastAsia" w:hAnsi="宋体" w:cs="宋体"/>
                <w:snapToGrid w:val="0"/>
                <w:color w:val="0070C0"/>
                <w:kern w:val="21"/>
                <w:szCs w:val="21"/>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60FB37CA">
            <w:pPr>
              <w:pStyle w:val="72"/>
              <w:spacing w:line="240" w:lineRule="auto"/>
              <w:rPr>
                <w:rFonts w:hint="eastAsia" w:hAnsi="宋体" w:cs="宋体"/>
                <w:snapToGrid w:val="0"/>
                <w:color w:val="0070C0"/>
                <w:kern w:val="21"/>
                <w:szCs w:val="21"/>
              </w:rPr>
            </w:pPr>
            <w:r>
              <w:rPr>
                <w:rFonts w:hint="eastAsia" w:hAnsi="宋体" w:cs="宋体"/>
                <w:snapToGrid w:val="0"/>
                <w:color w:val="000000" w:themeColor="text1"/>
                <w:kern w:val="21"/>
                <w:szCs w:val="21"/>
                <w14:textFill>
                  <w14:solidFill>
                    <w14:schemeClr w14:val="tx1"/>
                  </w14:solidFill>
                </w14:textFill>
              </w:rPr>
              <w:t>0.65 t/a</w:t>
            </w:r>
          </w:p>
        </w:tc>
        <w:tc>
          <w:tcPr>
            <w:tcW w:w="1220" w:type="dxa"/>
            <w:vAlign w:val="center"/>
          </w:tcPr>
          <w:p w14:paraId="20981A4D">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w:t>
            </w:r>
            <w:r>
              <w:rPr>
                <w:rFonts w:hint="eastAsia" w:hAnsi="宋体" w:cs="宋体"/>
                <w:snapToGrid w:val="0"/>
                <w:color w:val="000000" w:themeColor="text1"/>
                <w:kern w:val="21"/>
                <w:szCs w:val="21"/>
                <w14:textFill>
                  <w14:solidFill>
                    <w14:schemeClr w14:val="tx1"/>
                  </w14:solidFill>
                </w14:textFill>
              </w:rPr>
              <w:t>0.65 t/a</w:t>
            </w:r>
          </w:p>
        </w:tc>
      </w:tr>
      <w:tr w14:paraId="3DD794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546AA284">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19E996EB">
            <w:pPr>
              <w:widowControl/>
              <w:snapToGrid w:val="0"/>
              <w:jc w:val="center"/>
              <w:rPr>
                <w:color w:val="000000" w:themeColor="text1"/>
                <w:szCs w:val="21"/>
                <w14:textFill>
                  <w14:solidFill>
                    <w14:schemeClr w14:val="tx1"/>
                  </w14:solidFill>
                </w14:textFill>
              </w:rPr>
            </w:pPr>
            <w:r>
              <w:rPr>
                <w:bCs/>
                <w:color w:val="000000" w:themeColor="text1"/>
                <w14:textFill>
                  <w14:solidFill>
                    <w14:schemeClr w14:val="tx1"/>
                  </w14:solidFill>
                </w14:textFill>
              </w:rPr>
              <w:t>废活性炭</w:t>
            </w:r>
          </w:p>
        </w:tc>
        <w:tc>
          <w:tcPr>
            <w:tcW w:w="1444" w:type="dxa"/>
            <w:vAlign w:val="center"/>
          </w:tcPr>
          <w:p w14:paraId="314F7D9A">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51925AA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76ADA7F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7F11980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10.30</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6101402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0806A6EF">
            <w:pPr>
              <w:pStyle w:val="72"/>
              <w:spacing w:line="240" w:lineRule="auto"/>
              <w:rPr>
                <w:rFonts w:hint="eastAsia" w:hAnsi="宋体" w:cs="宋体"/>
                <w:snapToGrid w:val="0"/>
                <w:color w:val="0070C0"/>
                <w:kern w:val="21"/>
                <w:szCs w:val="21"/>
              </w:rPr>
            </w:pPr>
            <w:r>
              <w:rPr>
                <w:rFonts w:hint="eastAsia"/>
                <w:color w:val="000000" w:themeColor="text1"/>
                <w:szCs w:val="21"/>
                <w14:textFill>
                  <w14:solidFill>
                    <w14:schemeClr w14:val="tx1"/>
                  </w14:solidFill>
                </w14:textFill>
              </w:rPr>
              <w:t>10.30</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023EC9FD">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10.30</w:t>
            </w:r>
            <w:r>
              <w:rPr>
                <w:rFonts w:hint="eastAsia" w:hAnsi="宋体" w:cs="宋体"/>
                <w:snapToGrid w:val="0"/>
                <w:color w:val="000000" w:themeColor="text1"/>
                <w:kern w:val="21"/>
                <w:szCs w:val="21"/>
                <w14:textFill>
                  <w14:solidFill>
                    <w14:schemeClr w14:val="tx1"/>
                  </w14:solidFill>
                </w14:textFill>
              </w:rPr>
              <w:t xml:space="preserve"> t/a</w:t>
            </w:r>
          </w:p>
        </w:tc>
      </w:tr>
      <w:tr w14:paraId="723C20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12559A79">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7913CF99">
            <w:pPr>
              <w:widowControl/>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喷漆、晾干废气处理装置</w:t>
            </w:r>
            <w:r>
              <w:rPr>
                <w:color w:val="000000" w:themeColor="text1"/>
                <w:szCs w:val="21"/>
                <w14:textFill>
                  <w14:solidFill>
                    <w14:schemeClr w14:val="tx1"/>
                  </w14:solidFill>
                </w14:textFill>
              </w:rPr>
              <w:t>喷淋塔定期更换废水</w:t>
            </w:r>
          </w:p>
        </w:tc>
        <w:tc>
          <w:tcPr>
            <w:tcW w:w="1444" w:type="dxa"/>
            <w:vAlign w:val="center"/>
          </w:tcPr>
          <w:p w14:paraId="081010E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6B652C2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235CDEB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3CD9E69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11</w:t>
            </w:r>
            <w:r>
              <w:rPr>
                <w:color w:val="000000" w:themeColor="text1"/>
                <w:szCs w:val="21"/>
                <w14:textFill>
                  <w14:solidFill>
                    <w14:schemeClr w14:val="tx1"/>
                  </w14:solidFill>
                </w14:textFill>
              </w:rPr>
              <w:t>.68</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0E6FA78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6C7A2E1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11</w:t>
            </w:r>
            <w:r>
              <w:rPr>
                <w:color w:val="000000" w:themeColor="text1"/>
                <w:szCs w:val="21"/>
                <w14:textFill>
                  <w14:solidFill>
                    <w14:schemeClr w14:val="tx1"/>
                  </w14:solidFill>
                </w14:textFill>
              </w:rPr>
              <w:t>.68</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26464E7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+11</w:t>
            </w:r>
            <w:r>
              <w:rPr>
                <w:color w:val="000000" w:themeColor="text1"/>
                <w:szCs w:val="21"/>
                <w14:textFill>
                  <w14:solidFill>
                    <w14:schemeClr w14:val="tx1"/>
                  </w14:solidFill>
                </w14:textFill>
              </w:rPr>
              <w:t>.68</w:t>
            </w:r>
            <w:r>
              <w:rPr>
                <w:rFonts w:hint="eastAsia" w:hAnsi="宋体" w:cs="宋体"/>
                <w:snapToGrid w:val="0"/>
                <w:color w:val="000000" w:themeColor="text1"/>
                <w:kern w:val="21"/>
                <w:szCs w:val="21"/>
                <w14:textFill>
                  <w14:solidFill>
                    <w14:schemeClr w14:val="tx1"/>
                  </w14:solidFill>
                </w14:textFill>
              </w:rPr>
              <w:t xml:space="preserve"> t/a</w:t>
            </w:r>
          </w:p>
        </w:tc>
      </w:tr>
      <w:tr w14:paraId="558E71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6C2E7CFE">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4E7E02A0">
            <w:pPr>
              <w:widowControl/>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干式过滤器废滤料</w:t>
            </w:r>
          </w:p>
        </w:tc>
        <w:tc>
          <w:tcPr>
            <w:tcW w:w="1444" w:type="dxa"/>
            <w:vAlign w:val="center"/>
          </w:tcPr>
          <w:p w14:paraId="533792C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16060621">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0025D7D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46D50667">
            <w:pPr>
              <w:pStyle w:val="72"/>
              <w:spacing w:line="24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0.05t/a</w:t>
            </w:r>
          </w:p>
        </w:tc>
        <w:tc>
          <w:tcPr>
            <w:tcW w:w="1761" w:type="dxa"/>
            <w:vAlign w:val="center"/>
          </w:tcPr>
          <w:p w14:paraId="75636DF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027E8F13">
            <w:pPr>
              <w:pStyle w:val="72"/>
              <w:spacing w:line="24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 t/a</w:t>
            </w:r>
          </w:p>
        </w:tc>
        <w:tc>
          <w:tcPr>
            <w:tcW w:w="1220" w:type="dxa"/>
            <w:vAlign w:val="center"/>
          </w:tcPr>
          <w:p w14:paraId="4C438692">
            <w:pPr>
              <w:pStyle w:val="72"/>
              <w:spacing w:line="24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 t/a</w:t>
            </w:r>
          </w:p>
        </w:tc>
      </w:tr>
      <w:tr w14:paraId="3FF09D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07A7E06F">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4E59C04A">
            <w:pPr>
              <w:widowControl/>
              <w:snapToGrid w:val="0"/>
              <w:jc w:val="center"/>
              <w:rPr>
                <w:snapToGrid w:val="0"/>
                <w:color w:val="000000" w:themeColor="text1"/>
                <w:kern w:val="21"/>
                <w:szCs w:val="21"/>
                <w14:textFill>
                  <w14:solidFill>
                    <w14:schemeClr w14:val="tx1"/>
                  </w14:solidFill>
                </w14:textFill>
              </w:rPr>
            </w:pPr>
            <w:r>
              <w:rPr>
                <w:color w:val="000000" w:themeColor="text1"/>
                <w14:textFill>
                  <w14:solidFill>
                    <w14:schemeClr w14:val="tx1"/>
                  </w14:solidFill>
                </w14:textFill>
              </w:rPr>
              <w:t>废</w:t>
            </w:r>
            <w:r>
              <w:rPr>
                <w:rFonts w:hint="eastAsia"/>
                <w:color w:val="000000" w:themeColor="text1"/>
                <w14:textFill>
                  <w14:solidFill>
                    <w14:schemeClr w14:val="tx1"/>
                  </w14:solidFill>
                </w14:textFill>
              </w:rPr>
              <w:t>机油</w:t>
            </w:r>
          </w:p>
        </w:tc>
        <w:tc>
          <w:tcPr>
            <w:tcW w:w="1444" w:type="dxa"/>
            <w:vAlign w:val="center"/>
          </w:tcPr>
          <w:p w14:paraId="6432B90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08F18C8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35A8CCF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27CCFDB9">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7E2E66B0">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55266EE3">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3E78EB88">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1</w:t>
            </w:r>
            <w:r>
              <w:rPr>
                <w:rFonts w:hint="eastAsia" w:hAnsi="宋体" w:cs="宋体"/>
                <w:snapToGrid w:val="0"/>
                <w:color w:val="000000" w:themeColor="text1"/>
                <w:kern w:val="21"/>
                <w:szCs w:val="21"/>
                <w14:textFill>
                  <w14:solidFill>
                    <w14:schemeClr w14:val="tx1"/>
                  </w14:solidFill>
                </w14:textFill>
              </w:rPr>
              <w:t xml:space="preserve"> t/a</w:t>
            </w:r>
          </w:p>
        </w:tc>
      </w:tr>
      <w:tr w14:paraId="1E96C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0CE70E3A">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17196FFC">
            <w:pPr>
              <w:widowControl/>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废含机油抹布及手套、废含油漆抹布及手套</w:t>
            </w:r>
          </w:p>
        </w:tc>
        <w:tc>
          <w:tcPr>
            <w:tcW w:w="1444" w:type="dxa"/>
            <w:vAlign w:val="center"/>
          </w:tcPr>
          <w:p w14:paraId="45E9D0C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35FACE3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71C5D3BE">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4D590FF7">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6CC65EF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1135A9E2">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52C304AA">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r>
      <w:tr w14:paraId="4CA326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14:paraId="19152E86">
            <w:pPr>
              <w:pStyle w:val="72"/>
              <w:spacing w:line="240" w:lineRule="auto"/>
              <w:rPr>
                <w:rFonts w:hint="eastAsia" w:hAnsi="宋体" w:cs="宋体"/>
                <w:snapToGrid w:val="0"/>
                <w:color w:val="000000" w:themeColor="text1"/>
                <w:kern w:val="21"/>
                <w:szCs w:val="21"/>
                <w14:textFill>
                  <w14:solidFill>
                    <w14:schemeClr w14:val="tx1"/>
                  </w14:solidFill>
                </w14:textFill>
              </w:rPr>
            </w:pPr>
          </w:p>
        </w:tc>
        <w:tc>
          <w:tcPr>
            <w:tcW w:w="2138" w:type="dxa"/>
            <w:vAlign w:val="center"/>
          </w:tcPr>
          <w:p w14:paraId="5CA6929C">
            <w:pPr>
              <w:widowControl/>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废机油包装桶</w:t>
            </w:r>
          </w:p>
        </w:tc>
        <w:tc>
          <w:tcPr>
            <w:tcW w:w="1444" w:type="dxa"/>
            <w:vAlign w:val="center"/>
          </w:tcPr>
          <w:p w14:paraId="7D5352E5">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14:paraId="00A00E6F">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14:paraId="175679E4">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14:paraId="6B8ED0D4">
            <w:pPr>
              <w:jc w:val="center"/>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14:paraId="60EE58C6">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14:paraId="32D0A0FC">
            <w:pPr>
              <w:pStyle w:val="72"/>
              <w:spacing w:line="240" w:lineRule="auto"/>
              <w:rPr>
                <w:rFonts w:hint="eastAsia"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14:paraId="08BCC375">
            <w:pPr>
              <w:pStyle w:val="72"/>
              <w:spacing w:line="240" w:lineRule="auto"/>
              <w:rPr>
                <w:rFonts w:hint="eastAsia"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r>
    </w:tbl>
    <w:p w14:paraId="29FBD7C0">
      <w:pPr>
        <w:pStyle w:val="72"/>
        <w:snapToGrid/>
        <w:spacing w:line="240" w:lineRule="auto"/>
        <w:jc w:val="left"/>
        <w:rPr>
          <w:rFonts w:hint="eastAsia" w:ascii="黑体" w:hAnsi="黑体"/>
          <w:color w:val="000000" w:themeColor="text1"/>
          <w:sz w:val="30"/>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int="eastAsia" w:hAnsi="宋体"/>
          <w:snapToGrid w:val="0"/>
          <w:color w:val="000000" w:themeColor="text1"/>
          <w:spacing w:val="-6"/>
          <w:kern w:val="21"/>
          <w:szCs w:val="21"/>
          <w14:textFill>
            <w14:solidFill>
              <w14:schemeClr w14:val="tx1"/>
            </w14:solidFill>
          </w14:textFill>
        </w:rPr>
        <w:t>，单位：t</w:t>
      </w:r>
      <w:r>
        <w:rPr>
          <w:rFonts w:hAnsi="宋体"/>
          <w:snapToGrid w:val="0"/>
          <w:color w:val="000000" w:themeColor="text1"/>
          <w:spacing w:val="-6"/>
          <w:kern w:val="21"/>
          <w:szCs w:val="21"/>
          <w14:textFill>
            <w14:solidFill>
              <w14:schemeClr w14:val="tx1"/>
            </w14:solidFill>
          </w14:textFill>
        </w:rPr>
        <w:t>/</w:t>
      </w:r>
      <w:r>
        <w:rPr>
          <w:rFonts w:hint="eastAsia" w:hAnsi="宋体"/>
          <w:snapToGrid w:val="0"/>
          <w:color w:val="000000" w:themeColor="text1"/>
          <w:spacing w:val="-6"/>
          <w:kern w:val="21"/>
          <w:szCs w:val="21"/>
          <w14:textFill>
            <w14:solidFill>
              <w14:schemeClr w14:val="tx1"/>
            </w14:solidFill>
          </w14:textFill>
        </w:rPr>
        <w:t>a</w:t>
      </w:r>
    </w:p>
    <w:p w14:paraId="3D90A6F5">
      <w:pPr>
        <w:jc w:val="left"/>
        <w:rPr>
          <w:rFonts w:hint="eastAsia" w:ascii="黑体" w:hAnsi="黑体" w:eastAsia="黑体"/>
          <w:color w:val="000000" w:themeColor="text1"/>
          <w:sz w:val="30"/>
          <w14:textFill>
            <w14:solidFill>
              <w14:schemeClr w14:val="tx1"/>
            </w14:solidFill>
          </w14:textFill>
        </w:rPr>
      </w:pPr>
    </w:p>
    <w:p w14:paraId="7161E668">
      <w:pPr>
        <w:pStyle w:val="39"/>
        <w:rPr>
          <w:color w:val="000000" w:themeColor="text1"/>
          <w14:textFill>
            <w14:solidFill>
              <w14:schemeClr w14:val="tx1"/>
            </w14:solidFill>
          </w14:textFill>
        </w:rPr>
        <w:sectPr>
          <w:pgSz w:w="16838" w:h="11906" w:orient="landscape"/>
          <w:pgMar w:top="1247" w:right="1559" w:bottom="1247" w:left="1474" w:header="851" w:footer="709" w:gutter="0"/>
          <w:cols w:space="720" w:num="1"/>
          <w:docGrid w:type="lines" w:linePitch="312" w:charSpace="0"/>
        </w:sectPr>
      </w:pPr>
    </w:p>
    <w:p w14:paraId="53D12914">
      <w:pPr>
        <w:spacing w:line="20" w:lineRule="exact"/>
        <w:rPr>
          <w:color w:val="000000" w:themeColor="text1"/>
          <w:sz w:val="28"/>
          <w14:textFill>
            <w14:solidFill>
              <w14:schemeClr w14:val="tx1"/>
            </w14:solidFill>
          </w14:textFill>
        </w:rPr>
      </w:pPr>
    </w:p>
    <w:p w14:paraId="215A9F52">
      <w:pPr>
        <w:pStyle w:val="2"/>
        <w:jc w:val="center"/>
      </w:pPr>
      <w:bookmarkStart w:id="8" w:name="_GoBack"/>
      <w:bookmarkEnd w:id="8"/>
    </w:p>
    <w:sectPr>
      <w:headerReference r:id="rId13" w:type="default"/>
      <w:footerReference r:id="rId14" w:type="default"/>
      <w:pgSz w:w="11907" w:h="16839"/>
      <w:pgMar w:top="1474" w:right="1418" w:bottom="1701" w:left="1134" w:header="851" w:footer="709"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736423D-BB7B-442E-B6D6-47D8981AC05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B10186F-26B0-4F72-BA86-DE2FE384FF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6E5B01AB-FBA3-4CCA-B773-586B02E4C7FF}"/>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Impact">
    <w:panose1 w:val="020B0806030902050204"/>
    <w:charset w:val="00"/>
    <w:family w:val="swiss"/>
    <w:pitch w:val="default"/>
    <w:sig w:usb0="00000287" w:usb1="00000000" w:usb2="00000000" w:usb3="00000000" w:csb0="2000009F" w:csb1="DFD70000"/>
  </w:font>
  <w:font w:name="仿宋体">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TimesNewRoman">
    <w:altName w:val="黑体"/>
    <w:panose1 w:val="00000000000000000000"/>
    <w:charset w:val="00"/>
    <w:family w:val="roman"/>
    <w:pitch w:val="default"/>
    <w:sig w:usb0="00000000" w:usb1="00000000" w:usb2="00000000" w:usb3="00000000" w:csb0="00000000" w:csb1="00000000"/>
  </w:font>
  <w:font w:name="TimesNewRomanPSMT">
    <w:altName w:val="宋体"/>
    <w:panose1 w:val="00000000000000000000"/>
    <w:charset w:val="00"/>
    <w:family w:val="roman"/>
    <w:pitch w:val="default"/>
    <w:sig w:usb0="00000000" w:usb1="00000000" w:usb2="00000010" w:usb3="00000000" w:csb0="00040001" w:csb1="00000000"/>
  </w:font>
  <w:font w:name="ArialMT">
    <w:altName w:val="Times New Roman"/>
    <w:panose1 w:val="00000000000000000000"/>
    <w:charset w:val="00"/>
    <w:family w:val="roman"/>
    <w:pitch w:val="default"/>
    <w:sig w:usb0="00000000" w:usb1="00000000" w:usb2="00000000" w:usb3="00000000" w:csb0="00000000" w:csb1="00000000"/>
  </w:font>
  <w:font w:name="Hei">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4" w:fontKey="{EDF8EB44-5EBC-498C-A9E5-8A7E65034346}"/>
  </w:font>
  <w:font w:name="方正小标宋_GBK">
    <w:panose1 w:val="02000000000000000000"/>
    <w:charset w:val="86"/>
    <w:family w:val="script"/>
    <w:pitch w:val="default"/>
    <w:sig w:usb0="A00002BF" w:usb1="38CF7CFA" w:usb2="00082016" w:usb3="00000000" w:csb0="00040001" w:csb1="00000000"/>
    <w:embedRegular r:id="rId5" w:fontKey="{8168F83B-5A4E-40AF-8AB9-30CBD29009E6}"/>
  </w:font>
  <w:font w:name="Cambria Math">
    <w:panose1 w:val="02040503050406030204"/>
    <w:charset w:val="00"/>
    <w:family w:val="roman"/>
    <w:pitch w:val="default"/>
    <w:sig w:usb0="E00006FF" w:usb1="420024FF" w:usb2="02000000" w:usb3="00000000" w:csb0="2000019F" w:csb1="00000000"/>
    <w:embedRegular r:id="rId6" w:fontKey="{A8D7F3B9-FDC7-49E9-BA06-53D926B88BD7}"/>
  </w:font>
  <w:font w:name="等线">
    <w:panose1 w:val="02010600030101010101"/>
    <w:charset w:val="86"/>
    <w:family w:val="auto"/>
    <w:pitch w:val="default"/>
    <w:sig w:usb0="A00002BF" w:usb1="38CF7CFA" w:usb2="00000016" w:usb3="00000000" w:csb0="0004000F" w:csb1="00000000"/>
    <w:embedRegular r:id="rId7" w:fontKey="{B044FD1D-DDF8-4904-B330-3B7034601FAD}"/>
  </w:font>
  <w:font w:name="微软雅黑">
    <w:panose1 w:val="020B0503020204020204"/>
    <w:charset w:val="86"/>
    <w:family w:val="swiss"/>
    <w:pitch w:val="default"/>
    <w:sig w:usb0="80000287" w:usb1="2ACF3C50" w:usb2="00000016" w:usb3="00000000" w:csb0="0004001F" w:csb1="00000000"/>
    <w:embedRegular r:id="rId8" w:fontKey="{F32D88B0-8A98-4E30-95F0-8400D766768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D5736">
    <w:pPr>
      <w:pStyle w:val="27"/>
      <w:tabs>
        <w:tab w:val="clear" w:pos="4153"/>
        <w:tab w:val="clear" w:pos="8306"/>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E8D24">
    <w:pPr>
      <w:pStyle w:val="27"/>
      <w:framePr w:wrap="around" w:vAnchor="text" w:hAnchor="margin" w:xAlign="center" w:y="1"/>
      <w:rPr>
        <w:rStyle w:val="44"/>
      </w:rPr>
    </w:pPr>
    <w:r>
      <w:rPr>
        <w:rStyle w:val="44"/>
      </w:rPr>
      <w:fldChar w:fldCharType="begin"/>
    </w:r>
    <w:r>
      <w:rPr>
        <w:rStyle w:val="44"/>
      </w:rPr>
      <w:instrText xml:space="preserve">PAGE  </w:instrText>
    </w:r>
    <w:r>
      <w:rPr>
        <w:rStyle w:val="44"/>
      </w:rPr>
      <w:fldChar w:fldCharType="end"/>
    </w:r>
  </w:p>
  <w:p w14:paraId="59D96A34">
    <w:pPr>
      <w:pStyle w:val="2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61E77">
    <w:pPr>
      <w:pStyle w:val="27"/>
      <w:jc w:val="center"/>
    </w:pPr>
    <w:r>
      <w:fldChar w:fldCharType="begin"/>
    </w:r>
    <w:r>
      <w:instrText xml:space="preserve">PAGE   \* MERGEFORMAT</w:instrText>
    </w:r>
    <w:r>
      <w:fldChar w:fldCharType="separate"/>
    </w:r>
    <w:r>
      <w:rPr>
        <w:lang w:val="zh-CN"/>
      </w:rPr>
      <w:t>49</w:t>
    </w:r>
    <w:r>
      <w:rPr>
        <w:lang w:val="zh-CN"/>
      </w:rPr>
      <w:fldChar w:fldCharType="end"/>
    </w:r>
  </w:p>
  <w:p w14:paraId="4ABB72E7">
    <w:pPr>
      <w:pStyle w:val="27"/>
      <w:tabs>
        <w:tab w:val="clear" w:pos="4153"/>
        <w:tab w:val="clear" w:pos="8306"/>
      </w:tabs>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3A022">
    <w:pPr>
      <w:pStyle w:val="2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8870B">
    <w:pPr>
      <w:pStyle w:val="2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EB8F8">
    <w:pPr>
      <w:pStyle w:val="27"/>
      <w:tabs>
        <w:tab w:val="left" w:pos="14060"/>
        <w:tab w:val="right" w:pos="20934"/>
      </w:tabs>
      <w:jc w:val="center"/>
    </w:pPr>
    <w:r>
      <w:fldChar w:fldCharType="begin"/>
    </w:r>
    <w:r>
      <w:instrText xml:space="preserve"> PAGE   \* MERGEFORMAT </w:instrText>
    </w:r>
    <w:r>
      <w:fldChar w:fldCharType="separate"/>
    </w:r>
    <w:r>
      <w:rPr>
        <w:lang w:val="zh-CN"/>
      </w:rPr>
      <w:t>90</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11A53">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9AF01">
    <w:pPr>
      <w:pStyle w:val="2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DB05A">
    <w:pPr>
      <w:pStyle w:val="2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C43DE">
    <w:pPr>
      <w:pStyle w:val="2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6861D">
    <w:pPr>
      <w:pStyle w:val="2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18B40">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EnclosedCircleChinese"/>
      <w:suff w:val="nothing"/>
      <w:lvlText w:val="%1　"/>
      <w:lvlJc w:val="left"/>
      <w:pPr>
        <w:ind w:left="148" w:firstLine="400"/>
      </w:pPr>
      <w:rPr>
        <w:rFonts w:hint="eastAsia"/>
      </w:rPr>
    </w:lvl>
  </w:abstractNum>
  <w:abstractNum w:abstractNumId="1">
    <w:nsid w:val="00000007"/>
    <w:multiLevelType w:val="singleLevel"/>
    <w:tmpl w:val="00000007"/>
    <w:lvl w:ilvl="0" w:tentative="0">
      <w:start w:val="1"/>
      <w:numFmt w:val="chineseCounting"/>
      <w:suff w:val="nothing"/>
      <w:lvlText w:val="（%1）"/>
      <w:lvlJc w:val="left"/>
      <w:rPr>
        <w:rFonts w:hint="eastAsia"/>
      </w:rPr>
    </w:lvl>
  </w:abstractNum>
  <w:abstractNum w:abstractNumId="2">
    <w:nsid w:val="00000009"/>
    <w:multiLevelType w:val="singleLevel"/>
    <w:tmpl w:val="00000009"/>
    <w:lvl w:ilvl="0" w:tentative="0">
      <w:start w:val="1"/>
      <w:numFmt w:val="decimal"/>
      <w:lvlText w:val="(%1)"/>
      <w:lvlJc w:val="left"/>
      <w:pPr>
        <w:ind w:left="425" w:hanging="425"/>
      </w:pPr>
      <w:rPr>
        <w:rFonts w:hint="default"/>
      </w:rPr>
    </w:lvl>
  </w:abstractNum>
  <w:abstractNum w:abstractNumId="3">
    <w:nsid w:val="0000000A"/>
    <w:multiLevelType w:val="singleLevel"/>
    <w:tmpl w:val="0000000A"/>
    <w:lvl w:ilvl="0" w:tentative="0">
      <w:start w:val="1"/>
      <w:numFmt w:val="decimal"/>
      <w:lvlText w:val="%1)"/>
      <w:lvlJc w:val="left"/>
      <w:pPr>
        <w:ind w:left="425" w:hanging="425"/>
      </w:pPr>
      <w:rPr>
        <w:rFonts w:hint="default"/>
      </w:rPr>
    </w:lvl>
  </w:abstractNum>
  <w:abstractNum w:abstractNumId="4">
    <w:nsid w:val="0000000B"/>
    <w:multiLevelType w:val="singleLevel"/>
    <w:tmpl w:val="0000000B"/>
    <w:lvl w:ilvl="0" w:tentative="0">
      <w:start w:val="1"/>
      <w:numFmt w:val="lowerLetter"/>
      <w:lvlText w:val="%1)"/>
      <w:lvlJc w:val="left"/>
      <w:pPr>
        <w:ind w:left="840" w:hanging="420"/>
      </w:pPr>
      <w:rPr>
        <w:rFonts w:hint="default"/>
      </w:rPr>
    </w:lvl>
  </w:abstractNum>
  <w:abstractNum w:abstractNumId="5">
    <w:nsid w:val="0000000C"/>
    <w:multiLevelType w:val="singleLevel"/>
    <w:tmpl w:val="0000000C"/>
    <w:lvl w:ilvl="0" w:tentative="0">
      <w:start w:val="1"/>
      <w:numFmt w:val="decimalEnclosedCircleChinese"/>
      <w:suff w:val="nothing"/>
      <w:lvlText w:val="%1　"/>
      <w:lvlJc w:val="left"/>
      <w:pPr>
        <w:ind w:left="420" w:firstLine="400"/>
      </w:pPr>
      <w:rPr>
        <w:rFonts w:hint="eastAsia"/>
      </w:rPr>
    </w:lvl>
  </w:abstractNum>
  <w:abstractNum w:abstractNumId="6">
    <w:nsid w:val="0000000D"/>
    <w:multiLevelType w:val="singleLevel"/>
    <w:tmpl w:val="0000000D"/>
    <w:lvl w:ilvl="0" w:tentative="0">
      <w:start w:val="1"/>
      <w:numFmt w:val="decimal"/>
      <w:lvlText w:val="%1)"/>
      <w:lvlJc w:val="left"/>
      <w:pPr>
        <w:ind w:left="425" w:hanging="425"/>
      </w:pPr>
      <w:rPr>
        <w:rFonts w:hint="default"/>
        <w:b/>
        <w:bCs/>
      </w:rPr>
    </w:lvl>
  </w:abstractNum>
  <w:abstractNum w:abstractNumId="7">
    <w:nsid w:val="0000000E"/>
    <w:multiLevelType w:val="singleLevel"/>
    <w:tmpl w:val="0000000E"/>
    <w:lvl w:ilvl="0" w:tentative="0">
      <w:start w:val="1"/>
      <w:numFmt w:val="decimalEnclosedCircleChinese"/>
      <w:suff w:val="nothing"/>
      <w:lvlText w:val="%1　"/>
      <w:lvlJc w:val="left"/>
      <w:pPr>
        <w:ind w:left="-62" w:firstLine="400"/>
      </w:pPr>
      <w:rPr>
        <w:rFonts w:hint="eastAsia"/>
        <w:b/>
        <w:bCs/>
      </w:rPr>
    </w:lvl>
  </w:abstractNum>
  <w:abstractNum w:abstractNumId="8">
    <w:nsid w:val="2A8C0338"/>
    <w:multiLevelType w:val="multilevel"/>
    <w:tmpl w:val="2A8C0338"/>
    <w:lvl w:ilvl="0" w:tentative="0">
      <w:start w:val="1"/>
      <w:numFmt w:val="decimal"/>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D930F89"/>
    <w:multiLevelType w:val="multilevel"/>
    <w:tmpl w:val="2D930F89"/>
    <w:lvl w:ilvl="0" w:tentative="0">
      <w:start w:val="1"/>
      <w:numFmt w:val="decimal"/>
      <w:lvlText w:val="图%1"/>
      <w:lvlJc w:val="left"/>
      <w:pPr>
        <w:ind w:left="2745" w:hanging="420"/>
      </w:pPr>
      <w:rPr>
        <w:rFonts w:hint="default" w:ascii="Times New Roman" w:hAnsi="Times New Roman" w:eastAsia="宋体" w:cs="Times New Roman"/>
        <w:color w:val="000000"/>
        <w:sz w:val="21"/>
        <w:szCs w:val="21"/>
      </w:rPr>
    </w:lvl>
    <w:lvl w:ilvl="1" w:tentative="0">
      <w:start w:val="1"/>
      <w:numFmt w:val="lowerLetter"/>
      <w:lvlText w:val="%2)"/>
      <w:lvlJc w:val="left"/>
      <w:pPr>
        <w:ind w:left="3165" w:hanging="420"/>
      </w:pPr>
      <w:rPr>
        <w:rFonts w:hint="default" w:ascii="Times New Roman" w:hAnsi="Times New Roman" w:cs="Times New Roman"/>
      </w:rPr>
    </w:lvl>
    <w:lvl w:ilvl="2" w:tentative="0">
      <w:start w:val="1"/>
      <w:numFmt w:val="lowerRoman"/>
      <w:lvlText w:val="%3."/>
      <w:lvlJc w:val="right"/>
      <w:pPr>
        <w:ind w:left="3585" w:hanging="420"/>
      </w:pPr>
      <w:rPr>
        <w:rFonts w:hint="default" w:ascii="Times New Roman" w:hAnsi="Times New Roman" w:cs="Times New Roman"/>
      </w:rPr>
    </w:lvl>
    <w:lvl w:ilvl="3" w:tentative="0">
      <w:start w:val="1"/>
      <w:numFmt w:val="decimal"/>
      <w:lvlText w:val="%4."/>
      <w:lvlJc w:val="left"/>
      <w:pPr>
        <w:ind w:left="4005" w:hanging="420"/>
      </w:pPr>
      <w:rPr>
        <w:rFonts w:hint="default" w:ascii="Times New Roman" w:hAnsi="Times New Roman" w:cs="Times New Roman"/>
      </w:rPr>
    </w:lvl>
    <w:lvl w:ilvl="4" w:tentative="0">
      <w:start w:val="1"/>
      <w:numFmt w:val="lowerLetter"/>
      <w:lvlText w:val="%5)"/>
      <w:lvlJc w:val="left"/>
      <w:pPr>
        <w:ind w:left="4425" w:hanging="420"/>
      </w:pPr>
      <w:rPr>
        <w:rFonts w:hint="default" w:ascii="Times New Roman" w:hAnsi="Times New Roman" w:cs="Times New Roman"/>
      </w:rPr>
    </w:lvl>
    <w:lvl w:ilvl="5" w:tentative="0">
      <w:start w:val="1"/>
      <w:numFmt w:val="lowerRoman"/>
      <w:lvlText w:val="%6."/>
      <w:lvlJc w:val="right"/>
      <w:pPr>
        <w:ind w:left="4845" w:hanging="420"/>
      </w:pPr>
      <w:rPr>
        <w:rFonts w:hint="default" w:ascii="Times New Roman" w:hAnsi="Times New Roman" w:cs="Times New Roman"/>
      </w:rPr>
    </w:lvl>
    <w:lvl w:ilvl="6" w:tentative="0">
      <w:start w:val="1"/>
      <w:numFmt w:val="decimal"/>
      <w:lvlText w:val="%7."/>
      <w:lvlJc w:val="left"/>
      <w:pPr>
        <w:ind w:left="5265" w:hanging="420"/>
      </w:pPr>
      <w:rPr>
        <w:rFonts w:hint="default" w:ascii="Times New Roman" w:hAnsi="Times New Roman" w:cs="Times New Roman"/>
      </w:rPr>
    </w:lvl>
    <w:lvl w:ilvl="7" w:tentative="0">
      <w:start w:val="1"/>
      <w:numFmt w:val="lowerLetter"/>
      <w:lvlText w:val="%8)"/>
      <w:lvlJc w:val="left"/>
      <w:pPr>
        <w:ind w:left="5685" w:hanging="420"/>
      </w:pPr>
      <w:rPr>
        <w:rFonts w:hint="default" w:ascii="Times New Roman" w:hAnsi="Times New Roman" w:cs="Times New Roman"/>
      </w:rPr>
    </w:lvl>
    <w:lvl w:ilvl="8" w:tentative="0">
      <w:start w:val="1"/>
      <w:numFmt w:val="lowerRoman"/>
      <w:lvlText w:val="%9."/>
      <w:lvlJc w:val="right"/>
      <w:pPr>
        <w:ind w:left="6105" w:hanging="420"/>
      </w:pPr>
      <w:rPr>
        <w:rFonts w:hint="default" w:ascii="Times New Roman" w:hAnsi="Times New Roman" w:cs="Times New Roman"/>
      </w:rPr>
    </w:lvl>
  </w:abstractNum>
  <w:abstractNum w:abstractNumId="10">
    <w:nsid w:val="2E3F6A9A"/>
    <w:multiLevelType w:val="multilevel"/>
    <w:tmpl w:val="2E3F6A9A"/>
    <w:lvl w:ilvl="0" w:tentative="0">
      <w:start w:val="1"/>
      <w:numFmt w:val="decimal"/>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D8E24A6"/>
    <w:multiLevelType w:val="multilevel"/>
    <w:tmpl w:val="3D8E24A6"/>
    <w:lvl w:ilvl="0" w:tentative="0">
      <w:start w:val="1"/>
      <w:numFmt w:val="decimal"/>
      <w:lvlText w:val="（%1）"/>
      <w:lvlJc w:val="left"/>
      <w:pPr>
        <w:tabs>
          <w:tab w:val="left" w:pos="720"/>
        </w:tabs>
        <w:ind w:left="720" w:hanging="720"/>
      </w:pPr>
      <w:rPr>
        <w:color w:val="000000" w:themeColor="text1"/>
        <w14:textFill>
          <w14:solidFill>
            <w14:schemeClr w14:val="tx1"/>
          </w14:solidFill>
        </w14:textFill>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42462EEC"/>
    <w:multiLevelType w:val="singleLevel"/>
    <w:tmpl w:val="42462EEC"/>
    <w:lvl w:ilvl="0" w:tentative="0">
      <w:start w:val="1"/>
      <w:numFmt w:val="decimal"/>
      <w:suff w:val="nothing"/>
      <w:lvlText w:val="%1、"/>
      <w:lvlJc w:val="left"/>
    </w:lvl>
  </w:abstractNum>
  <w:abstractNum w:abstractNumId="13">
    <w:nsid w:val="740E01A6"/>
    <w:multiLevelType w:val="multilevel"/>
    <w:tmpl w:val="740E01A6"/>
    <w:lvl w:ilvl="0" w:tentative="0">
      <w:start w:val="2"/>
      <w:numFmt w:val="japaneseCounting"/>
      <w:lvlText w:val="%1、"/>
      <w:lvlJc w:val="left"/>
      <w:pPr>
        <w:ind w:left="982" w:hanging="510"/>
      </w:pPr>
      <w:rPr>
        <w:rFonts w:hint="default"/>
      </w:rPr>
    </w:lvl>
    <w:lvl w:ilvl="1" w:tentative="0">
      <w:start w:val="1"/>
      <w:numFmt w:val="lowerLetter"/>
      <w:lvlText w:val="%2)"/>
      <w:lvlJc w:val="left"/>
      <w:pPr>
        <w:ind w:left="1352" w:hanging="440"/>
      </w:pPr>
    </w:lvl>
    <w:lvl w:ilvl="2" w:tentative="0">
      <w:start w:val="1"/>
      <w:numFmt w:val="lowerRoman"/>
      <w:lvlText w:val="%3."/>
      <w:lvlJc w:val="right"/>
      <w:pPr>
        <w:ind w:left="1792" w:hanging="440"/>
      </w:pPr>
    </w:lvl>
    <w:lvl w:ilvl="3" w:tentative="0">
      <w:start w:val="1"/>
      <w:numFmt w:val="decimal"/>
      <w:lvlText w:val="%4."/>
      <w:lvlJc w:val="left"/>
      <w:pPr>
        <w:ind w:left="2232" w:hanging="440"/>
      </w:pPr>
    </w:lvl>
    <w:lvl w:ilvl="4" w:tentative="0">
      <w:start w:val="1"/>
      <w:numFmt w:val="lowerLetter"/>
      <w:lvlText w:val="%5)"/>
      <w:lvlJc w:val="left"/>
      <w:pPr>
        <w:ind w:left="2672" w:hanging="440"/>
      </w:pPr>
    </w:lvl>
    <w:lvl w:ilvl="5" w:tentative="0">
      <w:start w:val="1"/>
      <w:numFmt w:val="lowerRoman"/>
      <w:lvlText w:val="%6."/>
      <w:lvlJc w:val="right"/>
      <w:pPr>
        <w:ind w:left="3112" w:hanging="440"/>
      </w:pPr>
    </w:lvl>
    <w:lvl w:ilvl="6" w:tentative="0">
      <w:start w:val="1"/>
      <w:numFmt w:val="decimal"/>
      <w:lvlText w:val="%7."/>
      <w:lvlJc w:val="left"/>
      <w:pPr>
        <w:ind w:left="3552" w:hanging="440"/>
      </w:pPr>
    </w:lvl>
    <w:lvl w:ilvl="7" w:tentative="0">
      <w:start w:val="1"/>
      <w:numFmt w:val="lowerLetter"/>
      <w:lvlText w:val="%8)"/>
      <w:lvlJc w:val="left"/>
      <w:pPr>
        <w:ind w:left="3992" w:hanging="440"/>
      </w:pPr>
    </w:lvl>
    <w:lvl w:ilvl="8" w:tentative="0">
      <w:start w:val="1"/>
      <w:numFmt w:val="lowerRoman"/>
      <w:lvlText w:val="%9."/>
      <w:lvlJc w:val="right"/>
      <w:pPr>
        <w:ind w:left="4432" w:hanging="440"/>
      </w:pPr>
    </w:lvl>
  </w:abstractNum>
  <w:num w:numId="1">
    <w:abstractNumId w:val="1"/>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4"/>
  </w:num>
  <w:num w:numId="6">
    <w:abstractNumId w:val="7"/>
  </w:num>
  <w:num w:numId="7">
    <w:abstractNumId w:val="6"/>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8"/>
  </w:num>
  <w:num w:numId="11">
    <w:abstractNumId w:val="10"/>
  </w:num>
  <w:num w:numId="12">
    <w:abstractNumId w:val="13"/>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E0ZTk5OTIwMTEzYzdjZGNhNDJhODBjYTBiNThhM2IifQ=="/>
  </w:docVars>
  <w:rsids>
    <w:rsidRoot w:val="00C02657"/>
    <w:rsid w:val="000001A6"/>
    <w:rsid w:val="0000191D"/>
    <w:rsid w:val="000050EE"/>
    <w:rsid w:val="0001038A"/>
    <w:rsid w:val="00012915"/>
    <w:rsid w:val="00014F68"/>
    <w:rsid w:val="00021623"/>
    <w:rsid w:val="00022EC4"/>
    <w:rsid w:val="0002423A"/>
    <w:rsid w:val="0002615B"/>
    <w:rsid w:val="00027AB1"/>
    <w:rsid w:val="0003098F"/>
    <w:rsid w:val="00034CE5"/>
    <w:rsid w:val="00040219"/>
    <w:rsid w:val="00046730"/>
    <w:rsid w:val="00050589"/>
    <w:rsid w:val="0005257C"/>
    <w:rsid w:val="00054864"/>
    <w:rsid w:val="00057A8B"/>
    <w:rsid w:val="0006058F"/>
    <w:rsid w:val="00061CF6"/>
    <w:rsid w:val="00063242"/>
    <w:rsid w:val="000632E6"/>
    <w:rsid w:val="000642EB"/>
    <w:rsid w:val="00065C33"/>
    <w:rsid w:val="0007067E"/>
    <w:rsid w:val="00074FFD"/>
    <w:rsid w:val="00077B10"/>
    <w:rsid w:val="000810C2"/>
    <w:rsid w:val="00087FEB"/>
    <w:rsid w:val="00090BDF"/>
    <w:rsid w:val="00090EB1"/>
    <w:rsid w:val="00093E68"/>
    <w:rsid w:val="000962C4"/>
    <w:rsid w:val="000A76B0"/>
    <w:rsid w:val="000B3A64"/>
    <w:rsid w:val="000B50CB"/>
    <w:rsid w:val="000B5701"/>
    <w:rsid w:val="000B6EFB"/>
    <w:rsid w:val="000B76D0"/>
    <w:rsid w:val="000C1480"/>
    <w:rsid w:val="000C23B2"/>
    <w:rsid w:val="000C53AD"/>
    <w:rsid w:val="000C5FAF"/>
    <w:rsid w:val="000C7042"/>
    <w:rsid w:val="000C7C3F"/>
    <w:rsid w:val="000C7C4C"/>
    <w:rsid w:val="000E320B"/>
    <w:rsid w:val="000E5978"/>
    <w:rsid w:val="000F0364"/>
    <w:rsid w:val="000F08BF"/>
    <w:rsid w:val="000F5251"/>
    <w:rsid w:val="00102273"/>
    <w:rsid w:val="0010432B"/>
    <w:rsid w:val="00105F35"/>
    <w:rsid w:val="00110183"/>
    <w:rsid w:val="001106CB"/>
    <w:rsid w:val="00111F10"/>
    <w:rsid w:val="001147EF"/>
    <w:rsid w:val="001156D8"/>
    <w:rsid w:val="001167B0"/>
    <w:rsid w:val="00116D8E"/>
    <w:rsid w:val="001178DF"/>
    <w:rsid w:val="00123B53"/>
    <w:rsid w:val="00130862"/>
    <w:rsid w:val="00132AB3"/>
    <w:rsid w:val="00134E8C"/>
    <w:rsid w:val="0013510B"/>
    <w:rsid w:val="00135801"/>
    <w:rsid w:val="00135F65"/>
    <w:rsid w:val="00140EBE"/>
    <w:rsid w:val="0014255A"/>
    <w:rsid w:val="001548D0"/>
    <w:rsid w:val="00156634"/>
    <w:rsid w:val="001602EF"/>
    <w:rsid w:val="00164E9C"/>
    <w:rsid w:val="00165CEA"/>
    <w:rsid w:val="0016613F"/>
    <w:rsid w:val="0016663F"/>
    <w:rsid w:val="00174C44"/>
    <w:rsid w:val="001811B0"/>
    <w:rsid w:val="00183A46"/>
    <w:rsid w:val="00185786"/>
    <w:rsid w:val="00185A57"/>
    <w:rsid w:val="00191775"/>
    <w:rsid w:val="001975E1"/>
    <w:rsid w:val="001A4C61"/>
    <w:rsid w:val="001B07B4"/>
    <w:rsid w:val="001B07F3"/>
    <w:rsid w:val="001B6405"/>
    <w:rsid w:val="001B72E4"/>
    <w:rsid w:val="001C5225"/>
    <w:rsid w:val="001C680D"/>
    <w:rsid w:val="001D3962"/>
    <w:rsid w:val="001D60D4"/>
    <w:rsid w:val="001D67F6"/>
    <w:rsid w:val="001E2005"/>
    <w:rsid w:val="001E358B"/>
    <w:rsid w:val="001E3F0C"/>
    <w:rsid w:val="001E48EA"/>
    <w:rsid w:val="001E4ACC"/>
    <w:rsid w:val="001E5CCD"/>
    <w:rsid w:val="001E72FA"/>
    <w:rsid w:val="001E7F9D"/>
    <w:rsid w:val="001F0B15"/>
    <w:rsid w:val="002021D0"/>
    <w:rsid w:val="002059F6"/>
    <w:rsid w:val="002114BB"/>
    <w:rsid w:val="00215789"/>
    <w:rsid w:val="00217732"/>
    <w:rsid w:val="00217EE3"/>
    <w:rsid w:val="00225C20"/>
    <w:rsid w:val="00230B1D"/>
    <w:rsid w:val="00232C72"/>
    <w:rsid w:val="0023631C"/>
    <w:rsid w:val="00243FCB"/>
    <w:rsid w:val="002448B9"/>
    <w:rsid w:val="002504CD"/>
    <w:rsid w:val="00255F03"/>
    <w:rsid w:val="00260F02"/>
    <w:rsid w:val="002616F5"/>
    <w:rsid w:val="0026187A"/>
    <w:rsid w:val="002645C5"/>
    <w:rsid w:val="00265181"/>
    <w:rsid w:val="00274177"/>
    <w:rsid w:val="00274DEE"/>
    <w:rsid w:val="00281B88"/>
    <w:rsid w:val="00282ED8"/>
    <w:rsid w:val="00283547"/>
    <w:rsid w:val="00291485"/>
    <w:rsid w:val="0029237D"/>
    <w:rsid w:val="002934C9"/>
    <w:rsid w:val="002957E5"/>
    <w:rsid w:val="002A1D7F"/>
    <w:rsid w:val="002A1F97"/>
    <w:rsid w:val="002A36F4"/>
    <w:rsid w:val="002B4110"/>
    <w:rsid w:val="002C2163"/>
    <w:rsid w:val="002C2338"/>
    <w:rsid w:val="002C38B8"/>
    <w:rsid w:val="002C4C0C"/>
    <w:rsid w:val="002C71EA"/>
    <w:rsid w:val="002D16BB"/>
    <w:rsid w:val="002D3BAE"/>
    <w:rsid w:val="002E15C1"/>
    <w:rsid w:val="002E27B4"/>
    <w:rsid w:val="002F0BDE"/>
    <w:rsid w:val="002F117B"/>
    <w:rsid w:val="002F230F"/>
    <w:rsid w:val="002F3719"/>
    <w:rsid w:val="002F3883"/>
    <w:rsid w:val="002F4480"/>
    <w:rsid w:val="002F6BC5"/>
    <w:rsid w:val="00306673"/>
    <w:rsid w:val="00306CE3"/>
    <w:rsid w:val="00306F53"/>
    <w:rsid w:val="00311C8D"/>
    <w:rsid w:val="00314722"/>
    <w:rsid w:val="00314861"/>
    <w:rsid w:val="00317F25"/>
    <w:rsid w:val="0032117C"/>
    <w:rsid w:val="003214B3"/>
    <w:rsid w:val="003246C5"/>
    <w:rsid w:val="00326D0E"/>
    <w:rsid w:val="003314B1"/>
    <w:rsid w:val="00332615"/>
    <w:rsid w:val="0033688F"/>
    <w:rsid w:val="0034099C"/>
    <w:rsid w:val="003505BE"/>
    <w:rsid w:val="00352DBA"/>
    <w:rsid w:val="00361E44"/>
    <w:rsid w:val="00363CF4"/>
    <w:rsid w:val="00364918"/>
    <w:rsid w:val="00366E94"/>
    <w:rsid w:val="00367FF7"/>
    <w:rsid w:val="00370B64"/>
    <w:rsid w:val="00371379"/>
    <w:rsid w:val="00371E2E"/>
    <w:rsid w:val="00374ED9"/>
    <w:rsid w:val="0037749D"/>
    <w:rsid w:val="00384760"/>
    <w:rsid w:val="00390508"/>
    <w:rsid w:val="0039374B"/>
    <w:rsid w:val="00393A74"/>
    <w:rsid w:val="003A0731"/>
    <w:rsid w:val="003A0F90"/>
    <w:rsid w:val="003A3BF2"/>
    <w:rsid w:val="003A5FD8"/>
    <w:rsid w:val="003C04D5"/>
    <w:rsid w:val="003D0464"/>
    <w:rsid w:val="003D41F2"/>
    <w:rsid w:val="003D4271"/>
    <w:rsid w:val="003D7F29"/>
    <w:rsid w:val="003E32E8"/>
    <w:rsid w:val="003E6ED9"/>
    <w:rsid w:val="003E751C"/>
    <w:rsid w:val="003E796D"/>
    <w:rsid w:val="003F1B43"/>
    <w:rsid w:val="003F4E1A"/>
    <w:rsid w:val="003F6D3A"/>
    <w:rsid w:val="003F6E68"/>
    <w:rsid w:val="00402AAF"/>
    <w:rsid w:val="00405677"/>
    <w:rsid w:val="0040766D"/>
    <w:rsid w:val="00407A01"/>
    <w:rsid w:val="00415F39"/>
    <w:rsid w:val="00420BBC"/>
    <w:rsid w:val="0042235F"/>
    <w:rsid w:val="004266C1"/>
    <w:rsid w:val="00431100"/>
    <w:rsid w:val="00432216"/>
    <w:rsid w:val="004329D6"/>
    <w:rsid w:val="00433F52"/>
    <w:rsid w:val="00440324"/>
    <w:rsid w:val="00440C59"/>
    <w:rsid w:val="004417D3"/>
    <w:rsid w:val="0044322A"/>
    <w:rsid w:val="00446FC8"/>
    <w:rsid w:val="00453678"/>
    <w:rsid w:val="00456A63"/>
    <w:rsid w:val="0046797A"/>
    <w:rsid w:val="0047152D"/>
    <w:rsid w:val="004722D6"/>
    <w:rsid w:val="00474B9D"/>
    <w:rsid w:val="00476B88"/>
    <w:rsid w:val="00477A72"/>
    <w:rsid w:val="00480AF7"/>
    <w:rsid w:val="004818E0"/>
    <w:rsid w:val="0048689F"/>
    <w:rsid w:val="00490330"/>
    <w:rsid w:val="0049766C"/>
    <w:rsid w:val="004B1B49"/>
    <w:rsid w:val="004B2640"/>
    <w:rsid w:val="004B2DE1"/>
    <w:rsid w:val="004B2FE6"/>
    <w:rsid w:val="004B5609"/>
    <w:rsid w:val="004C1604"/>
    <w:rsid w:val="004C4FD4"/>
    <w:rsid w:val="004C7781"/>
    <w:rsid w:val="004D1500"/>
    <w:rsid w:val="004D59F5"/>
    <w:rsid w:val="004D6B61"/>
    <w:rsid w:val="004E1C64"/>
    <w:rsid w:val="004E29C2"/>
    <w:rsid w:val="004E3D7D"/>
    <w:rsid w:val="004E5F86"/>
    <w:rsid w:val="004F264A"/>
    <w:rsid w:val="004F2877"/>
    <w:rsid w:val="004F4AF5"/>
    <w:rsid w:val="00501D62"/>
    <w:rsid w:val="00510B13"/>
    <w:rsid w:val="00511251"/>
    <w:rsid w:val="0051233D"/>
    <w:rsid w:val="00514635"/>
    <w:rsid w:val="00515910"/>
    <w:rsid w:val="005213AE"/>
    <w:rsid w:val="00523923"/>
    <w:rsid w:val="005241EC"/>
    <w:rsid w:val="005258CE"/>
    <w:rsid w:val="00527DBA"/>
    <w:rsid w:val="00527FB9"/>
    <w:rsid w:val="00531F95"/>
    <w:rsid w:val="00536CA5"/>
    <w:rsid w:val="00540AD4"/>
    <w:rsid w:val="00543D22"/>
    <w:rsid w:val="00544EEC"/>
    <w:rsid w:val="00544F60"/>
    <w:rsid w:val="0054559C"/>
    <w:rsid w:val="00550BDB"/>
    <w:rsid w:val="00551564"/>
    <w:rsid w:val="00551921"/>
    <w:rsid w:val="00553779"/>
    <w:rsid w:val="00554EA8"/>
    <w:rsid w:val="00556E3B"/>
    <w:rsid w:val="005661FF"/>
    <w:rsid w:val="00566F8E"/>
    <w:rsid w:val="005679C0"/>
    <w:rsid w:val="0057528F"/>
    <w:rsid w:val="00576F19"/>
    <w:rsid w:val="0058238B"/>
    <w:rsid w:val="005837E6"/>
    <w:rsid w:val="0058668E"/>
    <w:rsid w:val="0059015D"/>
    <w:rsid w:val="00592E76"/>
    <w:rsid w:val="00592E82"/>
    <w:rsid w:val="00594288"/>
    <w:rsid w:val="00595571"/>
    <w:rsid w:val="00595EB4"/>
    <w:rsid w:val="005A2332"/>
    <w:rsid w:val="005A3E7D"/>
    <w:rsid w:val="005B00DA"/>
    <w:rsid w:val="005B11B8"/>
    <w:rsid w:val="005B57C2"/>
    <w:rsid w:val="005B767C"/>
    <w:rsid w:val="005C06A6"/>
    <w:rsid w:val="005C67B5"/>
    <w:rsid w:val="005D12F6"/>
    <w:rsid w:val="005D4318"/>
    <w:rsid w:val="005D4A3C"/>
    <w:rsid w:val="005D58BF"/>
    <w:rsid w:val="005D71AE"/>
    <w:rsid w:val="005D79C7"/>
    <w:rsid w:val="005D7B5B"/>
    <w:rsid w:val="005E2B3D"/>
    <w:rsid w:val="005E3872"/>
    <w:rsid w:val="005E388C"/>
    <w:rsid w:val="005E3B18"/>
    <w:rsid w:val="005E3EA8"/>
    <w:rsid w:val="005E4325"/>
    <w:rsid w:val="005F1719"/>
    <w:rsid w:val="005F208E"/>
    <w:rsid w:val="00603213"/>
    <w:rsid w:val="00603831"/>
    <w:rsid w:val="00603EDA"/>
    <w:rsid w:val="00607EBC"/>
    <w:rsid w:val="00611A40"/>
    <w:rsid w:val="00611F07"/>
    <w:rsid w:val="00620E2E"/>
    <w:rsid w:val="00621480"/>
    <w:rsid w:val="00622286"/>
    <w:rsid w:val="00622FC7"/>
    <w:rsid w:val="006344F0"/>
    <w:rsid w:val="006347CE"/>
    <w:rsid w:val="006419A6"/>
    <w:rsid w:val="006431C2"/>
    <w:rsid w:val="00646109"/>
    <w:rsid w:val="00650B21"/>
    <w:rsid w:val="006517BD"/>
    <w:rsid w:val="006536AA"/>
    <w:rsid w:val="00662F64"/>
    <w:rsid w:val="0066529A"/>
    <w:rsid w:val="006675B0"/>
    <w:rsid w:val="00667C56"/>
    <w:rsid w:val="006708CD"/>
    <w:rsid w:val="00671CDB"/>
    <w:rsid w:val="00671CEA"/>
    <w:rsid w:val="00673A72"/>
    <w:rsid w:val="00673ED4"/>
    <w:rsid w:val="00676952"/>
    <w:rsid w:val="00681BE4"/>
    <w:rsid w:val="00683042"/>
    <w:rsid w:val="00683F2F"/>
    <w:rsid w:val="00685F51"/>
    <w:rsid w:val="006902DE"/>
    <w:rsid w:val="00690388"/>
    <w:rsid w:val="00691F42"/>
    <w:rsid w:val="00692148"/>
    <w:rsid w:val="00693031"/>
    <w:rsid w:val="00695BD6"/>
    <w:rsid w:val="006979FE"/>
    <w:rsid w:val="006A2938"/>
    <w:rsid w:val="006A2BA1"/>
    <w:rsid w:val="006A3ED9"/>
    <w:rsid w:val="006B3C52"/>
    <w:rsid w:val="006B55A2"/>
    <w:rsid w:val="006C2608"/>
    <w:rsid w:val="006C583C"/>
    <w:rsid w:val="006C5AFB"/>
    <w:rsid w:val="006C6680"/>
    <w:rsid w:val="006D4547"/>
    <w:rsid w:val="006D45BC"/>
    <w:rsid w:val="006D60CD"/>
    <w:rsid w:val="006D7C92"/>
    <w:rsid w:val="006D7EB8"/>
    <w:rsid w:val="006E1765"/>
    <w:rsid w:val="006E31EE"/>
    <w:rsid w:val="006E61AC"/>
    <w:rsid w:val="006F4353"/>
    <w:rsid w:val="006F696B"/>
    <w:rsid w:val="007031EA"/>
    <w:rsid w:val="007042ED"/>
    <w:rsid w:val="00706475"/>
    <w:rsid w:val="00710184"/>
    <w:rsid w:val="00712A11"/>
    <w:rsid w:val="0071406D"/>
    <w:rsid w:val="0071471C"/>
    <w:rsid w:val="00716B91"/>
    <w:rsid w:val="00723D7C"/>
    <w:rsid w:val="00732D88"/>
    <w:rsid w:val="00734B24"/>
    <w:rsid w:val="0073590D"/>
    <w:rsid w:val="00740C8E"/>
    <w:rsid w:val="007414FE"/>
    <w:rsid w:val="00742206"/>
    <w:rsid w:val="00745AC8"/>
    <w:rsid w:val="007476E7"/>
    <w:rsid w:val="00751184"/>
    <w:rsid w:val="00751589"/>
    <w:rsid w:val="00753E16"/>
    <w:rsid w:val="0075737B"/>
    <w:rsid w:val="007633AC"/>
    <w:rsid w:val="007636CC"/>
    <w:rsid w:val="00767520"/>
    <w:rsid w:val="00773AA3"/>
    <w:rsid w:val="00773CB3"/>
    <w:rsid w:val="00775453"/>
    <w:rsid w:val="00775A7D"/>
    <w:rsid w:val="007810A4"/>
    <w:rsid w:val="00781C4E"/>
    <w:rsid w:val="0078411F"/>
    <w:rsid w:val="00784456"/>
    <w:rsid w:val="007918F9"/>
    <w:rsid w:val="0079301F"/>
    <w:rsid w:val="007937FA"/>
    <w:rsid w:val="00793F7B"/>
    <w:rsid w:val="007A04DE"/>
    <w:rsid w:val="007A1107"/>
    <w:rsid w:val="007A6AAD"/>
    <w:rsid w:val="007A7E4C"/>
    <w:rsid w:val="007B1043"/>
    <w:rsid w:val="007B7AF7"/>
    <w:rsid w:val="007C0248"/>
    <w:rsid w:val="007C1A1C"/>
    <w:rsid w:val="007C1C46"/>
    <w:rsid w:val="007C41BF"/>
    <w:rsid w:val="007D3F0C"/>
    <w:rsid w:val="007D4AED"/>
    <w:rsid w:val="007E4115"/>
    <w:rsid w:val="007E7179"/>
    <w:rsid w:val="007F6D4D"/>
    <w:rsid w:val="007F6DC9"/>
    <w:rsid w:val="007F7331"/>
    <w:rsid w:val="008008D3"/>
    <w:rsid w:val="008051A3"/>
    <w:rsid w:val="0081038E"/>
    <w:rsid w:val="00810BD5"/>
    <w:rsid w:val="00814816"/>
    <w:rsid w:val="00816D9B"/>
    <w:rsid w:val="0082104D"/>
    <w:rsid w:val="008211EE"/>
    <w:rsid w:val="00821FD0"/>
    <w:rsid w:val="00823723"/>
    <w:rsid w:val="0082547E"/>
    <w:rsid w:val="00826F41"/>
    <w:rsid w:val="008278E0"/>
    <w:rsid w:val="00834742"/>
    <w:rsid w:val="00834B70"/>
    <w:rsid w:val="00836759"/>
    <w:rsid w:val="008371D7"/>
    <w:rsid w:val="00837D3B"/>
    <w:rsid w:val="00840A51"/>
    <w:rsid w:val="00840EEC"/>
    <w:rsid w:val="00843AF0"/>
    <w:rsid w:val="00845ABA"/>
    <w:rsid w:val="0085135A"/>
    <w:rsid w:val="00854332"/>
    <w:rsid w:val="00857C23"/>
    <w:rsid w:val="008640BB"/>
    <w:rsid w:val="00864C1A"/>
    <w:rsid w:val="00864D2F"/>
    <w:rsid w:val="00871F08"/>
    <w:rsid w:val="00872DD6"/>
    <w:rsid w:val="00874A17"/>
    <w:rsid w:val="00875724"/>
    <w:rsid w:val="00877D84"/>
    <w:rsid w:val="008815F6"/>
    <w:rsid w:val="00883AC5"/>
    <w:rsid w:val="00883FB1"/>
    <w:rsid w:val="008864E8"/>
    <w:rsid w:val="0089091E"/>
    <w:rsid w:val="00890933"/>
    <w:rsid w:val="00893047"/>
    <w:rsid w:val="008A0592"/>
    <w:rsid w:val="008A05D6"/>
    <w:rsid w:val="008A2ACF"/>
    <w:rsid w:val="008A6DE4"/>
    <w:rsid w:val="008A7ABD"/>
    <w:rsid w:val="008B1F5C"/>
    <w:rsid w:val="008B318D"/>
    <w:rsid w:val="008B5C90"/>
    <w:rsid w:val="008C193B"/>
    <w:rsid w:val="008C25E4"/>
    <w:rsid w:val="008C27CC"/>
    <w:rsid w:val="008C29FE"/>
    <w:rsid w:val="008C4B28"/>
    <w:rsid w:val="008C7429"/>
    <w:rsid w:val="008C75DB"/>
    <w:rsid w:val="008D007D"/>
    <w:rsid w:val="008D2B85"/>
    <w:rsid w:val="008D4D5F"/>
    <w:rsid w:val="008D6265"/>
    <w:rsid w:val="008E0682"/>
    <w:rsid w:val="008E156A"/>
    <w:rsid w:val="008E15D7"/>
    <w:rsid w:val="008E3152"/>
    <w:rsid w:val="008F3A3F"/>
    <w:rsid w:val="008F4D82"/>
    <w:rsid w:val="008F53ED"/>
    <w:rsid w:val="008F74D1"/>
    <w:rsid w:val="0090041E"/>
    <w:rsid w:val="00900560"/>
    <w:rsid w:val="009021CE"/>
    <w:rsid w:val="00910055"/>
    <w:rsid w:val="009171AB"/>
    <w:rsid w:val="009174B6"/>
    <w:rsid w:val="00922581"/>
    <w:rsid w:val="00922AC4"/>
    <w:rsid w:val="00925C53"/>
    <w:rsid w:val="00927E94"/>
    <w:rsid w:val="00931FD6"/>
    <w:rsid w:val="009334EF"/>
    <w:rsid w:val="00937851"/>
    <w:rsid w:val="00943583"/>
    <w:rsid w:val="009463B1"/>
    <w:rsid w:val="00946878"/>
    <w:rsid w:val="00954BE7"/>
    <w:rsid w:val="00956392"/>
    <w:rsid w:val="00957D42"/>
    <w:rsid w:val="00960F30"/>
    <w:rsid w:val="00962A2B"/>
    <w:rsid w:val="0096469F"/>
    <w:rsid w:val="00964A10"/>
    <w:rsid w:val="00972585"/>
    <w:rsid w:val="00972B0D"/>
    <w:rsid w:val="00973973"/>
    <w:rsid w:val="009742AE"/>
    <w:rsid w:val="009805CB"/>
    <w:rsid w:val="00982D90"/>
    <w:rsid w:val="009865F0"/>
    <w:rsid w:val="00992001"/>
    <w:rsid w:val="00992DDD"/>
    <w:rsid w:val="00993C4F"/>
    <w:rsid w:val="009969D7"/>
    <w:rsid w:val="00997D78"/>
    <w:rsid w:val="009A3102"/>
    <w:rsid w:val="009A6983"/>
    <w:rsid w:val="009A7142"/>
    <w:rsid w:val="009A72DD"/>
    <w:rsid w:val="009B3EC5"/>
    <w:rsid w:val="009B423D"/>
    <w:rsid w:val="009B61EF"/>
    <w:rsid w:val="009B69AF"/>
    <w:rsid w:val="009C793C"/>
    <w:rsid w:val="009D4413"/>
    <w:rsid w:val="009D4F47"/>
    <w:rsid w:val="009E2045"/>
    <w:rsid w:val="009E3FB1"/>
    <w:rsid w:val="009F4963"/>
    <w:rsid w:val="009F60D6"/>
    <w:rsid w:val="00A0368A"/>
    <w:rsid w:val="00A05707"/>
    <w:rsid w:val="00A07523"/>
    <w:rsid w:val="00A11FC5"/>
    <w:rsid w:val="00A14907"/>
    <w:rsid w:val="00A15955"/>
    <w:rsid w:val="00A16D9F"/>
    <w:rsid w:val="00A20810"/>
    <w:rsid w:val="00A25B57"/>
    <w:rsid w:val="00A30728"/>
    <w:rsid w:val="00A31C8B"/>
    <w:rsid w:val="00A3231B"/>
    <w:rsid w:val="00A342E8"/>
    <w:rsid w:val="00A342EF"/>
    <w:rsid w:val="00A34EC4"/>
    <w:rsid w:val="00A34F00"/>
    <w:rsid w:val="00A35604"/>
    <w:rsid w:val="00A44A61"/>
    <w:rsid w:val="00A47A7E"/>
    <w:rsid w:val="00A55156"/>
    <w:rsid w:val="00A573AD"/>
    <w:rsid w:val="00A57CE7"/>
    <w:rsid w:val="00A6085D"/>
    <w:rsid w:val="00A62DCA"/>
    <w:rsid w:val="00A64953"/>
    <w:rsid w:val="00A64B70"/>
    <w:rsid w:val="00A70525"/>
    <w:rsid w:val="00A73575"/>
    <w:rsid w:val="00A80C2B"/>
    <w:rsid w:val="00A81025"/>
    <w:rsid w:val="00A83FF4"/>
    <w:rsid w:val="00A93E4A"/>
    <w:rsid w:val="00A95C70"/>
    <w:rsid w:val="00A960F1"/>
    <w:rsid w:val="00A96202"/>
    <w:rsid w:val="00A966F5"/>
    <w:rsid w:val="00AA1DB6"/>
    <w:rsid w:val="00AB2105"/>
    <w:rsid w:val="00AB26C9"/>
    <w:rsid w:val="00AC3036"/>
    <w:rsid w:val="00AC32E8"/>
    <w:rsid w:val="00AC55E9"/>
    <w:rsid w:val="00AC58DC"/>
    <w:rsid w:val="00AC58E9"/>
    <w:rsid w:val="00AD21BD"/>
    <w:rsid w:val="00AD26F2"/>
    <w:rsid w:val="00AD563E"/>
    <w:rsid w:val="00AD625D"/>
    <w:rsid w:val="00AE0824"/>
    <w:rsid w:val="00AE3B5E"/>
    <w:rsid w:val="00AE6598"/>
    <w:rsid w:val="00AE6867"/>
    <w:rsid w:val="00AF4071"/>
    <w:rsid w:val="00AF53B9"/>
    <w:rsid w:val="00AF70A0"/>
    <w:rsid w:val="00AF76AC"/>
    <w:rsid w:val="00B02098"/>
    <w:rsid w:val="00B02949"/>
    <w:rsid w:val="00B02E39"/>
    <w:rsid w:val="00B03C3F"/>
    <w:rsid w:val="00B05E34"/>
    <w:rsid w:val="00B06065"/>
    <w:rsid w:val="00B073C8"/>
    <w:rsid w:val="00B10089"/>
    <w:rsid w:val="00B207CF"/>
    <w:rsid w:val="00B339CE"/>
    <w:rsid w:val="00B4237C"/>
    <w:rsid w:val="00B42A75"/>
    <w:rsid w:val="00B4499A"/>
    <w:rsid w:val="00B46560"/>
    <w:rsid w:val="00B50D8E"/>
    <w:rsid w:val="00B527B8"/>
    <w:rsid w:val="00B562F3"/>
    <w:rsid w:val="00B653D7"/>
    <w:rsid w:val="00B6585B"/>
    <w:rsid w:val="00B67451"/>
    <w:rsid w:val="00B7303C"/>
    <w:rsid w:val="00B744E0"/>
    <w:rsid w:val="00B76D4F"/>
    <w:rsid w:val="00B77F07"/>
    <w:rsid w:val="00B828F6"/>
    <w:rsid w:val="00B84787"/>
    <w:rsid w:val="00B87124"/>
    <w:rsid w:val="00B90B01"/>
    <w:rsid w:val="00B943EA"/>
    <w:rsid w:val="00B948A8"/>
    <w:rsid w:val="00B96EA5"/>
    <w:rsid w:val="00B97002"/>
    <w:rsid w:val="00BA2CAF"/>
    <w:rsid w:val="00BA773B"/>
    <w:rsid w:val="00BB0819"/>
    <w:rsid w:val="00BB088A"/>
    <w:rsid w:val="00BB5212"/>
    <w:rsid w:val="00BC40BE"/>
    <w:rsid w:val="00BC69AA"/>
    <w:rsid w:val="00BD1995"/>
    <w:rsid w:val="00BD2B7A"/>
    <w:rsid w:val="00BD3339"/>
    <w:rsid w:val="00BD4411"/>
    <w:rsid w:val="00BD4EC1"/>
    <w:rsid w:val="00BD7336"/>
    <w:rsid w:val="00BE0D4F"/>
    <w:rsid w:val="00BE72AD"/>
    <w:rsid w:val="00BE72CE"/>
    <w:rsid w:val="00BF2786"/>
    <w:rsid w:val="00BF479F"/>
    <w:rsid w:val="00BF4934"/>
    <w:rsid w:val="00BF4E3C"/>
    <w:rsid w:val="00C0186C"/>
    <w:rsid w:val="00C02623"/>
    <w:rsid w:val="00C02657"/>
    <w:rsid w:val="00C10074"/>
    <w:rsid w:val="00C1140D"/>
    <w:rsid w:val="00C11CD3"/>
    <w:rsid w:val="00C128D3"/>
    <w:rsid w:val="00C16D2C"/>
    <w:rsid w:val="00C179F6"/>
    <w:rsid w:val="00C30282"/>
    <w:rsid w:val="00C321AD"/>
    <w:rsid w:val="00C34664"/>
    <w:rsid w:val="00C36A7B"/>
    <w:rsid w:val="00C4413C"/>
    <w:rsid w:val="00C441C3"/>
    <w:rsid w:val="00C446C3"/>
    <w:rsid w:val="00C45DDE"/>
    <w:rsid w:val="00C4693E"/>
    <w:rsid w:val="00C5083F"/>
    <w:rsid w:val="00C51F5C"/>
    <w:rsid w:val="00C539D8"/>
    <w:rsid w:val="00C55B60"/>
    <w:rsid w:val="00C63992"/>
    <w:rsid w:val="00C64995"/>
    <w:rsid w:val="00C711BD"/>
    <w:rsid w:val="00C7199D"/>
    <w:rsid w:val="00C73B9F"/>
    <w:rsid w:val="00C74498"/>
    <w:rsid w:val="00C80818"/>
    <w:rsid w:val="00C90DEE"/>
    <w:rsid w:val="00C93461"/>
    <w:rsid w:val="00C95870"/>
    <w:rsid w:val="00CA7885"/>
    <w:rsid w:val="00CC0239"/>
    <w:rsid w:val="00CC393E"/>
    <w:rsid w:val="00CC3DB4"/>
    <w:rsid w:val="00CC4527"/>
    <w:rsid w:val="00CC458A"/>
    <w:rsid w:val="00CC7746"/>
    <w:rsid w:val="00CD1F0F"/>
    <w:rsid w:val="00CD244F"/>
    <w:rsid w:val="00CD5C23"/>
    <w:rsid w:val="00CD70E8"/>
    <w:rsid w:val="00CE3ADF"/>
    <w:rsid w:val="00CE45EA"/>
    <w:rsid w:val="00CE4E1B"/>
    <w:rsid w:val="00CF0F2B"/>
    <w:rsid w:val="00CF6E30"/>
    <w:rsid w:val="00CF740D"/>
    <w:rsid w:val="00D011BC"/>
    <w:rsid w:val="00D031EA"/>
    <w:rsid w:val="00D05845"/>
    <w:rsid w:val="00D05C7E"/>
    <w:rsid w:val="00D0676B"/>
    <w:rsid w:val="00D072A6"/>
    <w:rsid w:val="00D07FE8"/>
    <w:rsid w:val="00D1089E"/>
    <w:rsid w:val="00D11846"/>
    <w:rsid w:val="00D1525A"/>
    <w:rsid w:val="00D1573E"/>
    <w:rsid w:val="00D17296"/>
    <w:rsid w:val="00D17890"/>
    <w:rsid w:val="00D253CA"/>
    <w:rsid w:val="00D2611A"/>
    <w:rsid w:val="00D305FB"/>
    <w:rsid w:val="00D31A04"/>
    <w:rsid w:val="00D32949"/>
    <w:rsid w:val="00D32C18"/>
    <w:rsid w:val="00D3672A"/>
    <w:rsid w:val="00D37465"/>
    <w:rsid w:val="00D37BB6"/>
    <w:rsid w:val="00D41F06"/>
    <w:rsid w:val="00D42F2B"/>
    <w:rsid w:val="00D5176D"/>
    <w:rsid w:val="00D52426"/>
    <w:rsid w:val="00D53ADA"/>
    <w:rsid w:val="00D63E36"/>
    <w:rsid w:val="00D647EC"/>
    <w:rsid w:val="00D64F12"/>
    <w:rsid w:val="00D6625A"/>
    <w:rsid w:val="00D71869"/>
    <w:rsid w:val="00D74172"/>
    <w:rsid w:val="00D75F27"/>
    <w:rsid w:val="00D808D4"/>
    <w:rsid w:val="00D82708"/>
    <w:rsid w:val="00D9137D"/>
    <w:rsid w:val="00D940A8"/>
    <w:rsid w:val="00D95E7C"/>
    <w:rsid w:val="00D97796"/>
    <w:rsid w:val="00D97EF0"/>
    <w:rsid w:val="00DA0A95"/>
    <w:rsid w:val="00DA3F29"/>
    <w:rsid w:val="00DA5001"/>
    <w:rsid w:val="00DA52C9"/>
    <w:rsid w:val="00DA7AE6"/>
    <w:rsid w:val="00DB0815"/>
    <w:rsid w:val="00DB7890"/>
    <w:rsid w:val="00DC076E"/>
    <w:rsid w:val="00DC113F"/>
    <w:rsid w:val="00DC4608"/>
    <w:rsid w:val="00DC6830"/>
    <w:rsid w:val="00DD7E27"/>
    <w:rsid w:val="00DE07C7"/>
    <w:rsid w:val="00DE6BF4"/>
    <w:rsid w:val="00DF74A7"/>
    <w:rsid w:val="00DF7DE1"/>
    <w:rsid w:val="00E016AA"/>
    <w:rsid w:val="00E029B5"/>
    <w:rsid w:val="00E06329"/>
    <w:rsid w:val="00E103B1"/>
    <w:rsid w:val="00E1290E"/>
    <w:rsid w:val="00E147A0"/>
    <w:rsid w:val="00E17C1C"/>
    <w:rsid w:val="00E2108F"/>
    <w:rsid w:val="00E22AA4"/>
    <w:rsid w:val="00E2324F"/>
    <w:rsid w:val="00E23926"/>
    <w:rsid w:val="00E30D48"/>
    <w:rsid w:val="00E32EC7"/>
    <w:rsid w:val="00E3445F"/>
    <w:rsid w:val="00E34C7C"/>
    <w:rsid w:val="00E4730A"/>
    <w:rsid w:val="00E50FBD"/>
    <w:rsid w:val="00E53943"/>
    <w:rsid w:val="00E55161"/>
    <w:rsid w:val="00E60669"/>
    <w:rsid w:val="00E6386B"/>
    <w:rsid w:val="00E67BF0"/>
    <w:rsid w:val="00E7058D"/>
    <w:rsid w:val="00E72611"/>
    <w:rsid w:val="00E7354D"/>
    <w:rsid w:val="00E757C1"/>
    <w:rsid w:val="00E77809"/>
    <w:rsid w:val="00E80402"/>
    <w:rsid w:val="00E81A02"/>
    <w:rsid w:val="00E86A7A"/>
    <w:rsid w:val="00E87206"/>
    <w:rsid w:val="00E93EB3"/>
    <w:rsid w:val="00E97CB8"/>
    <w:rsid w:val="00EA607F"/>
    <w:rsid w:val="00EA73C4"/>
    <w:rsid w:val="00EB0424"/>
    <w:rsid w:val="00EB0AD4"/>
    <w:rsid w:val="00EB497E"/>
    <w:rsid w:val="00EB564B"/>
    <w:rsid w:val="00EC2F36"/>
    <w:rsid w:val="00EC34E1"/>
    <w:rsid w:val="00EC382A"/>
    <w:rsid w:val="00EC4E33"/>
    <w:rsid w:val="00EC5EBA"/>
    <w:rsid w:val="00ED37C0"/>
    <w:rsid w:val="00ED739C"/>
    <w:rsid w:val="00EE1D5F"/>
    <w:rsid w:val="00EE3B53"/>
    <w:rsid w:val="00EE4EF0"/>
    <w:rsid w:val="00EE59C5"/>
    <w:rsid w:val="00EF4D0F"/>
    <w:rsid w:val="00EF60D6"/>
    <w:rsid w:val="00EF73C8"/>
    <w:rsid w:val="00F025F3"/>
    <w:rsid w:val="00F03736"/>
    <w:rsid w:val="00F074D6"/>
    <w:rsid w:val="00F1057F"/>
    <w:rsid w:val="00F115BB"/>
    <w:rsid w:val="00F11623"/>
    <w:rsid w:val="00F116E3"/>
    <w:rsid w:val="00F11D4C"/>
    <w:rsid w:val="00F1297D"/>
    <w:rsid w:val="00F1299B"/>
    <w:rsid w:val="00F14444"/>
    <w:rsid w:val="00F179B6"/>
    <w:rsid w:val="00F17C87"/>
    <w:rsid w:val="00F209D4"/>
    <w:rsid w:val="00F21803"/>
    <w:rsid w:val="00F2499E"/>
    <w:rsid w:val="00F25C92"/>
    <w:rsid w:val="00F2676D"/>
    <w:rsid w:val="00F30CE4"/>
    <w:rsid w:val="00F33678"/>
    <w:rsid w:val="00F35B41"/>
    <w:rsid w:val="00F40F1C"/>
    <w:rsid w:val="00F412E7"/>
    <w:rsid w:val="00F43AB6"/>
    <w:rsid w:val="00F447B7"/>
    <w:rsid w:val="00F44C47"/>
    <w:rsid w:val="00F53127"/>
    <w:rsid w:val="00F53F17"/>
    <w:rsid w:val="00F56EB5"/>
    <w:rsid w:val="00F60D35"/>
    <w:rsid w:val="00F65B10"/>
    <w:rsid w:val="00F672F9"/>
    <w:rsid w:val="00F70464"/>
    <w:rsid w:val="00F770D4"/>
    <w:rsid w:val="00F800CD"/>
    <w:rsid w:val="00F833AB"/>
    <w:rsid w:val="00F83C34"/>
    <w:rsid w:val="00F91B0D"/>
    <w:rsid w:val="00F93EEF"/>
    <w:rsid w:val="00F97816"/>
    <w:rsid w:val="00FA230D"/>
    <w:rsid w:val="00FA421F"/>
    <w:rsid w:val="00FA6390"/>
    <w:rsid w:val="00FA68DA"/>
    <w:rsid w:val="00FB0D9A"/>
    <w:rsid w:val="00FB2856"/>
    <w:rsid w:val="00FB30FC"/>
    <w:rsid w:val="00FB7C91"/>
    <w:rsid w:val="00FC0753"/>
    <w:rsid w:val="00FC3545"/>
    <w:rsid w:val="00FC7C7D"/>
    <w:rsid w:val="00FD401B"/>
    <w:rsid w:val="00FD7705"/>
    <w:rsid w:val="00FE1BB6"/>
    <w:rsid w:val="00FE2901"/>
    <w:rsid w:val="00FE2ADE"/>
    <w:rsid w:val="00FE5269"/>
    <w:rsid w:val="00FE7044"/>
    <w:rsid w:val="00FF0562"/>
    <w:rsid w:val="040C3B6D"/>
    <w:rsid w:val="051242DF"/>
    <w:rsid w:val="071A149F"/>
    <w:rsid w:val="089D526D"/>
    <w:rsid w:val="0BCC0882"/>
    <w:rsid w:val="0E29683E"/>
    <w:rsid w:val="12794F66"/>
    <w:rsid w:val="134C51F9"/>
    <w:rsid w:val="15B915CB"/>
    <w:rsid w:val="16C95277"/>
    <w:rsid w:val="19230CC1"/>
    <w:rsid w:val="1B034C10"/>
    <w:rsid w:val="1B5F29C1"/>
    <w:rsid w:val="1E9272EE"/>
    <w:rsid w:val="22133F32"/>
    <w:rsid w:val="22C5455D"/>
    <w:rsid w:val="25775DC5"/>
    <w:rsid w:val="26591245"/>
    <w:rsid w:val="270E647B"/>
    <w:rsid w:val="276A3AAF"/>
    <w:rsid w:val="2A6B450E"/>
    <w:rsid w:val="2D9F397D"/>
    <w:rsid w:val="2EBF6305"/>
    <w:rsid w:val="30AB49E0"/>
    <w:rsid w:val="38031C73"/>
    <w:rsid w:val="3BE60A72"/>
    <w:rsid w:val="3F6F1739"/>
    <w:rsid w:val="402E3E7D"/>
    <w:rsid w:val="453639C5"/>
    <w:rsid w:val="462E7189"/>
    <w:rsid w:val="4D0005C3"/>
    <w:rsid w:val="4DC604D3"/>
    <w:rsid w:val="552B5989"/>
    <w:rsid w:val="55DE6F93"/>
    <w:rsid w:val="57726588"/>
    <w:rsid w:val="5927555A"/>
    <w:rsid w:val="5A8B5169"/>
    <w:rsid w:val="61480C3A"/>
    <w:rsid w:val="619F3D4D"/>
    <w:rsid w:val="623B0B63"/>
    <w:rsid w:val="640572B0"/>
    <w:rsid w:val="690E2385"/>
    <w:rsid w:val="6CB63617"/>
    <w:rsid w:val="719175F5"/>
    <w:rsid w:val="72C51DC1"/>
    <w:rsid w:val="75D05F8A"/>
    <w:rsid w:val="79715721"/>
    <w:rsid w:val="7CDB38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2"/>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4"/>
    <w:qFormat/>
    <w:uiPriority w:val="0"/>
    <w:pPr>
      <w:keepNext/>
      <w:spacing w:line="400" w:lineRule="exact"/>
      <w:jc w:val="center"/>
      <w:outlineLvl w:val="1"/>
    </w:pPr>
    <w:rPr>
      <w:sz w:val="28"/>
    </w:rPr>
  </w:style>
  <w:style w:type="paragraph" w:styleId="5">
    <w:name w:val="heading 3"/>
    <w:basedOn w:val="1"/>
    <w:next w:val="1"/>
    <w:link w:val="55"/>
    <w:qFormat/>
    <w:uiPriority w:val="0"/>
    <w:pPr>
      <w:keepNext/>
      <w:keepLines/>
      <w:spacing w:before="260" w:after="260" w:line="416" w:lineRule="auto"/>
      <w:outlineLvl w:val="2"/>
    </w:pPr>
    <w:rPr>
      <w:b/>
      <w:bCs/>
      <w:sz w:val="32"/>
      <w:szCs w:val="32"/>
    </w:rPr>
  </w:style>
  <w:style w:type="paragraph" w:styleId="6">
    <w:name w:val="heading 4"/>
    <w:basedOn w:val="1"/>
    <w:next w:val="1"/>
    <w:link w:val="56"/>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paragraph" w:styleId="8">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qFormat/>
    <w:uiPriority w:val="0"/>
    <w:pPr>
      <w:keepNext/>
      <w:keepLines/>
      <w:spacing w:before="240" w:after="64" w:line="320" w:lineRule="auto"/>
      <w:outlineLvl w:val="6"/>
    </w:pPr>
    <w:rPr>
      <w:b/>
      <w:bCs/>
      <w:sz w:val="24"/>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1"/>
    <w:qFormat/>
    <w:uiPriority w:val="0"/>
    <w:rPr>
      <w:rFonts w:eastAsia="仿宋_GB2312"/>
      <w:sz w:val="28"/>
      <w:szCs w:val="20"/>
    </w:rPr>
  </w:style>
  <w:style w:type="paragraph" w:styleId="10">
    <w:name w:val="List 3"/>
    <w:basedOn w:val="1"/>
    <w:next w:val="1"/>
    <w:qFormat/>
    <w:uiPriority w:val="0"/>
    <w:pPr>
      <w:ind w:left="100" w:leftChars="400" w:hanging="200" w:hangingChars="200"/>
    </w:pPr>
  </w:style>
  <w:style w:type="paragraph" w:styleId="11">
    <w:name w:val="Normal Indent"/>
    <w:basedOn w:val="1"/>
    <w:next w:val="1"/>
    <w:link w:val="84"/>
    <w:qFormat/>
    <w:uiPriority w:val="0"/>
    <w:pPr>
      <w:spacing w:line="360" w:lineRule="auto"/>
      <w:ind w:firstLine="420" w:firstLineChars="200"/>
    </w:pPr>
    <w:rPr>
      <w:sz w:val="24"/>
    </w:rPr>
  </w:style>
  <w:style w:type="paragraph" w:styleId="12">
    <w:name w:val="caption"/>
    <w:basedOn w:val="1"/>
    <w:next w:val="1"/>
    <w:qFormat/>
    <w:uiPriority w:val="0"/>
    <w:pPr>
      <w:keepNext/>
      <w:spacing w:line="360" w:lineRule="auto"/>
      <w:jc w:val="center"/>
    </w:pPr>
    <w:rPr>
      <w:rFonts w:ascii="黑体" w:hAnsi="宋体" w:eastAsia="黑体"/>
      <w:sz w:val="24"/>
      <w:szCs w:val="20"/>
    </w:rPr>
  </w:style>
  <w:style w:type="paragraph" w:styleId="13">
    <w:name w:val="Document Map"/>
    <w:basedOn w:val="1"/>
    <w:qFormat/>
    <w:uiPriority w:val="0"/>
    <w:pPr>
      <w:shd w:val="clear" w:color="auto" w:fill="000080"/>
    </w:pPr>
  </w:style>
  <w:style w:type="paragraph" w:styleId="14">
    <w:name w:val="annotation text"/>
    <w:basedOn w:val="1"/>
    <w:next w:val="1"/>
    <w:link w:val="109"/>
    <w:qFormat/>
    <w:uiPriority w:val="99"/>
    <w:pPr>
      <w:jc w:val="left"/>
    </w:pPr>
  </w:style>
  <w:style w:type="paragraph" w:styleId="15">
    <w:name w:val="Body Text 3"/>
    <w:basedOn w:val="1"/>
    <w:qFormat/>
    <w:uiPriority w:val="0"/>
    <w:pPr>
      <w:spacing w:after="120"/>
    </w:pPr>
    <w:rPr>
      <w:sz w:val="16"/>
      <w:szCs w:val="16"/>
    </w:rPr>
  </w:style>
  <w:style w:type="paragraph" w:styleId="16">
    <w:name w:val="Body Text Indent"/>
    <w:basedOn w:val="1"/>
    <w:next w:val="1"/>
    <w:qFormat/>
    <w:uiPriority w:val="0"/>
    <w:pPr>
      <w:snapToGrid w:val="0"/>
      <w:spacing w:line="360" w:lineRule="auto"/>
      <w:ind w:firstLine="573"/>
    </w:pPr>
    <w:rPr>
      <w:spacing w:val="20"/>
      <w:sz w:val="28"/>
      <w:szCs w:val="20"/>
    </w:rPr>
  </w:style>
  <w:style w:type="paragraph" w:styleId="17">
    <w:name w:val="List 2"/>
    <w:basedOn w:val="1"/>
    <w:qFormat/>
    <w:uiPriority w:val="0"/>
    <w:pPr>
      <w:ind w:left="100" w:leftChars="200" w:hanging="200" w:hangingChars="200"/>
    </w:pPr>
  </w:style>
  <w:style w:type="paragraph" w:styleId="18">
    <w:name w:val="Block Text"/>
    <w:basedOn w:val="1"/>
    <w:qFormat/>
    <w:uiPriority w:val="0"/>
    <w:pPr>
      <w:snapToGrid w:val="0"/>
      <w:spacing w:before="180" w:line="380" w:lineRule="atLeast"/>
      <w:ind w:left="142" w:right="170" w:firstLine="476"/>
    </w:pPr>
    <w:rPr>
      <w:sz w:val="24"/>
      <w:szCs w:val="20"/>
    </w:rPr>
  </w:style>
  <w:style w:type="paragraph" w:styleId="19">
    <w:name w:val="List Bullet 2"/>
    <w:basedOn w:val="1"/>
    <w:qFormat/>
    <w:uiPriority w:val="0"/>
    <w:pPr>
      <w:tabs>
        <w:tab w:val="left" w:pos="780"/>
      </w:tabs>
      <w:ind w:left="780" w:leftChars="200" w:hanging="360" w:hangingChars="200"/>
    </w:pPr>
  </w:style>
  <w:style w:type="paragraph" w:styleId="20">
    <w:name w:val="toc 5"/>
    <w:basedOn w:val="1"/>
    <w:next w:val="1"/>
    <w:qFormat/>
    <w:uiPriority w:val="0"/>
    <w:pPr>
      <w:ind w:left="1680"/>
    </w:pPr>
  </w:style>
  <w:style w:type="paragraph" w:styleId="21">
    <w:name w:val="toc 3"/>
    <w:basedOn w:val="1"/>
    <w:next w:val="1"/>
    <w:qFormat/>
    <w:uiPriority w:val="0"/>
    <w:pPr>
      <w:ind w:left="840" w:leftChars="400"/>
    </w:pPr>
  </w:style>
  <w:style w:type="paragraph" w:styleId="22">
    <w:name w:val="Plain Text"/>
    <w:basedOn w:val="1"/>
    <w:next w:val="23"/>
    <w:link w:val="60"/>
    <w:qFormat/>
    <w:uiPriority w:val="99"/>
    <w:rPr>
      <w:rFonts w:ascii="宋体" w:hAnsi="Courier New"/>
      <w:szCs w:val="20"/>
    </w:rPr>
  </w:style>
  <w:style w:type="paragraph" w:styleId="23">
    <w:name w:val="toc 1"/>
    <w:basedOn w:val="1"/>
    <w:next w:val="1"/>
    <w:qFormat/>
    <w:uiPriority w:val="0"/>
  </w:style>
  <w:style w:type="paragraph" w:styleId="24">
    <w:name w:val="Date"/>
    <w:basedOn w:val="1"/>
    <w:next w:val="1"/>
    <w:qFormat/>
    <w:uiPriority w:val="0"/>
    <w:pPr>
      <w:ind w:left="100" w:leftChars="2500"/>
    </w:pPr>
  </w:style>
  <w:style w:type="paragraph" w:styleId="25">
    <w:name w:val="Body Text Indent 2"/>
    <w:basedOn w:val="1"/>
    <w:link w:val="59"/>
    <w:qFormat/>
    <w:uiPriority w:val="0"/>
    <w:pPr>
      <w:spacing w:line="300" w:lineRule="auto"/>
      <w:ind w:firstLine="570"/>
    </w:pPr>
    <w:rPr>
      <w:sz w:val="28"/>
      <w:szCs w:val="20"/>
    </w:rPr>
  </w:style>
  <w:style w:type="paragraph" w:styleId="26">
    <w:name w:val="Balloon Text"/>
    <w:basedOn w:val="1"/>
    <w:link w:val="88"/>
    <w:qFormat/>
    <w:uiPriority w:val="0"/>
    <w:rPr>
      <w:sz w:val="18"/>
      <w:szCs w:val="18"/>
    </w:rPr>
  </w:style>
  <w:style w:type="paragraph" w:styleId="27">
    <w:name w:val="footer"/>
    <w:basedOn w:val="1"/>
    <w:link w:val="62"/>
    <w:qFormat/>
    <w:uiPriority w:val="99"/>
    <w:pPr>
      <w:tabs>
        <w:tab w:val="center" w:pos="4153"/>
        <w:tab w:val="right" w:pos="8306"/>
      </w:tabs>
      <w:snapToGrid w:val="0"/>
      <w:jc w:val="left"/>
    </w:pPr>
    <w:rPr>
      <w:sz w:val="18"/>
      <w:szCs w:val="20"/>
    </w:rPr>
  </w:style>
  <w:style w:type="paragraph" w:styleId="28">
    <w:name w:val="header"/>
    <w:basedOn w:val="1"/>
    <w:link w:val="67"/>
    <w:qFormat/>
    <w:uiPriority w:val="99"/>
    <w:pPr>
      <w:pBdr>
        <w:bottom w:val="single" w:color="auto" w:sz="6" w:space="1"/>
      </w:pBdr>
      <w:tabs>
        <w:tab w:val="center" w:pos="4153"/>
        <w:tab w:val="right" w:pos="8306"/>
      </w:tabs>
      <w:snapToGrid w:val="0"/>
      <w:jc w:val="center"/>
    </w:pPr>
    <w:rPr>
      <w:sz w:val="18"/>
      <w:szCs w:val="18"/>
    </w:rPr>
  </w:style>
  <w:style w:type="paragraph" w:styleId="29">
    <w:name w:val="Subtitle"/>
    <w:basedOn w:val="1"/>
    <w:next w:val="1"/>
    <w:link w:val="169"/>
    <w:qFormat/>
    <w:uiPriority w:val="99"/>
    <w:pPr>
      <w:spacing w:line="312" w:lineRule="auto"/>
      <w:jc w:val="center"/>
      <w:outlineLvl w:val="1"/>
    </w:pPr>
    <w:rPr>
      <w:b/>
      <w:bCs/>
      <w:kern w:val="28"/>
      <w:sz w:val="24"/>
    </w:rPr>
  </w:style>
  <w:style w:type="paragraph" w:styleId="30">
    <w:name w:val="List"/>
    <w:basedOn w:val="1"/>
    <w:qFormat/>
    <w:uiPriority w:val="0"/>
    <w:pPr>
      <w:ind w:left="200" w:hanging="200" w:hangingChars="200"/>
    </w:pPr>
  </w:style>
  <w:style w:type="paragraph" w:styleId="31">
    <w:name w:val="Body Text Indent 3"/>
    <w:basedOn w:val="1"/>
    <w:link w:val="105"/>
    <w:qFormat/>
    <w:uiPriority w:val="0"/>
    <w:pPr>
      <w:snapToGrid w:val="0"/>
      <w:spacing w:line="480" w:lineRule="exact"/>
      <w:ind w:firstLine="535" w:firstLineChars="191"/>
    </w:pPr>
    <w:rPr>
      <w:sz w:val="28"/>
    </w:rPr>
  </w:style>
  <w:style w:type="paragraph" w:styleId="32">
    <w:name w:val="toc 2"/>
    <w:basedOn w:val="1"/>
    <w:next w:val="1"/>
    <w:qFormat/>
    <w:uiPriority w:val="0"/>
    <w:pPr>
      <w:ind w:left="420" w:leftChars="200"/>
    </w:pPr>
  </w:style>
  <w:style w:type="paragraph" w:styleId="33">
    <w:name w:val="Body Text 2"/>
    <w:basedOn w:val="1"/>
    <w:link w:val="106"/>
    <w:qFormat/>
    <w:uiPriority w:val="0"/>
    <w:pPr>
      <w:snapToGrid w:val="0"/>
      <w:spacing w:line="400" w:lineRule="atLeast"/>
    </w:pPr>
    <w:rPr>
      <w:sz w:val="24"/>
      <w:szCs w:val="20"/>
    </w:rPr>
  </w:style>
  <w:style w:type="paragraph" w:styleId="34">
    <w:name w:val="HTML Preformatted"/>
    <w:basedOn w:val="1"/>
    <w:link w:val="10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35">
    <w:name w:val="Normal (Web)"/>
    <w:basedOn w:val="1"/>
    <w:next w:val="1"/>
    <w:link w:val="146"/>
    <w:qFormat/>
    <w:uiPriority w:val="99"/>
    <w:pPr>
      <w:widowControl/>
      <w:spacing w:before="100" w:beforeAutospacing="1" w:after="100" w:afterAutospacing="1"/>
      <w:jc w:val="left"/>
    </w:pPr>
    <w:rPr>
      <w:rFonts w:ascii="宋体" w:hAnsi="宋体"/>
      <w:kern w:val="0"/>
      <w:sz w:val="24"/>
    </w:rPr>
  </w:style>
  <w:style w:type="paragraph" w:styleId="36">
    <w:name w:val="Title"/>
    <w:basedOn w:val="1"/>
    <w:next w:val="1"/>
    <w:qFormat/>
    <w:uiPriority w:val="0"/>
    <w:pPr>
      <w:pageBreakBefore/>
      <w:tabs>
        <w:tab w:val="left" w:pos="6480"/>
      </w:tabs>
      <w:autoSpaceDN w:val="0"/>
      <w:jc w:val="left"/>
      <w:textAlignment w:val="baseline"/>
      <w:outlineLvl w:val="0"/>
    </w:pPr>
    <w:rPr>
      <w:b/>
      <w:snapToGrid w:val="0"/>
      <w:szCs w:val="28"/>
      <w:lang w:val="eu-ES"/>
    </w:rPr>
  </w:style>
  <w:style w:type="paragraph" w:styleId="37">
    <w:name w:val="annotation subject"/>
    <w:basedOn w:val="14"/>
    <w:next w:val="14"/>
    <w:link w:val="110"/>
    <w:qFormat/>
    <w:uiPriority w:val="0"/>
    <w:rPr>
      <w:b/>
      <w:bCs/>
    </w:rPr>
  </w:style>
  <w:style w:type="paragraph" w:styleId="38">
    <w:name w:val="Body Text First Indent"/>
    <w:basedOn w:val="2"/>
    <w:qFormat/>
    <w:uiPriority w:val="0"/>
    <w:pPr>
      <w:spacing w:after="120"/>
      <w:ind w:firstLine="420" w:firstLineChars="100"/>
    </w:pPr>
    <w:rPr>
      <w:rFonts w:eastAsia="宋体"/>
      <w:sz w:val="21"/>
      <w:szCs w:val="24"/>
    </w:rPr>
  </w:style>
  <w:style w:type="paragraph" w:styleId="39">
    <w:name w:val="Body Text First Indent 2"/>
    <w:basedOn w:val="16"/>
    <w:next w:val="1"/>
    <w:qFormat/>
    <w:uiPriority w:val="0"/>
    <w:pPr>
      <w:snapToGrid/>
      <w:spacing w:after="120" w:line="240" w:lineRule="auto"/>
      <w:ind w:left="420" w:leftChars="200" w:firstLine="420" w:firstLineChars="200"/>
    </w:pPr>
    <w:rPr>
      <w:spacing w:val="0"/>
      <w:sz w:val="21"/>
      <w:szCs w:val="24"/>
    </w:rPr>
  </w:style>
  <w:style w:type="table" w:styleId="41">
    <w:name w:val="Table Grid"/>
    <w:basedOn w:val="4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basedOn w:val="42"/>
    <w:qFormat/>
    <w:uiPriority w:val="22"/>
    <w:rPr>
      <w:b/>
      <w:bCs/>
    </w:rPr>
  </w:style>
  <w:style w:type="character" w:styleId="44">
    <w:name w:val="page number"/>
    <w:basedOn w:val="42"/>
    <w:qFormat/>
    <w:uiPriority w:val="0"/>
  </w:style>
  <w:style w:type="character" w:styleId="45">
    <w:name w:val="FollowedHyperlink"/>
    <w:qFormat/>
    <w:uiPriority w:val="99"/>
    <w:rPr>
      <w:color w:val="800080"/>
      <w:sz w:val="28"/>
      <w:szCs w:val="24"/>
      <w:u w:val="single"/>
    </w:rPr>
  </w:style>
  <w:style w:type="character" w:styleId="46">
    <w:name w:val="Emphasis"/>
    <w:qFormat/>
    <w:uiPriority w:val="0"/>
    <w:rPr>
      <w:color w:val="CC0000"/>
    </w:rPr>
  </w:style>
  <w:style w:type="character" w:styleId="47">
    <w:name w:val="Hyperlink"/>
    <w:qFormat/>
    <w:uiPriority w:val="0"/>
    <w:rPr>
      <w:color w:val="0000FF"/>
      <w:u w:val="single"/>
    </w:rPr>
  </w:style>
  <w:style w:type="character" w:styleId="48">
    <w:name w:val="annotation reference"/>
    <w:basedOn w:val="42"/>
    <w:qFormat/>
    <w:uiPriority w:val="0"/>
    <w:rPr>
      <w:sz w:val="21"/>
      <w:szCs w:val="21"/>
    </w:rPr>
  </w:style>
  <w:style w:type="paragraph" w:customStyle="1" w:styleId="49">
    <w:name w:val="Default"/>
    <w:basedOn w:val="50"/>
    <w:next w:val="1"/>
    <w:link w:val="170"/>
    <w:qFormat/>
    <w:uiPriority w:val="0"/>
    <w:pPr>
      <w:autoSpaceDE w:val="0"/>
      <w:autoSpaceDN w:val="0"/>
    </w:pPr>
    <w:rPr>
      <w:rFonts w:hAnsi="Times New Roman"/>
      <w:color w:val="000000"/>
      <w:sz w:val="24"/>
      <w:szCs w:val="24"/>
    </w:rPr>
  </w:style>
  <w:style w:type="paragraph" w:customStyle="1" w:styleId="50">
    <w:name w:val="纯文本1"/>
    <w:basedOn w:val="1"/>
    <w:next w:val="22"/>
    <w:qFormat/>
    <w:uiPriority w:val="0"/>
    <w:pPr>
      <w:adjustRightInd w:val="0"/>
    </w:pPr>
    <w:rPr>
      <w:rFonts w:ascii="宋体" w:hAnsi="Courier New"/>
      <w:szCs w:val="20"/>
    </w:rPr>
  </w:style>
  <w:style w:type="paragraph" w:customStyle="1" w:styleId="51">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52">
    <w:name w:val="标题 1 字符"/>
    <w:link w:val="3"/>
    <w:qFormat/>
    <w:uiPriority w:val="0"/>
    <w:rPr>
      <w:rFonts w:eastAsia="宋体"/>
      <w:b/>
      <w:bCs/>
      <w:kern w:val="44"/>
      <w:sz w:val="44"/>
      <w:szCs w:val="44"/>
      <w:lang w:val="en-US" w:eastAsia="zh-CN" w:bidi="ar-SA"/>
    </w:rPr>
  </w:style>
  <w:style w:type="paragraph" w:customStyle="1" w:styleId="53">
    <w:name w:val="Char Char Char Char Char Char Char Char Char Char Char Char1 Char"/>
    <w:basedOn w:val="1"/>
    <w:qFormat/>
    <w:uiPriority w:val="0"/>
    <w:pPr>
      <w:spacing w:line="360" w:lineRule="auto"/>
      <w:ind w:firstLine="200" w:firstLineChars="200"/>
    </w:pPr>
    <w:rPr>
      <w:sz w:val="24"/>
      <w:szCs w:val="20"/>
    </w:rPr>
  </w:style>
  <w:style w:type="character" w:customStyle="1" w:styleId="54">
    <w:name w:val="标题 2 字符"/>
    <w:link w:val="4"/>
    <w:qFormat/>
    <w:uiPriority w:val="0"/>
    <w:rPr>
      <w:rFonts w:eastAsia="宋体"/>
      <w:kern w:val="2"/>
      <w:sz w:val="28"/>
      <w:szCs w:val="24"/>
      <w:lang w:val="en-US" w:eastAsia="zh-CN" w:bidi="ar-SA"/>
    </w:rPr>
  </w:style>
  <w:style w:type="character" w:customStyle="1" w:styleId="55">
    <w:name w:val="标题 3 字符"/>
    <w:link w:val="5"/>
    <w:qFormat/>
    <w:uiPriority w:val="0"/>
    <w:rPr>
      <w:rFonts w:eastAsia="宋体"/>
      <w:b/>
      <w:bCs/>
      <w:kern w:val="2"/>
      <w:sz w:val="32"/>
      <w:szCs w:val="32"/>
      <w:lang w:val="en-US" w:eastAsia="zh-CN" w:bidi="ar-SA"/>
    </w:rPr>
  </w:style>
  <w:style w:type="character" w:customStyle="1" w:styleId="56">
    <w:name w:val="标题 4 字符"/>
    <w:link w:val="6"/>
    <w:qFormat/>
    <w:uiPriority w:val="0"/>
    <w:rPr>
      <w:rFonts w:ascii="Arial" w:hAnsi="Arial" w:eastAsia="黑体"/>
      <w:b/>
      <w:bCs/>
      <w:kern w:val="2"/>
      <w:sz w:val="28"/>
      <w:szCs w:val="28"/>
      <w:lang w:val="en-US" w:eastAsia="zh-CN" w:bidi="ar-SA"/>
    </w:rPr>
  </w:style>
  <w:style w:type="paragraph" w:customStyle="1" w:styleId="57">
    <w:name w:val="样式1"/>
    <w:basedOn w:val="1"/>
    <w:link w:val="58"/>
    <w:qFormat/>
    <w:uiPriority w:val="0"/>
    <w:rPr>
      <w:sz w:val="28"/>
      <w:szCs w:val="20"/>
    </w:rPr>
  </w:style>
  <w:style w:type="character" w:customStyle="1" w:styleId="58">
    <w:name w:val="样式1 Char"/>
    <w:link w:val="57"/>
    <w:qFormat/>
    <w:uiPriority w:val="0"/>
    <w:rPr>
      <w:rFonts w:eastAsia="宋体"/>
      <w:kern w:val="2"/>
      <w:sz w:val="28"/>
      <w:lang w:val="en-US" w:eastAsia="zh-CN" w:bidi="ar-SA"/>
    </w:rPr>
  </w:style>
  <w:style w:type="character" w:customStyle="1" w:styleId="59">
    <w:name w:val="正文文本缩进 2 字符"/>
    <w:link w:val="25"/>
    <w:qFormat/>
    <w:uiPriority w:val="0"/>
    <w:rPr>
      <w:rFonts w:eastAsia="宋体"/>
      <w:kern w:val="2"/>
      <w:sz w:val="28"/>
      <w:lang w:val="en-US" w:eastAsia="zh-CN" w:bidi="ar-SA"/>
    </w:rPr>
  </w:style>
  <w:style w:type="character" w:customStyle="1" w:styleId="60">
    <w:name w:val="纯文本 字符"/>
    <w:link w:val="22"/>
    <w:qFormat/>
    <w:uiPriority w:val="0"/>
    <w:rPr>
      <w:rFonts w:ascii="宋体" w:hAnsi="Courier New" w:eastAsia="宋体"/>
      <w:kern w:val="2"/>
      <w:sz w:val="21"/>
      <w:lang w:val="en-US" w:eastAsia="zh-CN" w:bidi="ar-SA"/>
    </w:rPr>
  </w:style>
  <w:style w:type="character" w:customStyle="1" w:styleId="61">
    <w:name w:val="正文文本 字符"/>
    <w:link w:val="2"/>
    <w:qFormat/>
    <w:uiPriority w:val="0"/>
    <w:rPr>
      <w:rFonts w:eastAsia="仿宋_GB2312"/>
      <w:kern w:val="2"/>
      <w:sz w:val="28"/>
      <w:lang w:val="en-US" w:eastAsia="zh-CN" w:bidi="ar-SA"/>
    </w:rPr>
  </w:style>
  <w:style w:type="character" w:customStyle="1" w:styleId="62">
    <w:name w:val="页脚 字符"/>
    <w:link w:val="27"/>
    <w:qFormat/>
    <w:uiPriority w:val="99"/>
    <w:rPr>
      <w:rFonts w:eastAsia="宋体"/>
      <w:kern w:val="2"/>
      <w:sz w:val="18"/>
      <w:lang w:val="en-US" w:eastAsia="zh-CN" w:bidi="ar-SA"/>
    </w:rPr>
  </w:style>
  <w:style w:type="paragraph" w:customStyle="1" w:styleId="6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kern w:val="0"/>
      <w:szCs w:val="21"/>
    </w:rPr>
  </w:style>
  <w:style w:type="character" w:customStyle="1" w:styleId="64">
    <w:name w:val="line1"/>
    <w:basedOn w:val="42"/>
    <w:qFormat/>
    <w:uiPriority w:val="0"/>
  </w:style>
  <w:style w:type="paragraph" w:customStyle="1" w:styleId="65">
    <w:name w:val="Char Char Char1 Char"/>
    <w:basedOn w:val="1"/>
    <w:qFormat/>
    <w:uiPriority w:val="0"/>
    <w:pPr>
      <w:adjustRightInd w:val="0"/>
      <w:spacing w:line="360" w:lineRule="auto"/>
    </w:pPr>
    <w:rPr>
      <w:kern w:val="0"/>
      <w:sz w:val="24"/>
      <w:szCs w:val="20"/>
    </w:rPr>
  </w:style>
  <w:style w:type="paragraph" w:customStyle="1" w:styleId="66">
    <w:name w:val="Char1"/>
    <w:basedOn w:val="1"/>
    <w:qFormat/>
    <w:uiPriority w:val="0"/>
    <w:rPr>
      <w:szCs w:val="20"/>
    </w:rPr>
  </w:style>
  <w:style w:type="character" w:customStyle="1" w:styleId="67">
    <w:name w:val="页眉 字符"/>
    <w:link w:val="28"/>
    <w:qFormat/>
    <w:uiPriority w:val="99"/>
    <w:rPr>
      <w:rFonts w:eastAsia="宋体"/>
      <w:kern w:val="2"/>
      <w:sz w:val="18"/>
      <w:szCs w:val="18"/>
      <w:lang w:val="en-US" w:eastAsia="zh-CN" w:bidi="ar-SA"/>
    </w:rPr>
  </w:style>
  <w:style w:type="paragraph" w:customStyle="1" w:styleId="68">
    <w:name w:val="标题4"/>
    <w:basedOn w:val="1"/>
    <w:qFormat/>
    <w:uiPriority w:val="0"/>
    <w:pPr>
      <w:keepNext/>
      <w:adjustRightInd w:val="0"/>
      <w:spacing w:before="60" w:line="394" w:lineRule="atLeast"/>
      <w:textAlignment w:val="baseline"/>
    </w:pPr>
    <w:rPr>
      <w:rFonts w:ascii="宋体"/>
      <w:b/>
      <w:kern w:val="0"/>
      <w:sz w:val="28"/>
      <w:szCs w:val="20"/>
    </w:rPr>
  </w:style>
  <w:style w:type="paragraph" w:customStyle="1" w:styleId="69">
    <w:name w:val="表标题"/>
    <w:basedOn w:val="1"/>
    <w:link w:val="111"/>
    <w:qFormat/>
    <w:uiPriority w:val="0"/>
    <w:pPr>
      <w:adjustRightInd w:val="0"/>
      <w:spacing w:before="60" w:line="394" w:lineRule="atLeast"/>
      <w:jc w:val="center"/>
      <w:textAlignment w:val="baseline"/>
    </w:pPr>
    <w:rPr>
      <w:rFonts w:ascii="宋体"/>
      <w:b/>
      <w:kern w:val="0"/>
      <w:sz w:val="24"/>
      <w:szCs w:val="20"/>
    </w:rPr>
  </w:style>
  <w:style w:type="paragraph" w:customStyle="1" w:styleId="70">
    <w:name w:val="表格1"/>
    <w:basedOn w:val="1"/>
    <w:link w:val="112"/>
    <w:qFormat/>
    <w:uiPriority w:val="0"/>
    <w:pPr>
      <w:adjustRightInd w:val="0"/>
      <w:spacing w:line="20" w:lineRule="atLeast"/>
      <w:jc w:val="center"/>
      <w:textAlignment w:val="center"/>
    </w:pPr>
    <w:rPr>
      <w:rFonts w:ascii="宋体"/>
      <w:kern w:val="0"/>
      <w:szCs w:val="20"/>
    </w:rPr>
  </w:style>
  <w:style w:type="paragraph" w:customStyle="1" w:styleId="71">
    <w:name w:val="xl28"/>
    <w:basedOn w:val="1"/>
    <w:qFormat/>
    <w:uiPriority w:val="0"/>
    <w:pPr>
      <w:widowControl/>
      <w:pBdr>
        <w:bottom w:val="single" w:color="auto" w:sz="4" w:space="0"/>
        <w:right w:val="single" w:color="auto" w:sz="4" w:space="0"/>
      </w:pBdr>
      <w:spacing w:before="100" w:after="100"/>
      <w:jc w:val="center"/>
    </w:pPr>
    <w:rPr>
      <w:rFonts w:eastAsia="Arial Unicode MS"/>
      <w:kern w:val="0"/>
      <w:szCs w:val="20"/>
    </w:rPr>
  </w:style>
  <w:style w:type="paragraph" w:customStyle="1" w:styleId="72">
    <w:name w:val="表格"/>
    <w:next w:val="1"/>
    <w:link w:val="73"/>
    <w:qFormat/>
    <w:uiPriority w:val="0"/>
    <w:pPr>
      <w:adjustRightInd w:val="0"/>
      <w:snapToGrid w:val="0"/>
      <w:spacing w:line="320" w:lineRule="exact"/>
      <w:jc w:val="center"/>
    </w:pPr>
    <w:rPr>
      <w:rFonts w:ascii="Times New Roman" w:hAnsi="Times New Roman" w:eastAsia="黑体" w:cs="Times New Roman"/>
      <w:spacing w:val="-10"/>
      <w:sz w:val="21"/>
      <w:lang w:val="en-US" w:eastAsia="zh-CN" w:bidi="ar-SA"/>
    </w:rPr>
  </w:style>
  <w:style w:type="character" w:customStyle="1" w:styleId="73">
    <w:name w:val="表格 Char"/>
    <w:link w:val="72"/>
    <w:qFormat/>
    <w:uiPriority w:val="0"/>
    <w:rPr>
      <w:rFonts w:eastAsia="黑体"/>
      <w:spacing w:val="-10"/>
      <w:sz w:val="21"/>
      <w:lang w:bidi="ar-SA"/>
    </w:rPr>
  </w:style>
  <w:style w:type="paragraph" w:customStyle="1" w:styleId="74">
    <w:name w:val="简单回函地址"/>
    <w:basedOn w:val="1"/>
    <w:qFormat/>
    <w:uiPriority w:val="0"/>
  </w:style>
  <w:style w:type="paragraph" w:customStyle="1" w:styleId="75">
    <w:name w:val="表格 3"/>
    <w:basedOn w:val="1"/>
    <w:qFormat/>
    <w:uiPriority w:val="0"/>
    <w:pPr>
      <w:autoSpaceDE w:val="0"/>
      <w:autoSpaceDN w:val="0"/>
      <w:adjustRightInd w:val="0"/>
      <w:snapToGrid w:val="0"/>
      <w:spacing w:line="269" w:lineRule="auto"/>
      <w:ind w:right="-53" w:rightChars="-22" w:firstLine="420" w:firstLineChars="200"/>
    </w:pPr>
    <w:rPr>
      <w:bCs/>
      <w:iCs/>
      <w:snapToGrid w:val="0"/>
      <w:kern w:val="0"/>
      <w:szCs w:val="21"/>
    </w:rPr>
  </w:style>
  <w:style w:type="paragraph" w:customStyle="1" w:styleId="76">
    <w:name w:val="Char Char Char Char Char Char Char Char Char Char Char Char Char"/>
    <w:basedOn w:val="13"/>
    <w:qFormat/>
    <w:uiPriority w:val="0"/>
    <w:rPr>
      <w:rFonts w:ascii="Tahoma" w:hAnsi="Tahoma"/>
      <w:sz w:val="24"/>
      <w:szCs w:val="20"/>
    </w:rPr>
  </w:style>
  <w:style w:type="paragraph" w:customStyle="1" w:styleId="77">
    <w:name w:val="默认段落字体 Para Char Char Char Char"/>
    <w:basedOn w:val="1"/>
    <w:qFormat/>
    <w:uiPriority w:val="0"/>
  </w:style>
  <w:style w:type="paragraph" w:customStyle="1" w:styleId="78">
    <w:name w:val="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79">
    <w:name w:val="表格 32"/>
    <w:basedOn w:val="1"/>
    <w:link w:val="80"/>
    <w:qFormat/>
    <w:uiPriority w:val="0"/>
    <w:pPr>
      <w:autoSpaceDE w:val="0"/>
      <w:autoSpaceDN w:val="0"/>
      <w:adjustRightInd w:val="0"/>
      <w:jc w:val="center"/>
      <w:textAlignment w:val="baseline"/>
    </w:pPr>
    <w:rPr>
      <w:rFonts w:ascii="宋体" w:hAnsi="Impact"/>
      <w:kern w:val="24"/>
      <w:sz w:val="24"/>
      <w:szCs w:val="20"/>
    </w:rPr>
  </w:style>
  <w:style w:type="character" w:customStyle="1" w:styleId="80">
    <w:name w:val="表格 32 Char"/>
    <w:link w:val="79"/>
    <w:qFormat/>
    <w:uiPriority w:val="0"/>
    <w:rPr>
      <w:rFonts w:ascii="宋体" w:hAnsi="Impact" w:eastAsia="宋体"/>
      <w:kern w:val="24"/>
      <w:sz w:val="24"/>
      <w:lang w:val="en-US" w:eastAsia="zh-CN" w:bidi="ar-SA"/>
    </w:rPr>
  </w:style>
  <w:style w:type="paragraph" w:customStyle="1" w:styleId="81">
    <w:name w:val="中大表格内容"/>
    <w:basedOn w:val="1"/>
    <w:link w:val="82"/>
    <w:qFormat/>
    <w:uiPriority w:val="0"/>
    <w:pPr>
      <w:autoSpaceDE w:val="0"/>
      <w:autoSpaceDN w:val="0"/>
      <w:adjustRightInd w:val="0"/>
      <w:jc w:val="center"/>
    </w:pPr>
    <w:rPr>
      <w:rFonts w:ascii="宋体" w:hAnsi="宋体"/>
      <w:kern w:val="0"/>
      <w:szCs w:val="21"/>
      <w:lang w:val="zh-CN"/>
    </w:rPr>
  </w:style>
  <w:style w:type="character" w:customStyle="1" w:styleId="82">
    <w:name w:val="中大表格内容 Char"/>
    <w:link w:val="81"/>
    <w:qFormat/>
    <w:uiPriority w:val="0"/>
    <w:rPr>
      <w:rFonts w:ascii="宋体" w:hAnsi="宋体" w:eastAsia="宋体"/>
      <w:sz w:val="21"/>
      <w:szCs w:val="21"/>
      <w:lang w:val="zh-CN" w:bidi="ar-SA"/>
    </w:rPr>
  </w:style>
  <w:style w:type="paragraph" w:customStyle="1" w:styleId="83">
    <w:name w:val="图标题"/>
    <w:basedOn w:val="1"/>
    <w:next w:val="1"/>
    <w:qFormat/>
    <w:uiPriority w:val="0"/>
    <w:pPr>
      <w:keepNext/>
      <w:widowControl/>
      <w:autoSpaceDE w:val="0"/>
      <w:autoSpaceDN w:val="0"/>
      <w:adjustRightInd w:val="0"/>
      <w:spacing w:before="60" w:after="120" w:line="400" w:lineRule="atLeast"/>
      <w:jc w:val="center"/>
      <w:textAlignment w:val="baseline"/>
    </w:pPr>
    <w:rPr>
      <w:b/>
      <w:spacing w:val="2"/>
      <w:kern w:val="0"/>
      <w:sz w:val="24"/>
      <w:szCs w:val="20"/>
    </w:rPr>
  </w:style>
  <w:style w:type="character" w:customStyle="1" w:styleId="84">
    <w:name w:val="正文缩进 字符"/>
    <w:link w:val="11"/>
    <w:qFormat/>
    <w:uiPriority w:val="0"/>
    <w:rPr>
      <w:rFonts w:eastAsia="宋体"/>
      <w:kern w:val="2"/>
      <w:sz w:val="24"/>
      <w:szCs w:val="24"/>
      <w:lang w:val="en-US" w:eastAsia="zh-CN" w:bidi="ar-SA"/>
    </w:rPr>
  </w:style>
  <w:style w:type="paragraph" w:customStyle="1" w:styleId="85">
    <w:name w:val="Char Char Char Char Char Char1 Char"/>
    <w:basedOn w:val="1"/>
    <w:qFormat/>
    <w:uiPriority w:val="0"/>
    <w:pPr>
      <w:spacing w:line="360" w:lineRule="auto"/>
    </w:pPr>
    <w:rPr>
      <w:sz w:val="24"/>
    </w:rPr>
  </w:style>
  <w:style w:type="paragraph" w:customStyle="1" w:styleId="86">
    <w:name w:val="表1表2"/>
    <w:basedOn w:val="1"/>
    <w:qFormat/>
    <w:uiPriority w:val="0"/>
    <w:pPr>
      <w:autoSpaceDE w:val="0"/>
      <w:autoSpaceDN w:val="0"/>
      <w:adjustRightInd w:val="0"/>
      <w:jc w:val="center"/>
      <w:textAlignment w:val="center"/>
    </w:pPr>
    <w:rPr>
      <w:rFonts w:eastAsia="仿宋体"/>
      <w:kern w:val="0"/>
      <w:sz w:val="24"/>
      <w:szCs w:val="20"/>
    </w:rPr>
  </w:style>
  <w:style w:type="paragraph" w:customStyle="1" w:styleId="87">
    <w:name w:val="表格 23"/>
    <w:basedOn w:val="1"/>
    <w:qFormat/>
    <w:uiPriority w:val="0"/>
    <w:pPr>
      <w:autoSpaceDE w:val="0"/>
      <w:autoSpaceDN w:val="0"/>
      <w:adjustRightInd w:val="0"/>
      <w:jc w:val="center"/>
      <w:textAlignment w:val="baseline"/>
    </w:pPr>
    <w:rPr>
      <w:rFonts w:eastAsia="仿宋体"/>
      <w:kern w:val="0"/>
      <w:szCs w:val="20"/>
    </w:rPr>
  </w:style>
  <w:style w:type="character" w:customStyle="1" w:styleId="88">
    <w:name w:val="批注框文本 字符"/>
    <w:link w:val="26"/>
    <w:qFormat/>
    <w:uiPriority w:val="0"/>
    <w:rPr>
      <w:rFonts w:eastAsia="宋体"/>
      <w:kern w:val="2"/>
      <w:sz w:val="18"/>
      <w:szCs w:val="18"/>
      <w:lang w:val="en-US" w:eastAsia="zh-CN" w:bidi="ar-SA"/>
    </w:rPr>
  </w:style>
  <w:style w:type="paragraph" w:customStyle="1" w:styleId="89">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90">
    <w:name w:val="Char Char Char Char Char Char Char"/>
    <w:basedOn w:val="1"/>
    <w:qFormat/>
    <w:uiPriority w:val="0"/>
    <w:rPr>
      <w:sz w:val="24"/>
      <w:szCs w:val="20"/>
    </w:rPr>
  </w:style>
  <w:style w:type="character" w:customStyle="1" w:styleId="91">
    <w:name w:val="标题 1 Char1"/>
    <w:qFormat/>
    <w:uiPriority w:val="0"/>
    <w:rPr>
      <w:rFonts w:ascii="Times New Roman" w:hAnsi="Times New Roman" w:eastAsia="黑体" w:cs="Times New Roman"/>
      <w:b/>
      <w:kern w:val="44"/>
      <w:sz w:val="44"/>
      <w:szCs w:val="20"/>
    </w:rPr>
  </w:style>
  <w:style w:type="paragraph" w:customStyle="1" w:styleId="92">
    <w:name w:val="p0"/>
    <w:basedOn w:val="1"/>
    <w:qFormat/>
    <w:uiPriority w:val="0"/>
    <w:pPr>
      <w:widowControl/>
      <w:jc w:val="left"/>
    </w:pPr>
    <w:rPr>
      <w:rFonts w:ascii="Arial" w:hAnsi="Arial" w:cs="Arial"/>
      <w:kern w:val="0"/>
      <w:sz w:val="24"/>
    </w:rPr>
  </w:style>
  <w:style w:type="paragraph" w:styleId="93">
    <w:name w:val="List Paragraph"/>
    <w:basedOn w:val="1"/>
    <w:qFormat/>
    <w:uiPriority w:val="34"/>
    <w:pPr>
      <w:ind w:firstLine="420" w:firstLineChars="200"/>
    </w:pPr>
  </w:style>
  <w:style w:type="paragraph" w:customStyle="1" w:styleId="94">
    <w:name w:val="中大表格标题"/>
    <w:basedOn w:val="1"/>
    <w:link w:val="95"/>
    <w:qFormat/>
    <w:uiPriority w:val="0"/>
    <w:pPr>
      <w:spacing w:beforeLines="50"/>
      <w:jc w:val="center"/>
    </w:pPr>
    <w:rPr>
      <w:b/>
      <w:bCs/>
      <w:sz w:val="24"/>
      <w:szCs w:val="20"/>
    </w:rPr>
  </w:style>
  <w:style w:type="character" w:customStyle="1" w:styleId="95">
    <w:name w:val="中大表格标题 Char"/>
    <w:link w:val="94"/>
    <w:qFormat/>
    <w:uiPriority w:val="0"/>
    <w:rPr>
      <w:rFonts w:eastAsia="宋体"/>
      <w:b/>
      <w:bCs/>
      <w:kern w:val="2"/>
      <w:sz w:val="24"/>
      <w:lang w:bidi="ar-SA"/>
    </w:rPr>
  </w:style>
  <w:style w:type="paragraph" w:customStyle="1" w:styleId="96">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97">
    <w:name w:val="表注解"/>
    <w:basedOn w:val="1"/>
    <w:next w:val="1"/>
    <w:qFormat/>
    <w:uiPriority w:val="0"/>
    <w:pPr>
      <w:widowControl/>
      <w:adjustRightInd w:val="0"/>
      <w:snapToGrid w:val="0"/>
    </w:pPr>
    <w:rPr>
      <w:b/>
      <w:snapToGrid w:val="0"/>
      <w:kern w:val="0"/>
      <w:sz w:val="18"/>
    </w:rPr>
  </w:style>
  <w:style w:type="paragraph" w:customStyle="1" w:styleId="98">
    <w:name w:val="表头及表尾"/>
    <w:qFormat/>
    <w:uiPriority w:val="0"/>
    <w:pPr>
      <w:tabs>
        <w:tab w:val="center" w:pos="4200"/>
        <w:tab w:val="right" w:pos="8400"/>
      </w:tabs>
      <w:adjustRightInd w:val="0"/>
      <w:snapToGrid w:val="0"/>
    </w:pPr>
    <w:rPr>
      <w:rFonts w:ascii="Times New Roman" w:hAnsi="Times New Roman" w:eastAsia="宋体" w:cs="Times New Roman"/>
      <w:b/>
      <w:snapToGrid w:val="0"/>
      <w:sz w:val="21"/>
      <w:szCs w:val="21"/>
      <w:lang w:val="en-US" w:eastAsia="zh-CN" w:bidi="ar-SA"/>
    </w:rPr>
  </w:style>
  <w:style w:type="paragraph" w:customStyle="1" w:styleId="99">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character" w:customStyle="1" w:styleId="100">
    <w:name w:val="HTML 预设格式 字符"/>
    <w:link w:val="34"/>
    <w:qFormat/>
    <w:uiPriority w:val="99"/>
    <w:rPr>
      <w:rFonts w:ascii="Arial" w:hAnsi="Arial" w:cs="Courier New"/>
      <w:sz w:val="24"/>
      <w:szCs w:val="24"/>
    </w:rPr>
  </w:style>
  <w:style w:type="character" w:customStyle="1" w:styleId="101">
    <w:name w:val="font11"/>
    <w:qFormat/>
    <w:uiPriority w:val="0"/>
    <w:rPr>
      <w:rFonts w:hint="eastAsia" w:ascii="宋体" w:hAnsi="宋体" w:eastAsia="宋体" w:cs="宋体"/>
      <w:b/>
      <w:color w:val="000000"/>
      <w:sz w:val="21"/>
      <w:szCs w:val="21"/>
      <w:u w:val="none"/>
    </w:rPr>
  </w:style>
  <w:style w:type="character" w:customStyle="1" w:styleId="102">
    <w:name w:val="font31"/>
    <w:qFormat/>
    <w:uiPriority w:val="0"/>
    <w:rPr>
      <w:rFonts w:hint="default" w:ascii="Times New Roman" w:hAnsi="Times New Roman" w:cs="Times New Roman"/>
      <w:b/>
      <w:color w:val="000000"/>
      <w:sz w:val="21"/>
      <w:szCs w:val="21"/>
      <w:u w:val="none"/>
      <w:vertAlign w:val="subscript"/>
    </w:rPr>
  </w:style>
  <w:style w:type="character" w:customStyle="1" w:styleId="103">
    <w:name w:val="textfont1"/>
    <w:qFormat/>
    <w:uiPriority w:val="0"/>
    <w:rPr>
      <w:rFonts w:hint="default"/>
      <w:color w:val="000000"/>
      <w:sz w:val="22"/>
      <w:szCs w:val="22"/>
    </w:rPr>
  </w:style>
  <w:style w:type="character" w:customStyle="1" w:styleId="104">
    <w:name w:val="文本条款 Char"/>
    <w:qFormat/>
    <w:uiPriority w:val="0"/>
    <w:rPr>
      <w:rFonts w:eastAsia="宋体"/>
      <w:kern w:val="2"/>
      <w:sz w:val="24"/>
      <w:szCs w:val="24"/>
      <w:lang w:val="en-US" w:eastAsia="zh-CN" w:bidi="ar-SA"/>
    </w:rPr>
  </w:style>
  <w:style w:type="character" w:customStyle="1" w:styleId="105">
    <w:name w:val="正文文本缩进 3 字符"/>
    <w:link w:val="31"/>
    <w:qFormat/>
    <w:uiPriority w:val="0"/>
    <w:rPr>
      <w:kern w:val="2"/>
      <w:sz w:val="28"/>
      <w:szCs w:val="24"/>
    </w:rPr>
  </w:style>
  <w:style w:type="character" w:customStyle="1" w:styleId="106">
    <w:name w:val="正文文本 2 字符"/>
    <w:link w:val="33"/>
    <w:qFormat/>
    <w:uiPriority w:val="0"/>
    <w:rPr>
      <w:kern w:val="2"/>
      <w:sz w:val="24"/>
    </w:rPr>
  </w:style>
  <w:style w:type="character" w:customStyle="1" w:styleId="107">
    <w:name w:val="纯文本 Char2"/>
    <w:qFormat/>
    <w:uiPriority w:val="0"/>
    <w:rPr>
      <w:rFonts w:ascii="宋体" w:hAnsi="Courier New" w:eastAsia="宋体"/>
      <w:kern w:val="2"/>
      <w:sz w:val="21"/>
      <w:lang w:val="en-US" w:eastAsia="zh-CN" w:bidi="ar-SA"/>
    </w:rPr>
  </w:style>
  <w:style w:type="character" w:customStyle="1" w:styleId="108">
    <w:name w:val="Char Char Char Char Char"/>
    <w:qFormat/>
    <w:uiPriority w:val="0"/>
    <w:rPr>
      <w:rFonts w:eastAsia="宋体"/>
      <w:kern w:val="2"/>
      <w:sz w:val="24"/>
      <w:szCs w:val="24"/>
      <w:lang w:val="en-US" w:eastAsia="zh-CN" w:bidi="ar-SA"/>
    </w:rPr>
  </w:style>
  <w:style w:type="character" w:customStyle="1" w:styleId="109">
    <w:name w:val="批注文字 字符"/>
    <w:link w:val="14"/>
    <w:qFormat/>
    <w:uiPriority w:val="99"/>
    <w:rPr>
      <w:kern w:val="2"/>
      <w:sz w:val="21"/>
      <w:szCs w:val="24"/>
    </w:rPr>
  </w:style>
  <w:style w:type="character" w:customStyle="1" w:styleId="110">
    <w:name w:val="批注主题 字符"/>
    <w:link w:val="37"/>
    <w:qFormat/>
    <w:uiPriority w:val="0"/>
    <w:rPr>
      <w:b/>
      <w:bCs/>
      <w:kern w:val="2"/>
      <w:sz w:val="21"/>
      <w:szCs w:val="24"/>
    </w:rPr>
  </w:style>
  <w:style w:type="character" w:customStyle="1" w:styleId="111">
    <w:name w:val="表标题 Char"/>
    <w:link w:val="69"/>
    <w:qFormat/>
    <w:uiPriority w:val="0"/>
    <w:rPr>
      <w:rFonts w:ascii="宋体"/>
      <w:b/>
      <w:sz w:val="24"/>
    </w:rPr>
  </w:style>
  <w:style w:type="character" w:customStyle="1" w:styleId="112">
    <w:name w:val="表格1 Char1"/>
    <w:link w:val="70"/>
    <w:qFormat/>
    <w:uiPriority w:val="0"/>
    <w:rPr>
      <w:rFonts w:ascii="宋体"/>
      <w:sz w:val="21"/>
    </w:rPr>
  </w:style>
  <w:style w:type="paragraph" w:customStyle="1" w:styleId="113">
    <w:name w:val="表格文字"/>
    <w:next w:val="1"/>
    <w:qFormat/>
    <w:uiPriority w:val="0"/>
    <w:pPr>
      <w:adjustRightInd w:val="0"/>
      <w:snapToGrid w:val="0"/>
      <w:jc w:val="center"/>
    </w:pPr>
    <w:rPr>
      <w:rFonts w:ascii="Times New Roman" w:hAnsi="Times New Roman" w:eastAsia="宋体" w:cs="Times New Roman"/>
      <w:sz w:val="21"/>
      <w:lang w:val="en-US" w:eastAsia="zh-CN" w:bidi="ar-SA"/>
    </w:rPr>
  </w:style>
  <w:style w:type="character" w:customStyle="1" w:styleId="114">
    <w:name w:val="样式1 Char Char"/>
    <w:basedOn w:val="42"/>
    <w:qFormat/>
    <w:uiPriority w:val="0"/>
    <w:rPr>
      <w:rFonts w:ascii="Calibri" w:hAnsi="Calibri" w:eastAsia="宋体" w:cs="黑体"/>
      <w:sz w:val="28"/>
    </w:rPr>
  </w:style>
  <w:style w:type="paragraph" w:customStyle="1" w:styleId="115">
    <w:name w:val="hj-正文"/>
    <w:basedOn w:val="1"/>
    <w:link w:val="116"/>
    <w:qFormat/>
    <w:uiPriority w:val="0"/>
    <w:pPr>
      <w:spacing w:line="360" w:lineRule="auto"/>
      <w:ind w:firstLine="480" w:firstLineChars="200"/>
    </w:pPr>
    <w:rPr>
      <w:sz w:val="24"/>
      <w:szCs w:val="20"/>
    </w:rPr>
  </w:style>
  <w:style w:type="character" w:customStyle="1" w:styleId="116">
    <w:name w:val="hj-正文 Char"/>
    <w:link w:val="115"/>
    <w:qFormat/>
    <w:uiPriority w:val="0"/>
    <w:rPr>
      <w:kern w:val="2"/>
      <w:sz w:val="24"/>
    </w:rPr>
  </w:style>
  <w:style w:type="character" w:customStyle="1" w:styleId="117">
    <w:name w:val="表格 Char Char"/>
    <w:qFormat/>
    <w:uiPriority w:val="0"/>
    <w:rPr>
      <w:rFonts w:eastAsia="黑体"/>
      <w:spacing w:val="-10"/>
      <w:sz w:val="21"/>
      <w:lang w:bidi="ar-SA"/>
    </w:rPr>
  </w:style>
  <w:style w:type="character" w:customStyle="1" w:styleId="118">
    <w:name w:val="正 文 Char Char"/>
    <w:link w:val="119"/>
    <w:qFormat/>
    <w:uiPriority w:val="0"/>
    <w:rPr>
      <w:rFonts w:eastAsia="Times New Roman"/>
      <w:sz w:val="24"/>
      <w:lang w:val="en-US" w:eastAsia="zh-CN" w:bidi="ar-SA"/>
    </w:rPr>
  </w:style>
  <w:style w:type="paragraph" w:customStyle="1" w:styleId="119">
    <w:name w:val="正 文"/>
    <w:link w:val="118"/>
    <w:qFormat/>
    <w:uiPriority w:val="0"/>
    <w:pPr>
      <w:widowControl w:val="0"/>
      <w:spacing w:line="480" w:lineRule="exact"/>
      <w:ind w:firstLine="471"/>
      <w:jc w:val="both"/>
    </w:pPr>
    <w:rPr>
      <w:rFonts w:ascii="Times New Roman" w:hAnsi="Times New Roman" w:eastAsia="Times New Roman" w:cs="Times New Roman"/>
      <w:sz w:val="24"/>
      <w:lang w:val="en-US" w:eastAsia="zh-CN" w:bidi="ar-SA"/>
    </w:rPr>
  </w:style>
  <w:style w:type="character" w:customStyle="1" w:styleId="120">
    <w:name w:val="description"/>
    <w:basedOn w:val="42"/>
    <w:qFormat/>
    <w:uiPriority w:val="0"/>
  </w:style>
  <w:style w:type="character" w:customStyle="1" w:styleId="121">
    <w:name w:val="fontstyle01"/>
    <w:basedOn w:val="42"/>
    <w:qFormat/>
    <w:uiPriority w:val="0"/>
    <w:rPr>
      <w:rFonts w:hint="eastAsia" w:ascii="宋体" w:hAnsi="宋体" w:eastAsia="宋体"/>
      <w:color w:val="000000"/>
      <w:sz w:val="24"/>
      <w:szCs w:val="24"/>
    </w:rPr>
  </w:style>
  <w:style w:type="character" w:customStyle="1" w:styleId="122">
    <w:name w:val="fontstyle21"/>
    <w:basedOn w:val="42"/>
    <w:qFormat/>
    <w:uiPriority w:val="0"/>
    <w:rPr>
      <w:rFonts w:hint="default" w:ascii="TimesNewRoman" w:hAnsi="TimesNewRoman"/>
      <w:color w:val="000000"/>
      <w:sz w:val="24"/>
      <w:szCs w:val="24"/>
    </w:rPr>
  </w:style>
  <w:style w:type="paragraph" w:customStyle="1" w:styleId="123">
    <w:name w:val="hj正文"/>
    <w:basedOn w:val="1"/>
    <w:link w:val="124"/>
    <w:qFormat/>
    <w:uiPriority w:val="0"/>
    <w:pPr>
      <w:spacing w:line="360" w:lineRule="auto"/>
      <w:ind w:firstLine="480" w:firstLineChars="200"/>
    </w:pPr>
    <w:rPr>
      <w:sz w:val="24"/>
      <w:szCs w:val="20"/>
    </w:rPr>
  </w:style>
  <w:style w:type="character" w:customStyle="1" w:styleId="124">
    <w:name w:val="hj正文 Char"/>
    <w:link w:val="123"/>
    <w:qFormat/>
    <w:uiPriority w:val="0"/>
    <w:rPr>
      <w:kern w:val="2"/>
      <w:sz w:val="24"/>
    </w:rPr>
  </w:style>
  <w:style w:type="character" w:customStyle="1" w:styleId="125">
    <w:name w:val="apple-converted-space"/>
    <w:basedOn w:val="42"/>
    <w:qFormat/>
    <w:uiPriority w:val="0"/>
  </w:style>
  <w:style w:type="paragraph" w:customStyle="1" w:styleId="126">
    <w:name w:val="表 内容"/>
    <w:basedOn w:val="1"/>
    <w:qFormat/>
    <w:uiPriority w:val="0"/>
    <w:pPr>
      <w:jc w:val="center"/>
    </w:pPr>
    <w:rPr>
      <w:rFonts w:hAnsi="宋体"/>
      <w:szCs w:val="20"/>
    </w:rPr>
  </w:style>
  <w:style w:type="paragraph" w:customStyle="1" w:styleId="127">
    <w:name w:val="普通(网站)1"/>
    <w:basedOn w:val="1"/>
    <w:qFormat/>
    <w:uiPriority w:val="0"/>
    <w:pPr>
      <w:widowControl/>
      <w:spacing w:before="100" w:beforeAutospacing="1" w:after="100" w:afterAutospacing="1"/>
      <w:jc w:val="left"/>
    </w:pPr>
    <w:rPr>
      <w:rFonts w:hint="eastAsia" w:ascii="宋体" w:hAnsi="宋体"/>
      <w:sz w:val="24"/>
      <w:szCs w:val="20"/>
    </w:rPr>
  </w:style>
  <w:style w:type="character" w:styleId="128">
    <w:name w:val="Placeholder Text"/>
    <w:basedOn w:val="42"/>
    <w:qFormat/>
    <w:uiPriority w:val="99"/>
    <w:rPr>
      <w:color w:val="808080"/>
    </w:rPr>
  </w:style>
  <w:style w:type="paragraph" w:customStyle="1" w:styleId="129">
    <w:name w:val="中心内容"/>
    <w:basedOn w:val="1"/>
    <w:link w:val="130"/>
    <w:qFormat/>
    <w:uiPriority w:val="0"/>
    <w:pPr>
      <w:spacing w:line="360" w:lineRule="auto"/>
      <w:ind w:firstLine="200" w:firstLineChars="200"/>
    </w:pPr>
    <w:rPr>
      <w:sz w:val="24"/>
    </w:rPr>
  </w:style>
  <w:style w:type="character" w:customStyle="1" w:styleId="130">
    <w:name w:val="中心内容 字符"/>
    <w:link w:val="129"/>
    <w:qFormat/>
    <w:uiPriority w:val="0"/>
    <w:rPr>
      <w:kern w:val="2"/>
      <w:sz w:val="24"/>
      <w:szCs w:val="24"/>
    </w:rPr>
  </w:style>
  <w:style w:type="character" w:customStyle="1" w:styleId="131">
    <w:name w:val="表格 字符"/>
    <w:qFormat/>
    <w:uiPriority w:val="0"/>
    <w:rPr>
      <w:kern w:val="2"/>
      <w:sz w:val="21"/>
      <w:szCs w:val="24"/>
    </w:rPr>
  </w:style>
  <w:style w:type="character" w:customStyle="1" w:styleId="132">
    <w:name w:val="0-表格文字 Char"/>
    <w:link w:val="133"/>
    <w:qFormat/>
    <w:uiPriority w:val="0"/>
    <w:rPr>
      <w:snapToGrid w:val="0"/>
      <w:color w:val="000000"/>
      <w:kern w:val="2"/>
      <w:sz w:val="21"/>
      <w:szCs w:val="22"/>
    </w:rPr>
  </w:style>
  <w:style w:type="paragraph" w:customStyle="1" w:styleId="133">
    <w:name w:val="0-表格文字"/>
    <w:basedOn w:val="1"/>
    <w:link w:val="132"/>
    <w:qFormat/>
    <w:uiPriority w:val="0"/>
    <w:pPr>
      <w:widowControl/>
      <w:wordWrap w:val="0"/>
      <w:overflowPunct w:val="0"/>
      <w:topLinePunct/>
      <w:adjustRightInd w:val="0"/>
      <w:snapToGrid w:val="0"/>
      <w:spacing w:line="312" w:lineRule="auto"/>
      <w:jc w:val="center"/>
    </w:pPr>
    <w:rPr>
      <w:snapToGrid w:val="0"/>
      <w:color w:val="000000"/>
      <w:szCs w:val="22"/>
    </w:rPr>
  </w:style>
  <w:style w:type="character" w:customStyle="1" w:styleId="134">
    <w:name w:val="表格 Char1"/>
    <w:qFormat/>
    <w:uiPriority w:val="0"/>
    <w:rPr>
      <w:kern w:val="2"/>
      <w:sz w:val="21"/>
      <w:szCs w:val="24"/>
    </w:rPr>
  </w:style>
  <w:style w:type="paragraph" w:customStyle="1" w:styleId="135">
    <w:name w:val="正文 + 宋体"/>
    <w:basedOn w:val="1"/>
    <w:qFormat/>
    <w:uiPriority w:val="0"/>
    <w:pPr>
      <w:adjustRightInd w:val="0"/>
      <w:snapToGrid w:val="0"/>
      <w:spacing w:line="400" w:lineRule="exact"/>
      <w:ind w:firstLine="480" w:firstLineChars="200"/>
      <w:textAlignment w:val="baseline"/>
    </w:pPr>
    <w:rPr>
      <w:color w:val="000000"/>
      <w:sz w:val="24"/>
    </w:rPr>
  </w:style>
  <w:style w:type="paragraph" w:customStyle="1" w:styleId="136">
    <w:name w:val="_Style 7"/>
    <w:basedOn w:val="1"/>
    <w:qFormat/>
    <w:uiPriority w:val="0"/>
    <w:pPr>
      <w:spacing w:line="360" w:lineRule="auto"/>
      <w:ind w:firstLine="200" w:firstLineChars="200"/>
    </w:pPr>
    <w:rPr>
      <w:rFonts w:cs="黑体"/>
      <w:sz w:val="24"/>
      <w:szCs w:val="22"/>
    </w:rPr>
  </w:style>
  <w:style w:type="character" w:customStyle="1" w:styleId="137">
    <w:name w:val="fontstyle11"/>
    <w:basedOn w:val="42"/>
    <w:qFormat/>
    <w:uiPriority w:val="0"/>
    <w:rPr>
      <w:rFonts w:hint="default" w:ascii="TimesNewRomanPSMT" w:hAnsi="TimesNewRomanPSMT"/>
      <w:color w:val="000000"/>
      <w:sz w:val="24"/>
      <w:szCs w:val="24"/>
    </w:rPr>
  </w:style>
  <w:style w:type="paragraph" w:customStyle="1" w:styleId="138">
    <w:name w:val="正文！"/>
    <w:basedOn w:val="1"/>
    <w:qFormat/>
    <w:uiPriority w:val="99"/>
    <w:pPr>
      <w:adjustRightInd w:val="0"/>
      <w:snapToGrid w:val="0"/>
      <w:spacing w:line="360" w:lineRule="auto"/>
      <w:ind w:firstLine="200" w:firstLineChars="200"/>
    </w:pPr>
    <w:rPr>
      <w:sz w:val="24"/>
      <w:szCs w:val="22"/>
    </w:rPr>
  </w:style>
  <w:style w:type="paragraph" w:customStyle="1" w:styleId="139">
    <w:name w:val="5报告文本"/>
    <w:qFormat/>
    <w:uiPriority w:val="0"/>
    <w:pPr>
      <w:widowControl w:val="0"/>
      <w:spacing w:line="324"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40">
    <w:name w:val="正文~"/>
    <w:basedOn w:val="1"/>
    <w:qFormat/>
    <w:uiPriority w:val="0"/>
    <w:pPr>
      <w:spacing w:line="360" w:lineRule="auto"/>
      <w:ind w:firstLine="177" w:firstLineChars="177"/>
    </w:pPr>
    <w:rPr>
      <w:sz w:val="24"/>
    </w:rPr>
  </w:style>
  <w:style w:type="paragraph" w:customStyle="1" w:styleId="141">
    <w:name w:val="图表标题"/>
    <w:basedOn w:val="1"/>
    <w:qFormat/>
    <w:uiPriority w:val="0"/>
    <w:pPr>
      <w:spacing w:before="160" w:after="160" w:line="440" w:lineRule="exact"/>
      <w:jc w:val="center"/>
    </w:pPr>
    <w:rPr>
      <w:b/>
      <w:sz w:val="28"/>
      <w:szCs w:val="20"/>
    </w:rPr>
  </w:style>
  <w:style w:type="character" w:customStyle="1" w:styleId="142">
    <w:name w:val="fontstyle31"/>
    <w:basedOn w:val="42"/>
    <w:qFormat/>
    <w:uiPriority w:val="0"/>
    <w:rPr>
      <w:rFonts w:hint="default" w:ascii="ArialMT" w:hAnsi="ArialMT"/>
      <w:color w:val="000000"/>
      <w:sz w:val="24"/>
      <w:szCs w:val="24"/>
    </w:rPr>
  </w:style>
  <w:style w:type="paragraph" w:customStyle="1" w:styleId="143">
    <w:name w:val="附图"/>
    <w:basedOn w:val="1"/>
    <w:qFormat/>
    <w:uiPriority w:val="0"/>
    <w:pPr>
      <w:widowControl/>
      <w:ind w:left="431" w:hanging="431"/>
      <w:jc w:val="center"/>
      <w:outlineLvl w:val="0"/>
    </w:pPr>
    <w:rPr>
      <w:rFonts w:ascii="宋体" w:hAnsi="宋体" w:cs="宋体"/>
      <w:b/>
      <w:bCs/>
      <w:kern w:val="44"/>
      <w:lang w:val="en-GB"/>
    </w:rPr>
  </w:style>
  <w:style w:type="paragraph" w:customStyle="1" w:styleId="144">
    <w:name w:val="蓝森表格内容"/>
    <w:basedOn w:val="1"/>
    <w:qFormat/>
    <w:uiPriority w:val="0"/>
    <w:pPr>
      <w:spacing w:line="360" w:lineRule="exact"/>
      <w:jc w:val="center"/>
    </w:pPr>
    <w:rPr>
      <w:bCs/>
      <w:color w:val="000000"/>
      <w:szCs w:val="21"/>
    </w:rPr>
  </w:style>
  <w:style w:type="paragraph" w:customStyle="1" w:styleId="145">
    <w:name w:val="Table Paragraph"/>
    <w:basedOn w:val="1"/>
    <w:link w:val="153"/>
    <w:qFormat/>
    <w:uiPriority w:val="1"/>
    <w:pPr>
      <w:spacing w:line="300" w:lineRule="auto"/>
      <w:jc w:val="left"/>
    </w:pPr>
    <w:rPr>
      <w:rFonts w:ascii="Calibri" w:hAnsi="Calibri"/>
      <w:kern w:val="0"/>
      <w:sz w:val="22"/>
      <w:szCs w:val="22"/>
    </w:rPr>
  </w:style>
  <w:style w:type="character" w:customStyle="1" w:styleId="146">
    <w:name w:val="普通(网站) 字符"/>
    <w:link w:val="35"/>
    <w:qFormat/>
    <w:uiPriority w:val="99"/>
    <w:rPr>
      <w:rFonts w:ascii="宋体" w:hAnsi="宋体" w:cs="宋体"/>
      <w:sz w:val="24"/>
      <w:szCs w:val="24"/>
    </w:rPr>
  </w:style>
  <w:style w:type="character" w:customStyle="1" w:styleId="147">
    <w:name w:val="标题三 Char"/>
    <w:link w:val="148"/>
    <w:qFormat/>
    <w:uiPriority w:val="0"/>
    <w:rPr>
      <w:rFonts w:ascii="Hei" w:hAnsi="Hei" w:eastAsia="华文中宋" w:cs="Hei"/>
      <w:kern w:val="2"/>
      <w:sz w:val="28"/>
      <w:szCs w:val="22"/>
      <w:lang w:val="en-US" w:eastAsia="zh-CN" w:bidi="ar-SA"/>
    </w:rPr>
  </w:style>
  <w:style w:type="paragraph" w:customStyle="1" w:styleId="148">
    <w:name w:val="标题三"/>
    <w:next w:val="1"/>
    <w:link w:val="147"/>
    <w:qFormat/>
    <w:uiPriority w:val="0"/>
    <w:pPr>
      <w:adjustRightInd w:val="0"/>
      <w:spacing w:line="360" w:lineRule="auto"/>
      <w:outlineLvl w:val="2"/>
    </w:pPr>
    <w:rPr>
      <w:rFonts w:ascii="Hei" w:hAnsi="Hei" w:eastAsia="华文中宋" w:cs="Hei"/>
      <w:kern w:val="2"/>
      <w:sz w:val="28"/>
      <w:szCs w:val="22"/>
      <w:lang w:val="en-US" w:eastAsia="zh-CN" w:bidi="ar-SA"/>
    </w:rPr>
  </w:style>
  <w:style w:type="paragraph" w:customStyle="1" w:styleId="149">
    <w:name w:val="标题1"/>
    <w:basedOn w:val="138"/>
    <w:next w:val="138"/>
    <w:qFormat/>
    <w:uiPriority w:val="0"/>
    <w:pPr>
      <w:spacing w:beforeLines="50" w:afterLines="50"/>
      <w:ind w:firstLine="0" w:firstLineChars="0"/>
      <w:jc w:val="center"/>
      <w:outlineLvl w:val="0"/>
    </w:pPr>
    <w:rPr>
      <w:b/>
      <w:sz w:val="44"/>
    </w:rPr>
  </w:style>
  <w:style w:type="paragraph" w:customStyle="1" w:styleId="150">
    <w:name w:val="标题1.1.1"/>
    <w:basedOn w:val="1"/>
    <w:next w:val="138"/>
    <w:qFormat/>
    <w:uiPriority w:val="0"/>
    <w:pPr>
      <w:adjustRightInd w:val="0"/>
      <w:snapToGrid w:val="0"/>
      <w:spacing w:beforeLines="50" w:afterLines="50" w:line="360" w:lineRule="auto"/>
      <w:ind w:left="1532" w:hanging="680"/>
      <w:outlineLvl w:val="2"/>
    </w:pPr>
    <w:rPr>
      <w:b/>
      <w:sz w:val="28"/>
      <w:szCs w:val="22"/>
    </w:rPr>
  </w:style>
  <w:style w:type="paragraph" w:customStyle="1" w:styleId="151">
    <w:name w:val="标题题目"/>
    <w:basedOn w:val="138"/>
    <w:qFormat/>
    <w:uiPriority w:val="0"/>
    <w:pPr>
      <w:ind w:firstLine="0" w:firstLineChars="0"/>
      <w:jc w:val="center"/>
    </w:pPr>
    <w:rPr>
      <w:b/>
    </w:rPr>
  </w:style>
  <w:style w:type="character" w:customStyle="1" w:styleId="152">
    <w:name w:val="纯文本 字符1"/>
    <w:qFormat/>
    <w:uiPriority w:val="99"/>
    <w:rPr>
      <w:rFonts w:ascii="宋体" w:hAnsi="Courier New" w:cs="Courier New"/>
      <w:kern w:val="2"/>
      <w:sz w:val="24"/>
      <w:szCs w:val="21"/>
    </w:rPr>
  </w:style>
  <w:style w:type="character" w:customStyle="1" w:styleId="153">
    <w:name w:val="Table Paragraph Char"/>
    <w:link w:val="145"/>
    <w:qFormat/>
    <w:uiPriority w:val="1"/>
    <w:rPr>
      <w:rFonts w:ascii="Calibri" w:hAnsi="Calibri" w:cs="Times New Roman"/>
      <w:sz w:val="22"/>
      <w:szCs w:val="22"/>
    </w:rPr>
  </w:style>
  <w:style w:type="character" w:customStyle="1" w:styleId="154">
    <w:name w:val="！正文 Char"/>
    <w:link w:val="155"/>
    <w:qFormat/>
    <w:uiPriority w:val="0"/>
    <w:rPr>
      <w:rFonts w:cs="宋体"/>
      <w:kern w:val="2"/>
      <w:sz w:val="24"/>
    </w:rPr>
  </w:style>
  <w:style w:type="paragraph" w:customStyle="1" w:styleId="155">
    <w:name w:val="！正文"/>
    <w:basedOn w:val="1"/>
    <w:link w:val="154"/>
    <w:qFormat/>
    <w:uiPriority w:val="0"/>
    <w:pPr>
      <w:spacing w:line="360" w:lineRule="auto"/>
      <w:ind w:firstLine="200" w:firstLineChars="200"/>
    </w:pPr>
    <w:rPr>
      <w:sz w:val="24"/>
      <w:szCs w:val="20"/>
    </w:rPr>
  </w:style>
  <w:style w:type="paragraph" w:customStyle="1" w:styleId="156">
    <w:name w:val="报告表正文"/>
    <w:basedOn w:val="1"/>
    <w:qFormat/>
    <w:uiPriority w:val="0"/>
    <w:rPr>
      <w:rFonts w:ascii="楷体_GB2312" w:hAnsi="Calibri" w:eastAsia="楷体_GB2312" w:cs="宋体"/>
      <w:szCs w:val="21"/>
    </w:rPr>
  </w:style>
  <w:style w:type="paragraph" w:customStyle="1" w:styleId="157">
    <w:name w:val="段落1 Char"/>
    <w:basedOn w:val="1"/>
    <w:qFormat/>
    <w:uiPriority w:val="0"/>
    <w:pPr>
      <w:spacing w:line="440" w:lineRule="exact"/>
      <w:ind w:firstLine="480"/>
    </w:pPr>
    <w:rPr>
      <w:rFonts w:ascii="Calibri" w:hAnsi="Calibri" w:cs="Calibri"/>
      <w:spacing w:val="8"/>
      <w:szCs w:val="21"/>
    </w:rPr>
  </w:style>
  <w:style w:type="paragraph" w:customStyle="1" w:styleId="158">
    <w:name w:val="正文1"/>
    <w:basedOn w:val="1"/>
    <w:qFormat/>
    <w:uiPriority w:val="0"/>
    <w:pPr>
      <w:widowControl/>
    </w:pPr>
    <w:rPr>
      <w:rFonts w:ascii="Courier New" w:hAnsi="Courier New" w:cs="Courier New"/>
      <w:szCs w:val="21"/>
    </w:rPr>
  </w:style>
  <w:style w:type="paragraph" w:customStyle="1" w:styleId="159">
    <w:name w:val="列出段落1"/>
    <w:basedOn w:val="1"/>
    <w:qFormat/>
    <w:uiPriority w:val="34"/>
    <w:pPr>
      <w:ind w:firstLine="420" w:firstLineChars="200"/>
    </w:pPr>
    <w:rPr>
      <w:rFonts w:ascii="Calibri" w:hAnsi="Calibri"/>
      <w:szCs w:val="22"/>
    </w:rPr>
  </w:style>
  <w:style w:type="paragraph" w:customStyle="1" w:styleId="160">
    <w:name w:val="小四 间距1.5 缩进2"/>
    <w:basedOn w:val="1"/>
    <w:qFormat/>
    <w:uiPriority w:val="0"/>
    <w:pPr>
      <w:spacing w:line="360" w:lineRule="auto"/>
      <w:ind w:firstLine="415" w:firstLineChars="173"/>
    </w:pPr>
    <w:rPr>
      <w:sz w:val="24"/>
    </w:rPr>
  </w:style>
  <w:style w:type="paragraph" w:customStyle="1" w:styleId="161">
    <w:name w:val="正文（YHY-GDB)"/>
    <w:basedOn w:val="1"/>
    <w:qFormat/>
    <w:uiPriority w:val="0"/>
    <w:pPr>
      <w:spacing w:beforeLines="50" w:afterLines="50" w:line="360" w:lineRule="auto"/>
      <w:ind w:firstLine="200" w:firstLineChars="200"/>
    </w:pPr>
    <w:rPr>
      <w:sz w:val="24"/>
    </w:rPr>
  </w:style>
  <w:style w:type="paragraph" w:customStyle="1" w:styleId="162">
    <w:name w:val="TTT"/>
    <w:basedOn w:val="1"/>
    <w:qFormat/>
    <w:uiPriority w:val="0"/>
    <w:pPr>
      <w:tabs>
        <w:tab w:val="left" w:pos="480"/>
      </w:tabs>
      <w:spacing w:line="360" w:lineRule="auto"/>
      <w:ind w:firstLine="200" w:firstLineChars="200"/>
    </w:pPr>
    <w:rPr>
      <w:b/>
      <w:sz w:val="24"/>
    </w:rPr>
  </w:style>
  <w:style w:type="paragraph" w:customStyle="1" w:styleId="163">
    <w:name w:val="样式35"/>
    <w:basedOn w:val="126"/>
    <w:next w:val="164"/>
    <w:qFormat/>
    <w:uiPriority w:val="0"/>
    <w:pPr>
      <w:spacing w:line="312" w:lineRule="auto"/>
      <w:ind w:firstLine="567"/>
      <w:jc w:val="both"/>
    </w:pPr>
    <w:rPr>
      <w:rFonts w:ascii="宋体"/>
      <w:szCs w:val="22"/>
    </w:rPr>
  </w:style>
  <w:style w:type="paragraph" w:customStyle="1" w:styleId="164">
    <w:name w:val="font6"/>
    <w:next w:val="32"/>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165">
    <w:name w:val="粗正文"/>
    <w:basedOn w:val="1"/>
    <w:qFormat/>
    <w:uiPriority w:val="0"/>
    <w:pPr>
      <w:ind w:firstLine="420" w:firstLineChars="200"/>
      <w:jc w:val="left"/>
      <w:textAlignment w:val="center"/>
    </w:pPr>
    <w:rPr>
      <w:b/>
      <w:kern w:val="0"/>
      <w:szCs w:val="20"/>
    </w:rPr>
  </w:style>
  <w:style w:type="paragraph" w:customStyle="1" w:styleId="166">
    <w:name w:val="正文内容"/>
    <w:basedOn w:val="1"/>
    <w:qFormat/>
    <w:uiPriority w:val="0"/>
    <w:pPr>
      <w:ind w:firstLine="200" w:firstLineChars="200"/>
    </w:pPr>
    <w:rPr>
      <w:kern w:val="0"/>
      <w:sz w:val="24"/>
    </w:rPr>
  </w:style>
  <w:style w:type="paragraph" w:customStyle="1" w:styleId="167">
    <w:name w:val="正文2"/>
    <w:basedOn w:val="1"/>
    <w:qFormat/>
    <w:uiPriority w:val="0"/>
    <w:pPr>
      <w:widowControl/>
    </w:pPr>
    <w:rPr>
      <w:rFonts w:ascii="Courier New" w:hAnsi="Courier New" w:cs="Courier New"/>
      <w:kern w:val="0"/>
      <w:sz w:val="20"/>
      <w:szCs w:val="21"/>
    </w:rPr>
  </w:style>
  <w:style w:type="paragraph" w:customStyle="1" w:styleId="168">
    <w:name w:val="正文3"/>
    <w:basedOn w:val="1"/>
    <w:qFormat/>
    <w:uiPriority w:val="0"/>
    <w:pPr>
      <w:widowControl/>
    </w:pPr>
    <w:rPr>
      <w:rFonts w:ascii="Courier New" w:hAnsi="Courier New" w:cs="Courier New"/>
      <w:kern w:val="0"/>
      <w:sz w:val="20"/>
      <w:szCs w:val="21"/>
    </w:rPr>
  </w:style>
  <w:style w:type="character" w:customStyle="1" w:styleId="169">
    <w:name w:val="副标题 字符"/>
    <w:basedOn w:val="42"/>
    <w:link w:val="29"/>
    <w:qFormat/>
    <w:uiPriority w:val="99"/>
    <w:rPr>
      <w:b/>
      <w:bCs/>
      <w:kern w:val="28"/>
      <w:sz w:val="24"/>
      <w:szCs w:val="24"/>
    </w:rPr>
  </w:style>
  <w:style w:type="character" w:customStyle="1" w:styleId="170">
    <w:name w:val="Default Char"/>
    <w:link w:val="49"/>
    <w:autoRedefine/>
    <w:qFormat/>
    <w:uiPriority w:val="0"/>
    <w:rPr>
      <w:rFonts w:ascii="宋体"/>
      <w:color w:val="000000"/>
      <w:kern w:val="2"/>
      <w:sz w:val="24"/>
      <w:szCs w:val="24"/>
    </w:rPr>
  </w:style>
  <w:style w:type="character" w:customStyle="1" w:styleId="171">
    <w:name w:val="17"/>
    <w:basedOn w:val="42"/>
    <w:qFormat/>
    <w:uiPriority w:val="0"/>
    <w:rPr>
      <w:rFonts w:hint="default" w:ascii="Times New Roman" w:hAnsi="Times New Roman" w:cs="Times New Roman"/>
      <w:b/>
      <w:bCs/>
      <w:kern w:val="28"/>
      <w:sz w:val="24"/>
      <w:szCs w:val="24"/>
    </w:rPr>
  </w:style>
  <w:style w:type="paragraph" w:customStyle="1" w:styleId="172">
    <w:name w:val="BG表格样式1"/>
    <w:basedOn w:val="1"/>
    <w:next w:val="1"/>
    <w:qFormat/>
    <w:uiPriority w:val="0"/>
    <w:pPr>
      <w:jc w:val="center"/>
    </w:pPr>
    <w:rPr>
      <w:kern w:val="0"/>
      <w:szCs w:val="21"/>
    </w:rPr>
  </w:style>
  <w:style w:type="paragraph" w:customStyle="1" w:styleId="173">
    <w:name w:val="DL段落"/>
    <w:basedOn w:val="1"/>
    <w:qFormat/>
    <w:uiPriority w:val="0"/>
    <w:pPr>
      <w:spacing w:line="360" w:lineRule="auto"/>
      <w:ind w:firstLine="200" w:firstLineChars="200"/>
    </w:pPr>
    <w:rPr>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4" Type="http://schemas.openxmlformats.org/officeDocument/2006/relationships/fontTable" Target="fontTable.xml"/><Relationship Id="rId53" Type="http://schemas.openxmlformats.org/officeDocument/2006/relationships/customXml" Target="../customXml/item21.xml"/><Relationship Id="rId52" Type="http://schemas.openxmlformats.org/officeDocument/2006/relationships/customXml" Target="../customXml/item20.xml"/><Relationship Id="rId51" Type="http://schemas.openxmlformats.org/officeDocument/2006/relationships/customXml" Target="../customXml/item19.xml"/><Relationship Id="rId50" Type="http://schemas.openxmlformats.org/officeDocument/2006/relationships/customXml" Target="../customXml/item18.xml"/><Relationship Id="rId5" Type="http://schemas.openxmlformats.org/officeDocument/2006/relationships/footer" Target="footer1.xml"/><Relationship Id="rId49" Type="http://schemas.openxmlformats.org/officeDocument/2006/relationships/customXml" Target="../customXml/item17.xml"/><Relationship Id="rId48" Type="http://schemas.openxmlformats.org/officeDocument/2006/relationships/customXml" Target="../customXml/item16.xml"/><Relationship Id="rId47" Type="http://schemas.openxmlformats.org/officeDocument/2006/relationships/customXml" Target="../customXml/item15.xml"/><Relationship Id="rId46" Type="http://schemas.openxmlformats.org/officeDocument/2006/relationships/customXml" Target="../customXml/item14.xml"/><Relationship Id="rId45" Type="http://schemas.openxmlformats.org/officeDocument/2006/relationships/customXml" Target="../customXml/item13.xml"/><Relationship Id="rId44" Type="http://schemas.openxmlformats.org/officeDocument/2006/relationships/customXml" Target="../customXml/item12.xml"/><Relationship Id="rId43" Type="http://schemas.openxmlformats.org/officeDocument/2006/relationships/customXml" Target="../customXml/item11.xml"/><Relationship Id="rId42" Type="http://schemas.openxmlformats.org/officeDocument/2006/relationships/customXml" Target="../customXml/item10.xml"/><Relationship Id="rId41" Type="http://schemas.openxmlformats.org/officeDocument/2006/relationships/customXml" Target="../customXml/item9.xml"/><Relationship Id="rId40" Type="http://schemas.openxmlformats.org/officeDocument/2006/relationships/customXml" Target="../customXml/item8.xml"/><Relationship Id="rId4" Type="http://schemas.openxmlformats.org/officeDocument/2006/relationships/header" Target="header2.xml"/><Relationship Id="rId39" Type="http://schemas.openxmlformats.org/officeDocument/2006/relationships/customXml" Target="../customXml/item7.xml"/><Relationship Id="rId38" Type="http://schemas.openxmlformats.org/officeDocument/2006/relationships/customXml" Target="../customXml/item6.xml"/><Relationship Id="rId37" Type="http://schemas.openxmlformats.org/officeDocument/2006/relationships/customXml" Target="../customXml/item5.xml"/><Relationship Id="rId36" Type="http://schemas.openxmlformats.org/officeDocument/2006/relationships/customXml" Target="../customXml/item4.xml"/><Relationship Id="rId35" Type="http://schemas.openxmlformats.org/officeDocument/2006/relationships/customXml" Target="../customXml/item3.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4.jpeg"/><Relationship Id="rId30" Type="http://schemas.openxmlformats.org/officeDocument/2006/relationships/image" Target="media/image13.jpeg"/><Relationship Id="rId3" Type="http://schemas.openxmlformats.org/officeDocument/2006/relationships/header" Target="header1.xml"/><Relationship Id="rId29" Type="http://schemas.openxmlformats.org/officeDocument/2006/relationships/image" Target="media/image12.jpeg"/><Relationship Id="rId28" Type="http://schemas.openxmlformats.org/officeDocument/2006/relationships/image" Target="media/image11.jpeg"/><Relationship Id="rId27" Type="http://schemas.openxmlformats.org/officeDocument/2006/relationships/image" Target="media/image10.png"/><Relationship Id="rId26" Type="http://schemas.openxmlformats.org/officeDocument/2006/relationships/image" Target="media/image9.jpeg"/><Relationship Id="rId25" Type="http://schemas.openxmlformats.org/officeDocument/2006/relationships/image" Target="../../Documents/WeChat%252520Files/wxid_qgi4y76mplad22/86156/AppData/Local/Temp/ksohtml17016/wps1.png" TargetMode="External"/><Relationship Id="rId24" Type="http://schemas.openxmlformats.org/officeDocument/2006/relationships/image" Target="media/image8.png"/><Relationship Id="rId23" Type="http://schemas.openxmlformats.org/officeDocument/2006/relationships/image" Target="media/image7.jpeg"/><Relationship Id="rId22" Type="http://schemas.openxmlformats.org/officeDocument/2006/relationships/image" Target="media/image6.png"/><Relationship Id="rId21" Type="http://schemas.openxmlformats.org/officeDocument/2006/relationships/image" Target="media/image5.png"/><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3.jpeg"/><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19.xml><?xml version="1.0" encoding="utf-8"?>
<mcd:customData xmlns="http://www.wps.cn/android/officeDocument/2013/mofficeCustomData" xmlns:mcd="http://www.wps.cn/android/officeDocument/2013/mofficeCustomData" version="2">
  <mcd:comments/>
</mcd:customData>
</file>

<file path=customXml/item20.xml><?xml version="1.0" encoding="utf-8"?>
<mcd:customData xmlns="http://www.wps.cn/android/officeDocument/2013/mofficeCustomData" xmlns:mcd="http://www.wps.cn/android/officeDocument/2013/mofficeCustomData" version="2">
  <mcd:comments/>
</mcd:customData>
</file>

<file path=customXml/item21.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B7E1FE-B140-4C74-A677-AAD41F91359F}">
  <ds:schemaRefs/>
</ds:datastoreItem>
</file>

<file path=customXml/itemProps3.xml><?xml version="1.0" encoding="utf-8"?>
<ds:datastoreItem xmlns:ds="http://schemas.openxmlformats.org/officeDocument/2006/customXml" ds:itemID="{C5730024-0362-4184-B2C4-848F5BD99350}">
  <ds:schemaRefs/>
</ds:datastoreItem>
</file>

<file path=customXml/itemProps4.xml><?xml version="1.0" encoding="utf-8"?>
<ds:datastoreItem xmlns:ds="http://schemas.openxmlformats.org/officeDocument/2006/customXml" ds:itemID="{5ACAE2B1-5CD4-47F1-B1E4-57B1E627945D}">
  <ds:schemaRefs/>
</ds:datastoreItem>
</file>

<file path=customXml/itemProps5.xml><?xml version="1.0" encoding="utf-8"?>
<ds:datastoreItem xmlns:ds="http://schemas.openxmlformats.org/officeDocument/2006/customXml" ds:itemID="{9844C649-5505-4E40-BE29-B3947D742D28}">
  <ds:schemaRefs/>
</ds:datastoreItem>
</file>

<file path=customXml/itemProps6.xml><?xml version="1.0" encoding="utf-8"?>
<ds:datastoreItem xmlns:ds="http://schemas.openxmlformats.org/officeDocument/2006/customXml" ds:itemID="{5FD7A7E0-5975-4AB1-8499-4CD70536A8ED}">
  <ds:schemaRefs/>
</ds:datastoreItem>
</file>

<file path=customXml/itemProps7.xml><?xml version="1.0" encoding="utf-8"?>
<ds:datastoreItem xmlns:ds="http://schemas.openxmlformats.org/officeDocument/2006/customXml" ds:itemID="{18333D6B-EE3B-46BE-87B0-65973648E644}">
  <ds:schemaRefs/>
</ds:datastoreItem>
</file>

<file path=customXml/itemProps8.xml><?xml version="1.0" encoding="utf-8"?>
<ds:datastoreItem xmlns:ds="http://schemas.openxmlformats.org/officeDocument/2006/customXml" ds:itemID="{B24C0328-BB9E-4FB8-8A73-ADB4A565A9D2}">
  <ds:schemaRefs/>
</ds:datastoreItem>
</file>

<file path=customXml/itemProps9.xml><?xml version="1.0" encoding="utf-8"?>
<ds:datastoreItem xmlns:ds="http://schemas.openxmlformats.org/officeDocument/2006/customXml" ds:itemID="{8BE4AA52-4990-4853-9BF0-E923CE93D389}">
  <ds:schemaRefs/>
</ds:datastoreItem>
</file>

<file path=customXml/itemProps10.xml><?xml version="1.0" encoding="utf-8"?>
<ds:datastoreItem xmlns:ds="http://schemas.openxmlformats.org/officeDocument/2006/customXml" ds:itemID="{3240DFE9-FF17-4A7C-9925-1782D9F7105F}">
  <ds:schemaRefs/>
</ds:datastoreItem>
</file>

<file path=customXml/itemProps11.xml><?xml version="1.0" encoding="utf-8"?>
<ds:datastoreItem xmlns:ds="http://schemas.openxmlformats.org/officeDocument/2006/customXml" ds:itemID="{B00A0CBD-C387-460D-8645-5A3388D5D164}">
  <ds:schemaRefs/>
</ds:datastoreItem>
</file>

<file path=customXml/itemProps12.xml><?xml version="1.0" encoding="utf-8"?>
<ds:datastoreItem xmlns:ds="http://schemas.openxmlformats.org/officeDocument/2006/customXml" ds:itemID="{EFD2209D-105D-4513-967F-A59FC9B8BF3A}">
  <ds:schemaRefs/>
</ds:datastoreItem>
</file>

<file path=customXml/itemProps13.xml><?xml version="1.0" encoding="utf-8"?>
<ds:datastoreItem xmlns:ds="http://schemas.openxmlformats.org/officeDocument/2006/customXml" ds:itemID="{A49230B0-1E25-4339-A9F2-3E1D0CF9D7F9}">
  <ds:schemaRefs/>
</ds:datastoreItem>
</file>

<file path=customXml/itemProps14.xml><?xml version="1.0" encoding="utf-8"?>
<ds:datastoreItem xmlns:ds="http://schemas.openxmlformats.org/officeDocument/2006/customXml" ds:itemID="{E1C759D3-4E50-4947-8323-4B8590EFD0A4}">
  <ds:schemaRefs/>
</ds:datastoreItem>
</file>

<file path=customXml/itemProps15.xml><?xml version="1.0" encoding="utf-8"?>
<ds:datastoreItem xmlns:ds="http://schemas.openxmlformats.org/officeDocument/2006/customXml" ds:itemID="{698DF9BE-EF04-4F50-A0DF-57AE57DEFA75}">
  <ds:schemaRefs/>
</ds:datastoreItem>
</file>

<file path=customXml/itemProps16.xml><?xml version="1.0" encoding="utf-8"?>
<ds:datastoreItem xmlns:ds="http://schemas.openxmlformats.org/officeDocument/2006/customXml" ds:itemID="{4DD18CA9-7889-4396-9B15-1B54B32087CD}">
  <ds:schemaRefs/>
</ds:datastoreItem>
</file>

<file path=customXml/itemProps17.xml><?xml version="1.0" encoding="utf-8"?>
<ds:datastoreItem xmlns:ds="http://schemas.openxmlformats.org/officeDocument/2006/customXml" ds:itemID="{5F3D5912-9425-467D-8ABF-CEC0EFAE145F}">
  <ds:schemaRefs/>
</ds:datastoreItem>
</file>

<file path=customXml/itemProps18.xml><?xml version="1.0" encoding="utf-8"?>
<ds:datastoreItem xmlns:ds="http://schemas.openxmlformats.org/officeDocument/2006/customXml" ds:itemID="{DC659515-367C-4654-89A7-4FDEA3341BEC}">
  <ds:schemaRefs/>
</ds:datastoreItem>
</file>

<file path=customXml/itemProps19.xml><?xml version="1.0" encoding="utf-8"?>
<ds:datastoreItem xmlns:ds="http://schemas.openxmlformats.org/officeDocument/2006/customXml" ds:itemID="{E7637057-6528-465B-8945-A06ED3A37F89}">
  <ds:schemaRefs/>
</ds:datastoreItem>
</file>

<file path=customXml/itemProps20.xml><?xml version="1.0" encoding="utf-8"?>
<ds:datastoreItem xmlns:ds="http://schemas.openxmlformats.org/officeDocument/2006/customXml" ds:itemID="{E7BBE920-A9A7-4B0D-893D-CCC31320BF93}">
  <ds:schemaRefs/>
</ds:datastoreItem>
</file>

<file path=customXml/itemProps21.xml><?xml version="1.0" encoding="utf-8"?>
<ds:datastoreItem xmlns:ds="http://schemas.openxmlformats.org/officeDocument/2006/customXml" ds:itemID="{9C9D287E-C626-4691-94D8-9FB3691F35B4}">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75</Pages>
  <Words>11361</Words>
  <Characters>12241</Characters>
  <Lines>3214</Lines>
  <Paragraphs>2777</Paragraphs>
  <TotalTime>21776</TotalTime>
  <ScaleCrop>false</ScaleCrop>
  <LinksUpToDate>false</LinksUpToDate>
  <CharactersWithSpaces>12359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2022-11-11T03:08:00Z</dcterms:created>
  <dc:creator>微软用户</dc:creator>
  <cp:lastModifiedBy>花小思</cp:lastModifiedBy>
  <cp:lastPrinted>2021-04-16T08:53:00Z</cp:lastPrinted>
  <dcterms:modified xsi:type="dcterms:W3CDTF">2025-09-24T08:09:00Z</dcterms:modified>
  <dc:title>建设项目环境影响报告表</dc:title>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7109651661BE4B46BDEA20C6F93589F2</vt:lpwstr>
  </property>
  <property fmtid="{D5CDD505-2E9C-101B-9397-08002B2CF9AE}" pid="4" name="KSOTemplateDocerSaveRecord">
    <vt:lpwstr>eyJoZGlkIjoiM2FkNDdjMWM4NGQyOTg0ZjQxZmVhNzQwNTNiMTdhMDYiLCJ1c2VySWQiOiI0NTg5MTYwNTQifQ==</vt:lpwstr>
  </property>
</Properties>
</file>