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79A0E7">
      <w:pPr>
        <w:pStyle w:val="125"/>
        <w:rPr>
          <w:color w:val="auto"/>
        </w:rPr>
      </w:pPr>
      <w:r>
        <w:drawing>
          <wp:anchor distT="0" distB="0" distL="114300" distR="114300" simplePos="0" relativeHeight="251662336" behindDoc="1" locked="0" layoutInCell="1" allowOverlap="1">
            <wp:simplePos x="0" y="0"/>
            <wp:positionH relativeFrom="column">
              <wp:posOffset>-800100</wp:posOffset>
            </wp:positionH>
            <wp:positionV relativeFrom="paragraph">
              <wp:posOffset>-885825</wp:posOffset>
            </wp:positionV>
            <wp:extent cx="7012305" cy="9438640"/>
            <wp:effectExtent l="0" t="0" r="17145" b="10160"/>
            <wp:wrapNone/>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9"/>
                    <a:stretch>
                      <a:fillRect/>
                    </a:stretch>
                  </pic:blipFill>
                  <pic:spPr>
                    <a:xfrm>
                      <a:off x="0" y="0"/>
                      <a:ext cx="7012305" cy="9438640"/>
                    </a:xfrm>
                    <a:prstGeom prst="rect">
                      <a:avLst/>
                    </a:prstGeom>
                    <a:noFill/>
                    <a:ln>
                      <a:noFill/>
                    </a:ln>
                  </pic:spPr>
                </pic:pic>
              </a:graphicData>
            </a:graphic>
          </wp:anchor>
        </w:drawing>
      </w:r>
    </w:p>
    <w:p w14:paraId="12A08F53"/>
    <w:p w14:paraId="3A8D3CE7">
      <w:pPr>
        <w:adjustRightInd w:val="0"/>
        <w:snapToGrid w:val="0"/>
        <w:spacing w:line="288" w:lineRule="auto"/>
        <w:ind w:firstLine="1040"/>
        <w:rPr>
          <w:rFonts w:eastAsia="仿宋_GB2312"/>
          <w:sz w:val="36"/>
          <w:szCs w:val="36"/>
        </w:rPr>
        <w:sectPr>
          <w:footerReference r:id="rId3" w:type="default"/>
          <w:footerReference r:id="rId4" w:type="even"/>
          <w:pgSz w:w="11906" w:h="16838"/>
          <w:pgMar w:top="1701" w:right="1531" w:bottom="1701" w:left="1531" w:header="851" w:footer="1077" w:gutter="0"/>
          <w:pgNumType w:start="21"/>
          <w:cols w:space="720" w:num="1"/>
          <w:docGrid w:linePitch="312" w:charSpace="0"/>
        </w:sectPr>
      </w:pPr>
    </w:p>
    <w:p w14:paraId="153D3372">
      <w:pPr>
        <w:pStyle w:val="27"/>
        <w:spacing w:before="0" w:beforeAutospacing="0" w:after="0" w:afterAutospacing="0" w:line="360" w:lineRule="auto"/>
        <w:outlineLvl w:val="0"/>
        <w:rPr>
          <w:rFonts w:ascii="Times New Roman" w:hAnsi="Times New Roman" w:eastAsia="黑体"/>
          <w:snapToGrid w:val="0"/>
          <w:sz w:val="30"/>
          <w:szCs w:val="30"/>
        </w:rPr>
      </w:pPr>
      <w:r>
        <w:rPr>
          <w:rFonts w:hint="eastAsia" w:ascii="Times New Roman" w:hAnsi="Times New Roman" w:eastAsia="黑体"/>
          <w:snapToGrid w:val="0"/>
          <w:sz w:val="30"/>
          <w:szCs w:val="30"/>
        </w:rPr>
        <w:t>一、建设项目基本情况</w:t>
      </w:r>
    </w:p>
    <w:tbl>
      <w:tblPr>
        <w:tblStyle w:val="31"/>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134" w:type="dxa"/>
          <w:bottom w:w="0" w:type="dxa"/>
          <w:right w:w="1134" w:type="dxa"/>
        </w:tblCellMar>
      </w:tblPr>
      <w:tblGrid>
        <w:gridCol w:w="652"/>
        <w:gridCol w:w="353"/>
        <w:gridCol w:w="578"/>
        <w:gridCol w:w="2285"/>
        <w:gridCol w:w="2069"/>
        <w:gridCol w:w="2925"/>
      </w:tblGrid>
      <w:tr w14:paraId="05D7FD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647" w:hRule="atLeast"/>
          <w:jc w:val="center"/>
        </w:trPr>
        <w:tc>
          <w:tcPr>
            <w:tcW w:w="893" w:type="pct"/>
            <w:gridSpan w:val="3"/>
            <w:tcMar>
              <w:top w:w="57" w:type="dxa"/>
              <w:left w:w="0" w:type="dxa"/>
              <w:bottom w:w="57" w:type="dxa"/>
              <w:right w:w="0" w:type="dxa"/>
            </w:tcMar>
            <w:vAlign w:val="center"/>
          </w:tcPr>
          <w:p w14:paraId="43CC5C3A">
            <w:pPr>
              <w:adjustRightInd w:val="0"/>
              <w:snapToGrid w:val="0"/>
              <w:jc w:val="center"/>
              <w:rPr>
                <w:sz w:val="24"/>
              </w:rPr>
            </w:pPr>
            <w:r>
              <w:rPr>
                <w:rFonts w:hint="eastAsia"/>
                <w:bCs/>
                <w:sz w:val="24"/>
              </w:rPr>
              <w:t>建设项目名称</w:t>
            </w:r>
          </w:p>
        </w:tc>
        <w:tc>
          <w:tcPr>
            <w:tcW w:w="4106" w:type="pct"/>
            <w:gridSpan w:val="3"/>
            <w:tcMar>
              <w:top w:w="57" w:type="dxa"/>
              <w:left w:w="0" w:type="dxa"/>
              <w:bottom w:w="57" w:type="dxa"/>
              <w:right w:w="0" w:type="dxa"/>
            </w:tcMar>
            <w:vAlign w:val="center"/>
          </w:tcPr>
          <w:p w14:paraId="37A41050">
            <w:pPr>
              <w:adjustRightInd w:val="0"/>
              <w:snapToGrid w:val="0"/>
              <w:jc w:val="center"/>
              <w:rPr>
                <w:sz w:val="24"/>
              </w:rPr>
            </w:pPr>
            <w:r>
              <w:rPr>
                <w:rFonts w:hint="eastAsia"/>
                <w:bCs/>
                <w:sz w:val="24"/>
              </w:rPr>
              <w:t>惠州欣城新能源有限公司</w:t>
            </w:r>
            <w:r>
              <w:rPr>
                <w:bCs/>
                <w:sz w:val="24"/>
              </w:rPr>
              <w:t>200MW/400MWh</w:t>
            </w:r>
            <w:r>
              <w:rPr>
                <w:rFonts w:hint="eastAsia"/>
                <w:bCs/>
                <w:sz w:val="24"/>
              </w:rPr>
              <w:t>独立储能电站新建项目</w:t>
            </w:r>
          </w:p>
        </w:tc>
      </w:tr>
      <w:tr w14:paraId="1B89F7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525" w:hRule="atLeast"/>
          <w:jc w:val="center"/>
        </w:trPr>
        <w:tc>
          <w:tcPr>
            <w:tcW w:w="893" w:type="pct"/>
            <w:gridSpan w:val="3"/>
            <w:tcMar>
              <w:top w:w="57" w:type="dxa"/>
              <w:left w:w="0" w:type="dxa"/>
              <w:bottom w:w="57" w:type="dxa"/>
              <w:right w:w="0" w:type="dxa"/>
            </w:tcMar>
            <w:vAlign w:val="center"/>
          </w:tcPr>
          <w:p w14:paraId="269502AC">
            <w:pPr>
              <w:adjustRightInd w:val="0"/>
              <w:snapToGrid w:val="0"/>
              <w:jc w:val="center"/>
              <w:rPr>
                <w:sz w:val="24"/>
              </w:rPr>
            </w:pPr>
            <w:r>
              <w:rPr>
                <w:rFonts w:hint="eastAsia"/>
                <w:sz w:val="24"/>
              </w:rPr>
              <w:t>项目代码</w:t>
            </w:r>
          </w:p>
        </w:tc>
        <w:tc>
          <w:tcPr>
            <w:tcW w:w="4106" w:type="pct"/>
            <w:gridSpan w:val="3"/>
            <w:tcMar>
              <w:top w:w="57" w:type="dxa"/>
              <w:left w:w="0" w:type="dxa"/>
              <w:bottom w:w="57" w:type="dxa"/>
              <w:right w:w="0" w:type="dxa"/>
            </w:tcMar>
            <w:vAlign w:val="center"/>
          </w:tcPr>
          <w:p w14:paraId="3A9B3978">
            <w:pPr>
              <w:adjustRightInd w:val="0"/>
              <w:snapToGrid w:val="0"/>
              <w:jc w:val="center"/>
              <w:rPr>
                <w:sz w:val="24"/>
              </w:rPr>
            </w:pPr>
            <w:r>
              <w:rPr>
                <w:sz w:val="24"/>
              </w:rPr>
              <w:t>2409-441322-04-01-177530</w:t>
            </w:r>
          </w:p>
        </w:tc>
      </w:tr>
      <w:tr w14:paraId="1DB41E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697" w:hRule="atLeast"/>
          <w:jc w:val="center"/>
        </w:trPr>
        <w:tc>
          <w:tcPr>
            <w:tcW w:w="893" w:type="pct"/>
            <w:gridSpan w:val="3"/>
            <w:tcMar>
              <w:top w:w="57" w:type="dxa"/>
              <w:left w:w="0" w:type="dxa"/>
              <w:bottom w:w="57" w:type="dxa"/>
              <w:right w:w="0" w:type="dxa"/>
            </w:tcMar>
            <w:vAlign w:val="center"/>
          </w:tcPr>
          <w:p w14:paraId="690F3A0A">
            <w:pPr>
              <w:adjustRightInd w:val="0"/>
              <w:snapToGrid w:val="0"/>
              <w:jc w:val="center"/>
              <w:rPr>
                <w:sz w:val="24"/>
              </w:rPr>
            </w:pPr>
            <w:r>
              <w:rPr>
                <w:rFonts w:hint="eastAsia"/>
                <w:sz w:val="24"/>
              </w:rPr>
              <w:t>建设单位联系人</w:t>
            </w:r>
          </w:p>
        </w:tc>
        <w:tc>
          <w:tcPr>
            <w:tcW w:w="1289" w:type="pct"/>
            <w:tcMar>
              <w:top w:w="57" w:type="dxa"/>
              <w:left w:w="0" w:type="dxa"/>
              <w:bottom w:w="57" w:type="dxa"/>
              <w:right w:w="0" w:type="dxa"/>
            </w:tcMar>
            <w:vAlign w:val="center"/>
          </w:tcPr>
          <w:p w14:paraId="01842B92">
            <w:pPr>
              <w:adjustRightInd w:val="0"/>
              <w:snapToGrid w:val="0"/>
              <w:jc w:val="center"/>
              <w:rPr>
                <w:rFonts w:hint="default" w:eastAsia="宋体"/>
                <w:sz w:val="24"/>
                <w:lang w:val="en-US" w:eastAsia="zh-CN"/>
              </w:rPr>
            </w:pPr>
            <w:r>
              <w:rPr>
                <w:rFonts w:hint="eastAsia"/>
                <w:sz w:val="24"/>
              </w:rPr>
              <w:t>潘</w:t>
            </w:r>
            <w:r>
              <w:rPr>
                <w:rFonts w:hint="eastAsia"/>
                <w:sz w:val="24"/>
                <w:lang w:val="en-US" w:eastAsia="zh-CN"/>
              </w:rPr>
              <w:t>**</w:t>
            </w:r>
          </w:p>
        </w:tc>
        <w:tc>
          <w:tcPr>
            <w:tcW w:w="1167" w:type="pct"/>
            <w:tcMar>
              <w:top w:w="57" w:type="dxa"/>
              <w:left w:w="0" w:type="dxa"/>
              <w:bottom w:w="57" w:type="dxa"/>
              <w:right w:w="0" w:type="dxa"/>
            </w:tcMar>
            <w:vAlign w:val="center"/>
          </w:tcPr>
          <w:p w14:paraId="66CB08D6">
            <w:pPr>
              <w:adjustRightInd w:val="0"/>
              <w:snapToGrid w:val="0"/>
              <w:jc w:val="center"/>
              <w:rPr>
                <w:sz w:val="24"/>
              </w:rPr>
            </w:pPr>
            <w:r>
              <w:rPr>
                <w:rFonts w:hint="eastAsia" w:ascii="宋体" w:hAnsi="宋体" w:cs="宋体"/>
                <w:sz w:val="24"/>
              </w:rPr>
              <w:t>联系方式</w:t>
            </w:r>
          </w:p>
        </w:tc>
        <w:tc>
          <w:tcPr>
            <w:tcW w:w="1649" w:type="pct"/>
            <w:tcMar>
              <w:top w:w="57" w:type="dxa"/>
              <w:left w:w="0" w:type="dxa"/>
              <w:bottom w:w="57" w:type="dxa"/>
              <w:right w:w="0" w:type="dxa"/>
            </w:tcMar>
            <w:vAlign w:val="center"/>
          </w:tcPr>
          <w:p w14:paraId="1C11936E">
            <w:pPr>
              <w:adjustRightInd w:val="0"/>
              <w:snapToGrid w:val="0"/>
              <w:jc w:val="center"/>
              <w:rPr>
                <w:rFonts w:hint="default" w:eastAsia="宋体"/>
                <w:sz w:val="24"/>
                <w:highlight w:val="yellow"/>
                <w:lang w:val="en-US" w:eastAsia="zh-CN"/>
              </w:rPr>
            </w:pPr>
            <w:r>
              <w:rPr>
                <w:sz w:val="24"/>
              </w:rPr>
              <w:t>18</w:t>
            </w:r>
            <w:r>
              <w:rPr>
                <w:rFonts w:hint="eastAsia"/>
                <w:sz w:val="24"/>
                <w:lang w:val="en-US" w:eastAsia="zh-CN"/>
              </w:rPr>
              <w:t>*******</w:t>
            </w:r>
          </w:p>
        </w:tc>
      </w:tr>
      <w:tr w14:paraId="3DB948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508" w:hRule="atLeast"/>
          <w:jc w:val="center"/>
        </w:trPr>
        <w:tc>
          <w:tcPr>
            <w:tcW w:w="893" w:type="pct"/>
            <w:gridSpan w:val="3"/>
            <w:tcMar>
              <w:top w:w="57" w:type="dxa"/>
              <w:left w:w="0" w:type="dxa"/>
              <w:bottom w:w="57" w:type="dxa"/>
              <w:right w:w="0" w:type="dxa"/>
            </w:tcMar>
            <w:vAlign w:val="center"/>
          </w:tcPr>
          <w:p w14:paraId="22D150E7">
            <w:pPr>
              <w:adjustRightInd w:val="0"/>
              <w:snapToGrid w:val="0"/>
              <w:jc w:val="center"/>
              <w:rPr>
                <w:sz w:val="24"/>
              </w:rPr>
            </w:pPr>
            <w:r>
              <w:rPr>
                <w:rFonts w:hint="eastAsia"/>
                <w:sz w:val="24"/>
              </w:rPr>
              <w:t>建设地点</w:t>
            </w:r>
          </w:p>
        </w:tc>
        <w:tc>
          <w:tcPr>
            <w:tcW w:w="4106" w:type="pct"/>
            <w:gridSpan w:val="3"/>
            <w:tcMar>
              <w:top w:w="57" w:type="dxa"/>
              <w:left w:w="0" w:type="dxa"/>
              <w:bottom w:w="57" w:type="dxa"/>
              <w:right w:w="0" w:type="dxa"/>
            </w:tcMar>
            <w:vAlign w:val="center"/>
          </w:tcPr>
          <w:p w14:paraId="2F47FA65">
            <w:pPr>
              <w:adjustRightInd w:val="0"/>
              <w:snapToGrid w:val="0"/>
              <w:jc w:val="center"/>
              <w:rPr>
                <w:sz w:val="24"/>
              </w:rPr>
            </w:pPr>
            <w:r>
              <w:rPr>
                <w:rFonts w:hint="eastAsia"/>
                <w:sz w:val="24"/>
                <w:u w:val="single"/>
              </w:rPr>
              <w:t>广东</w:t>
            </w:r>
            <w:r>
              <w:rPr>
                <w:rFonts w:hint="eastAsia"/>
                <w:sz w:val="24"/>
              </w:rPr>
              <w:t>省</w:t>
            </w:r>
            <w:r>
              <w:rPr>
                <w:rFonts w:hint="eastAsia"/>
                <w:sz w:val="24"/>
                <w:u w:val="single"/>
              </w:rPr>
              <w:t>惠州</w:t>
            </w:r>
            <w:r>
              <w:rPr>
                <w:rFonts w:hint="eastAsia"/>
                <w:sz w:val="24"/>
              </w:rPr>
              <w:t>市</w:t>
            </w:r>
            <w:r>
              <w:rPr>
                <w:rFonts w:hint="eastAsia"/>
                <w:sz w:val="24"/>
                <w:u w:val="single"/>
              </w:rPr>
              <w:t>博罗</w:t>
            </w:r>
            <w:r>
              <w:rPr>
                <w:rFonts w:hint="eastAsia"/>
                <w:sz w:val="24"/>
              </w:rPr>
              <w:t>县</w:t>
            </w:r>
            <w:r>
              <w:rPr>
                <w:rFonts w:hint="eastAsia"/>
                <w:sz w:val="24"/>
                <w:u w:val="single"/>
              </w:rPr>
              <w:t>石湾</w:t>
            </w:r>
            <w:r>
              <w:rPr>
                <w:rFonts w:hint="eastAsia"/>
                <w:sz w:val="24"/>
              </w:rPr>
              <w:t>镇智能装备产业园区内</w:t>
            </w:r>
          </w:p>
        </w:tc>
      </w:tr>
      <w:tr w14:paraId="0E58DE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554" w:hRule="atLeast"/>
          <w:jc w:val="center"/>
        </w:trPr>
        <w:tc>
          <w:tcPr>
            <w:tcW w:w="893" w:type="pct"/>
            <w:gridSpan w:val="3"/>
            <w:tcMar>
              <w:top w:w="57" w:type="dxa"/>
              <w:left w:w="0" w:type="dxa"/>
              <w:bottom w:w="57" w:type="dxa"/>
              <w:right w:w="0" w:type="dxa"/>
            </w:tcMar>
            <w:vAlign w:val="center"/>
          </w:tcPr>
          <w:p w14:paraId="1D2D611A">
            <w:pPr>
              <w:adjustRightInd w:val="0"/>
              <w:snapToGrid w:val="0"/>
              <w:jc w:val="center"/>
              <w:rPr>
                <w:sz w:val="24"/>
              </w:rPr>
            </w:pPr>
            <w:r>
              <w:rPr>
                <w:rFonts w:hint="eastAsia"/>
                <w:sz w:val="24"/>
              </w:rPr>
              <w:t>地理坐标</w:t>
            </w:r>
          </w:p>
        </w:tc>
        <w:tc>
          <w:tcPr>
            <w:tcW w:w="4106" w:type="pct"/>
            <w:gridSpan w:val="3"/>
            <w:tcMar>
              <w:top w:w="57" w:type="dxa"/>
              <w:left w:w="0" w:type="dxa"/>
              <w:bottom w:w="57" w:type="dxa"/>
              <w:right w:w="0" w:type="dxa"/>
            </w:tcMar>
            <w:vAlign w:val="center"/>
          </w:tcPr>
          <w:p w14:paraId="444140AA">
            <w:pPr>
              <w:adjustRightInd w:val="0"/>
              <w:snapToGrid w:val="0"/>
              <w:jc w:val="center"/>
              <w:rPr>
                <w:sz w:val="24"/>
              </w:rPr>
            </w:pPr>
            <w:r>
              <w:rPr>
                <w:rFonts w:hint="eastAsia"/>
                <w:sz w:val="24"/>
              </w:rPr>
              <w:t>中心点坐标（东经</w:t>
            </w:r>
            <w:r>
              <w:rPr>
                <w:sz w:val="24"/>
              </w:rPr>
              <w:t>113</w:t>
            </w:r>
            <w:r>
              <w:rPr>
                <w:rFonts w:hint="eastAsia"/>
                <w:sz w:val="24"/>
              </w:rPr>
              <w:t>度</w:t>
            </w:r>
            <w:r>
              <w:rPr>
                <w:sz w:val="24"/>
              </w:rPr>
              <w:t>56</w:t>
            </w:r>
            <w:r>
              <w:rPr>
                <w:rFonts w:hint="eastAsia"/>
                <w:sz w:val="24"/>
              </w:rPr>
              <w:t>分</w:t>
            </w:r>
            <w:r>
              <w:rPr>
                <w:sz w:val="24"/>
              </w:rPr>
              <w:t>58.666</w:t>
            </w:r>
            <w:r>
              <w:rPr>
                <w:rFonts w:hint="eastAsia"/>
                <w:sz w:val="24"/>
              </w:rPr>
              <w:t>秒，北纬</w:t>
            </w:r>
            <w:r>
              <w:rPr>
                <w:sz w:val="24"/>
              </w:rPr>
              <w:t>23</w:t>
            </w:r>
            <w:r>
              <w:rPr>
                <w:rFonts w:hint="eastAsia"/>
                <w:sz w:val="24"/>
              </w:rPr>
              <w:t>度</w:t>
            </w:r>
            <w:r>
              <w:rPr>
                <w:sz w:val="24"/>
              </w:rPr>
              <w:t>9</w:t>
            </w:r>
            <w:r>
              <w:rPr>
                <w:rFonts w:hint="eastAsia"/>
                <w:sz w:val="24"/>
              </w:rPr>
              <w:t>分</w:t>
            </w:r>
            <w:r>
              <w:rPr>
                <w:sz w:val="24"/>
              </w:rPr>
              <w:t>53.643</w:t>
            </w:r>
            <w:r>
              <w:rPr>
                <w:rFonts w:hint="eastAsia"/>
                <w:sz w:val="24"/>
              </w:rPr>
              <w:t>秒）</w:t>
            </w:r>
          </w:p>
        </w:tc>
      </w:tr>
      <w:tr w14:paraId="2BA5FF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1398" w:hRule="atLeast"/>
          <w:jc w:val="center"/>
        </w:trPr>
        <w:tc>
          <w:tcPr>
            <w:tcW w:w="893" w:type="pct"/>
            <w:gridSpan w:val="3"/>
            <w:shd w:val="clear" w:color="auto" w:fill="auto"/>
            <w:tcMar>
              <w:top w:w="57" w:type="dxa"/>
              <w:left w:w="0" w:type="dxa"/>
              <w:bottom w:w="57" w:type="dxa"/>
              <w:right w:w="0" w:type="dxa"/>
            </w:tcMar>
            <w:vAlign w:val="center"/>
          </w:tcPr>
          <w:p w14:paraId="46C80442">
            <w:pPr>
              <w:adjustRightInd w:val="0"/>
              <w:snapToGrid w:val="0"/>
              <w:spacing w:line="288" w:lineRule="auto"/>
              <w:jc w:val="center"/>
              <w:rPr>
                <w:sz w:val="24"/>
              </w:rPr>
            </w:pPr>
            <w:r>
              <w:rPr>
                <w:rFonts w:hint="eastAsia"/>
                <w:sz w:val="24"/>
              </w:rPr>
              <w:t>建设项目行业类别</w:t>
            </w:r>
          </w:p>
        </w:tc>
        <w:tc>
          <w:tcPr>
            <w:tcW w:w="1289" w:type="pct"/>
            <w:shd w:val="clear" w:color="auto" w:fill="auto"/>
            <w:tcMar>
              <w:top w:w="57" w:type="dxa"/>
              <w:left w:w="0" w:type="dxa"/>
              <w:bottom w:w="57" w:type="dxa"/>
              <w:right w:w="0" w:type="dxa"/>
            </w:tcMar>
            <w:vAlign w:val="center"/>
          </w:tcPr>
          <w:p w14:paraId="1825A500">
            <w:pPr>
              <w:adjustRightInd w:val="0"/>
              <w:snapToGrid w:val="0"/>
              <w:spacing w:line="288" w:lineRule="auto"/>
              <w:jc w:val="center"/>
              <w:rPr>
                <w:sz w:val="24"/>
              </w:rPr>
            </w:pPr>
            <w:r>
              <w:rPr>
                <w:rFonts w:hint="eastAsia"/>
                <w:bCs/>
                <w:sz w:val="24"/>
              </w:rPr>
              <w:t>五十五核与辐射、</w:t>
            </w:r>
            <w:r>
              <w:rPr>
                <w:bCs/>
                <w:sz w:val="24"/>
              </w:rPr>
              <w:t>161</w:t>
            </w:r>
            <w:r>
              <w:rPr>
                <w:rFonts w:hint="eastAsia"/>
                <w:bCs/>
                <w:sz w:val="24"/>
              </w:rPr>
              <w:t>输变电工程</w:t>
            </w:r>
            <w:r>
              <w:rPr>
                <w:bCs/>
                <w:sz w:val="24"/>
              </w:rPr>
              <w:t>—</w:t>
            </w:r>
            <w:r>
              <w:rPr>
                <w:rFonts w:hint="eastAsia"/>
                <w:bCs/>
                <w:sz w:val="24"/>
              </w:rPr>
              <w:t>其他（</w:t>
            </w:r>
            <w:r>
              <w:rPr>
                <w:bCs/>
                <w:sz w:val="24"/>
              </w:rPr>
              <w:t>100</w:t>
            </w:r>
            <w:r>
              <w:rPr>
                <w:rFonts w:hint="eastAsia"/>
                <w:bCs/>
                <w:sz w:val="24"/>
              </w:rPr>
              <w:t>千伏以下除外）</w:t>
            </w:r>
          </w:p>
        </w:tc>
        <w:tc>
          <w:tcPr>
            <w:tcW w:w="1167" w:type="pct"/>
            <w:tcMar>
              <w:top w:w="57" w:type="dxa"/>
              <w:left w:w="0" w:type="dxa"/>
              <w:bottom w:w="57" w:type="dxa"/>
              <w:right w:w="0" w:type="dxa"/>
            </w:tcMar>
            <w:vAlign w:val="center"/>
          </w:tcPr>
          <w:p w14:paraId="468DE046">
            <w:pPr>
              <w:adjustRightInd w:val="0"/>
              <w:snapToGrid w:val="0"/>
              <w:spacing w:line="288" w:lineRule="auto"/>
              <w:jc w:val="center"/>
              <w:rPr>
                <w:sz w:val="24"/>
              </w:rPr>
            </w:pPr>
            <w:r>
              <w:rPr>
                <w:rFonts w:hint="eastAsia"/>
                <w:sz w:val="24"/>
              </w:rPr>
              <w:t>用地（用海）面积（</w:t>
            </w:r>
            <w:r>
              <w:rPr>
                <w:sz w:val="24"/>
              </w:rPr>
              <w:t>m</w:t>
            </w:r>
            <w:r>
              <w:rPr>
                <w:sz w:val="24"/>
                <w:vertAlign w:val="superscript"/>
              </w:rPr>
              <w:t>2</w:t>
            </w:r>
            <w:r>
              <w:rPr>
                <w:rFonts w:hint="eastAsia"/>
                <w:sz w:val="24"/>
              </w:rPr>
              <w:t>）</w:t>
            </w:r>
            <w:r>
              <w:rPr>
                <w:sz w:val="24"/>
              </w:rPr>
              <w:t>/</w:t>
            </w:r>
            <w:r>
              <w:rPr>
                <w:rFonts w:hint="eastAsia"/>
                <w:sz w:val="24"/>
              </w:rPr>
              <w:t>长度</w:t>
            </w:r>
            <w:r>
              <w:rPr>
                <w:sz w:val="24"/>
              </w:rPr>
              <w:t>(km)</w:t>
            </w:r>
          </w:p>
        </w:tc>
        <w:tc>
          <w:tcPr>
            <w:tcW w:w="1649" w:type="pct"/>
            <w:tcMar>
              <w:top w:w="57" w:type="dxa"/>
              <w:left w:w="0" w:type="dxa"/>
              <w:bottom w:w="57" w:type="dxa"/>
              <w:right w:w="0" w:type="dxa"/>
            </w:tcMar>
            <w:vAlign w:val="center"/>
          </w:tcPr>
          <w:p w14:paraId="6F4828A0">
            <w:pPr>
              <w:adjustRightInd w:val="0"/>
              <w:snapToGrid w:val="0"/>
              <w:spacing w:line="288" w:lineRule="auto"/>
              <w:jc w:val="center"/>
              <w:rPr>
                <w:sz w:val="24"/>
              </w:rPr>
            </w:pPr>
            <w:r>
              <w:rPr>
                <w:sz w:val="24"/>
              </w:rPr>
              <w:t>18406m</w:t>
            </w:r>
            <w:r>
              <w:rPr>
                <w:sz w:val="24"/>
                <w:vertAlign w:val="superscript"/>
              </w:rPr>
              <w:t>2</w:t>
            </w:r>
          </w:p>
        </w:tc>
      </w:tr>
      <w:tr w14:paraId="43F0AF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90" w:hRule="atLeast"/>
          <w:jc w:val="center"/>
        </w:trPr>
        <w:tc>
          <w:tcPr>
            <w:tcW w:w="893" w:type="pct"/>
            <w:gridSpan w:val="3"/>
            <w:tcMar>
              <w:top w:w="57" w:type="dxa"/>
              <w:left w:w="0" w:type="dxa"/>
              <w:bottom w:w="57" w:type="dxa"/>
              <w:right w:w="0" w:type="dxa"/>
            </w:tcMar>
            <w:vAlign w:val="center"/>
          </w:tcPr>
          <w:p w14:paraId="609D7FFC">
            <w:pPr>
              <w:adjustRightInd w:val="0"/>
              <w:snapToGrid w:val="0"/>
              <w:spacing w:line="288" w:lineRule="auto"/>
              <w:jc w:val="center"/>
              <w:rPr>
                <w:sz w:val="24"/>
              </w:rPr>
            </w:pPr>
            <w:r>
              <w:rPr>
                <w:rFonts w:hint="eastAsia"/>
                <w:sz w:val="24"/>
              </w:rPr>
              <w:t>建设性质</w:t>
            </w:r>
          </w:p>
        </w:tc>
        <w:tc>
          <w:tcPr>
            <w:tcW w:w="1289" w:type="pct"/>
            <w:tcMar>
              <w:top w:w="57" w:type="dxa"/>
              <w:left w:w="0" w:type="dxa"/>
              <w:bottom w:w="57" w:type="dxa"/>
              <w:right w:w="0" w:type="dxa"/>
            </w:tcMar>
            <w:vAlign w:val="center"/>
          </w:tcPr>
          <w:p w14:paraId="15EFFF85">
            <w:pPr>
              <w:spacing w:line="288" w:lineRule="auto"/>
              <w:jc w:val="left"/>
              <w:rPr>
                <w:sz w:val="24"/>
              </w:rPr>
            </w:pPr>
            <w:r>
              <w:rPr>
                <w:rFonts w:ascii="Segoe UI Symbol" w:hAnsi="Segoe UI Symbol" w:cs="Segoe UI Symbol"/>
                <w:sz w:val="24"/>
              </w:rPr>
              <w:t>☑</w:t>
            </w:r>
            <w:r>
              <w:rPr>
                <w:rFonts w:hint="eastAsia"/>
                <w:sz w:val="24"/>
              </w:rPr>
              <w:t>新建（迁建）</w:t>
            </w:r>
          </w:p>
          <w:p w14:paraId="7137BF2E">
            <w:pPr>
              <w:spacing w:line="288" w:lineRule="auto"/>
              <w:jc w:val="left"/>
              <w:rPr>
                <w:sz w:val="24"/>
              </w:rPr>
            </w:pPr>
            <w:r>
              <w:rPr>
                <w:rFonts w:hint="eastAsia"/>
                <w:sz w:val="24"/>
              </w:rPr>
              <w:t>□改建</w:t>
            </w:r>
          </w:p>
          <w:p w14:paraId="5AEF7A31">
            <w:pPr>
              <w:spacing w:line="288" w:lineRule="auto"/>
              <w:jc w:val="left"/>
              <w:rPr>
                <w:sz w:val="24"/>
              </w:rPr>
            </w:pPr>
            <w:r>
              <w:rPr>
                <w:rFonts w:hint="eastAsia"/>
                <w:sz w:val="24"/>
              </w:rPr>
              <w:t>□扩建</w:t>
            </w:r>
          </w:p>
          <w:p w14:paraId="44A8E03C">
            <w:pPr>
              <w:spacing w:line="288" w:lineRule="auto"/>
              <w:jc w:val="left"/>
              <w:rPr>
                <w:sz w:val="24"/>
              </w:rPr>
            </w:pPr>
            <w:r>
              <w:rPr>
                <w:rFonts w:hint="eastAsia"/>
                <w:sz w:val="24"/>
              </w:rPr>
              <w:t>□技术改造</w:t>
            </w:r>
          </w:p>
        </w:tc>
        <w:tc>
          <w:tcPr>
            <w:tcW w:w="1167" w:type="pct"/>
            <w:tcMar>
              <w:top w:w="57" w:type="dxa"/>
              <w:left w:w="0" w:type="dxa"/>
              <w:bottom w:w="57" w:type="dxa"/>
              <w:right w:w="0" w:type="dxa"/>
            </w:tcMar>
            <w:vAlign w:val="center"/>
          </w:tcPr>
          <w:p w14:paraId="2E2B00CD">
            <w:pPr>
              <w:adjustRightInd w:val="0"/>
              <w:snapToGrid w:val="0"/>
              <w:spacing w:line="288" w:lineRule="auto"/>
              <w:jc w:val="center"/>
              <w:rPr>
                <w:sz w:val="24"/>
              </w:rPr>
            </w:pPr>
            <w:r>
              <w:rPr>
                <w:rFonts w:hint="eastAsia"/>
                <w:sz w:val="24"/>
              </w:rPr>
              <w:t>建设项目</w:t>
            </w:r>
          </w:p>
          <w:p w14:paraId="481E96E4">
            <w:pPr>
              <w:adjustRightInd w:val="0"/>
              <w:snapToGrid w:val="0"/>
              <w:spacing w:line="288" w:lineRule="auto"/>
              <w:jc w:val="center"/>
              <w:rPr>
                <w:sz w:val="24"/>
              </w:rPr>
            </w:pPr>
            <w:r>
              <w:rPr>
                <w:rFonts w:hint="eastAsia"/>
                <w:sz w:val="24"/>
              </w:rPr>
              <w:t>申报情形</w:t>
            </w:r>
          </w:p>
        </w:tc>
        <w:tc>
          <w:tcPr>
            <w:tcW w:w="1649" w:type="pct"/>
            <w:tcMar>
              <w:top w:w="57" w:type="dxa"/>
              <w:left w:w="0" w:type="dxa"/>
              <w:bottom w:w="57" w:type="dxa"/>
              <w:right w:w="0" w:type="dxa"/>
            </w:tcMar>
            <w:vAlign w:val="center"/>
          </w:tcPr>
          <w:p w14:paraId="17F7810C">
            <w:pPr>
              <w:spacing w:line="288" w:lineRule="auto"/>
              <w:jc w:val="left"/>
              <w:rPr>
                <w:sz w:val="24"/>
              </w:rPr>
            </w:pPr>
            <w:r>
              <w:rPr>
                <w:rFonts w:ascii="Segoe UI Symbol" w:hAnsi="Segoe UI Symbol" w:cs="Segoe UI Symbol"/>
                <w:sz w:val="24"/>
              </w:rPr>
              <w:t>☑</w:t>
            </w:r>
            <w:r>
              <w:rPr>
                <w:rFonts w:hint="eastAsia"/>
                <w:sz w:val="24"/>
              </w:rPr>
              <w:t>首次申报项目</w:t>
            </w:r>
          </w:p>
          <w:p w14:paraId="128D4AEE">
            <w:pPr>
              <w:spacing w:line="288" w:lineRule="auto"/>
              <w:jc w:val="left"/>
              <w:rPr>
                <w:sz w:val="24"/>
              </w:rPr>
            </w:pPr>
            <w:r>
              <w:rPr>
                <w:rFonts w:hint="eastAsia"/>
                <w:sz w:val="24"/>
              </w:rPr>
              <w:t>□不予批准后再次申报项目</w:t>
            </w:r>
          </w:p>
          <w:p w14:paraId="3A54AC57">
            <w:pPr>
              <w:spacing w:line="288" w:lineRule="auto"/>
              <w:jc w:val="left"/>
              <w:rPr>
                <w:sz w:val="24"/>
              </w:rPr>
            </w:pPr>
            <w:r>
              <w:rPr>
                <w:rFonts w:hint="eastAsia"/>
                <w:sz w:val="24"/>
              </w:rPr>
              <w:t>□超五年重新审核项目</w:t>
            </w:r>
          </w:p>
          <w:p w14:paraId="23BCEAEA">
            <w:pPr>
              <w:spacing w:line="288" w:lineRule="auto"/>
              <w:jc w:val="left"/>
              <w:rPr>
                <w:sz w:val="24"/>
              </w:rPr>
            </w:pPr>
            <w:r>
              <w:rPr>
                <w:rFonts w:hint="eastAsia"/>
                <w:sz w:val="24"/>
              </w:rPr>
              <w:t>□重大变动重新报批项目</w:t>
            </w:r>
          </w:p>
        </w:tc>
      </w:tr>
      <w:tr w14:paraId="4DF48F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695" w:hRule="atLeast"/>
          <w:jc w:val="center"/>
        </w:trPr>
        <w:tc>
          <w:tcPr>
            <w:tcW w:w="893" w:type="pct"/>
            <w:gridSpan w:val="3"/>
            <w:tcMar>
              <w:top w:w="57" w:type="dxa"/>
              <w:left w:w="0" w:type="dxa"/>
              <w:bottom w:w="57" w:type="dxa"/>
              <w:right w:w="0" w:type="dxa"/>
            </w:tcMar>
            <w:vAlign w:val="center"/>
          </w:tcPr>
          <w:p w14:paraId="650C33D5">
            <w:pPr>
              <w:adjustRightInd w:val="0"/>
              <w:snapToGrid w:val="0"/>
              <w:spacing w:line="288" w:lineRule="auto"/>
              <w:jc w:val="center"/>
              <w:rPr>
                <w:sz w:val="24"/>
              </w:rPr>
            </w:pPr>
            <w:r>
              <w:rPr>
                <w:rFonts w:hint="eastAsia"/>
                <w:sz w:val="24"/>
              </w:rPr>
              <w:t>项目审批（核准</w:t>
            </w:r>
            <w:r>
              <w:rPr>
                <w:sz w:val="24"/>
              </w:rPr>
              <w:t>/</w:t>
            </w:r>
            <w:r>
              <w:rPr>
                <w:rFonts w:hint="eastAsia"/>
                <w:sz w:val="24"/>
              </w:rPr>
              <w:t>备案）部门（选填）</w:t>
            </w:r>
          </w:p>
        </w:tc>
        <w:tc>
          <w:tcPr>
            <w:tcW w:w="1289" w:type="pct"/>
            <w:tcMar>
              <w:top w:w="57" w:type="dxa"/>
              <w:left w:w="0" w:type="dxa"/>
              <w:bottom w:w="57" w:type="dxa"/>
              <w:right w:w="0" w:type="dxa"/>
            </w:tcMar>
            <w:vAlign w:val="center"/>
          </w:tcPr>
          <w:p w14:paraId="5F4B4AF3">
            <w:pPr>
              <w:adjustRightInd w:val="0"/>
              <w:snapToGrid w:val="0"/>
              <w:jc w:val="center"/>
              <w:rPr>
                <w:sz w:val="24"/>
              </w:rPr>
            </w:pPr>
            <w:r>
              <w:rPr>
                <w:sz w:val="24"/>
              </w:rPr>
              <w:t>/</w:t>
            </w:r>
          </w:p>
        </w:tc>
        <w:tc>
          <w:tcPr>
            <w:tcW w:w="1167" w:type="pct"/>
            <w:tcMar>
              <w:top w:w="57" w:type="dxa"/>
              <w:left w:w="0" w:type="dxa"/>
              <w:bottom w:w="57" w:type="dxa"/>
              <w:right w:w="0" w:type="dxa"/>
            </w:tcMar>
            <w:vAlign w:val="center"/>
          </w:tcPr>
          <w:p w14:paraId="0E784B82">
            <w:pPr>
              <w:adjustRightInd w:val="0"/>
              <w:snapToGrid w:val="0"/>
              <w:jc w:val="center"/>
              <w:rPr>
                <w:sz w:val="24"/>
              </w:rPr>
            </w:pPr>
            <w:r>
              <w:rPr>
                <w:rFonts w:hint="eastAsia"/>
                <w:sz w:val="24"/>
              </w:rPr>
              <w:t>项目审批（核准</w:t>
            </w:r>
            <w:r>
              <w:rPr>
                <w:sz w:val="24"/>
              </w:rPr>
              <w:t>/</w:t>
            </w:r>
          </w:p>
          <w:p w14:paraId="4933F775">
            <w:pPr>
              <w:adjustRightInd w:val="0"/>
              <w:snapToGrid w:val="0"/>
              <w:jc w:val="center"/>
              <w:rPr>
                <w:sz w:val="24"/>
              </w:rPr>
            </w:pPr>
            <w:r>
              <w:rPr>
                <w:rFonts w:hint="eastAsia"/>
                <w:sz w:val="24"/>
              </w:rPr>
              <w:t>备案）文号（选填）</w:t>
            </w:r>
          </w:p>
        </w:tc>
        <w:tc>
          <w:tcPr>
            <w:tcW w:w="1649" w:type="pct"/>
            <w:tcMar>
              <w:top w:w="57" w:type="dxa"/>
              <w:left w:w="0" w:type="dxa"/>
              <w:bottom w:w="57" w:type="dxa"/>
              <w:right w:w="0" w:type="dxa"/>
            </w:tcMar>
            <w:vAlign w:val="center"/>
          </w:tcPr>
          <w:p w14:paraId="067A0349">
            <w:pPr>
              <w:adjustRightInd w:val="0"/>
              <w:snapToGrid w:val="0"/>
              <w:jc w:val="center"/>
              <w:rPr>
                <w:sz w:val="24"/>
              </w:rPr>
            </w:pPr>
            <w:r>
              <w:rPr>
                <w:sz w:val="24"/>
              </w:rPr>
              <w:t>/</w:t>
            </w:r>
          </w:p>
        </w:tc>
      </w:tr>
      <w:tr w14:paraId="1267DE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434" w:hRule="atLeast"/>
          <w:jc w:val="center"/>
        </w:trPr>
        <w:tc>
          <w:tcPr>
            <w:tcW w:w="893" w:type="pct"/>
            <w:gridSpan w:val="3"/>
            <w:tcMar>
              <w:top w:w="57" w:type="dxa"/>
              <w:left w:w="0" w:type="dxa"/>
              <w:bottom w:w="57" w:type="dxa"/>
              <w:right w:w="0" w:type="dxa"/>
            </w:tcMar>
            <w:vAlign w:val="center"/>
          </w:tcPr>
          <w:p w14:paraId="7D3F01E2">
            <w:pPr>
              <w:adjustRightInd w:val="0"/>
              <w:snapToGrid w:val="0"/>
              <w:spacing w:line="288" w:lineRule="auto"/>
              <w:jc w:val="center"/>
              <w:rPr>
                <w:sz w:val="24"/>
              </w:rPr>
            </w:pPr>
            <w:r>
              <w:rPr>
                <w:rFonts w:hint="eastAsia"/>
                <w:sz w:val="24"/>
              </w:rPr>
              <w:t>总投资（万元）</w:t>
            </w:r>
          </w:p>
        </w:tc>
        <w:tc>
          <w:tcPr>
            <w:tcW w:w="1289" w:type="pct"/>
            <w:tcMar>
              <w:top w:w="57" w:type="dxa"/>
              <w:left w:w="0" w:type="dxa"/>
              <w:bottom w:w="57" w:type="dxa"/>
              <w:right w:w="0" w:type="dxa"/>
            </w:tcMar>
            <w:vAlign w:val="center"/>
          </w:tcPr>
          <w:p w14:paraId="6081617B">
            <w:pPr>
              <w:adjustRightInd w:val="0"/>
              <w:snapToGrid w:val="0"/>
              <w:spacing w:line="288" w:lineRule="auto"/>
              <w:jc w:val="center"/>
              <w:rPr>
                <w:sz w:val="24"/>
              </w:rPr>
            </w:pPr>
            <w:r>
              <w:rPr>
                <w:sz w:val="24"/>
              </w:rPr>
              <w:t>50450</w:t>
            </w:r>
          </w:p>
        </w:tc>
        <w:tc>
          <w:tcPr>
            <w:tcW w:w="1167" w:type="pct"/>
            <w:tcMar>
              <w:top w:w="57" w:type="dxa"/>
              <w:left w:w="0" w:type="dxa"/>
              <w:bottom w:w="57" w:type="dxa"/>
              <w:right w:w="0" w:type="dxa"/>
            </w:tcMar>
            <w:vAlign w:val="center"/>
          </w:tcPr>
          <w:p w14:paraId="6FEE8543">
            <w:pPr>
              <w:adjustRightInd w:val="0"/>
              <w:snapToGrid w:val="0"/>
              <w:spacing w:line="288" w:lineRule="auto"/>
              <w:jc w:val="center"/>
              <w:rPr>
                <w:sz w:val="24"/>
              </w:rPr>
            </w:pPr>
            <w:r>
              <w:rPr>
                <w:rFonts w:hint="eastAsia"/>
                <w:sz w:val="24"/>
              </w:rPr>
              <w:t>环保投资（万元）</w:t>
            </w:r>
          </w:p>
        </w:tc>
        <w:tc>
          <w:tcPr>
            <w:tcW w:w="1649" w:type="pct"/>
            <w:tcMar>
              <w:top w:w="57" w:type="dxa"/>
              <w:left w:w="0" w:type="dxa"/>
              <w:bottom w:w="57" w:type="dxa"/>
              <w:right w:w="0" w:type="dxa"/>
            </w:tcMar>
            <w:vAlign w:val="center"/>
          </w:tcPr>
          <w:p w14:paraId="204D235F">
            <w:pPr>
              <w:adjustRightInd w:val="0"/>
              <w:snapToGrid w:val="0"/>
              <w:spacing w:line="288" w:lineRule="auto"/>
              <w:jc w:val="center"/>
              <w:rPr>
                <w:sz w:val="24"/>
              </w:rPr>
            </w:pPr>
            <w:r>
              <w:rPr>
                <w:sz w:val="24"/>
              </w:rPr>
              <w:t>60</w:t>
            </w:r>
          </w:p>
        </w:tc>
      </w:tr>
      <w:tr w14:paraId="5131A2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497" w:hRule="atLeast"/>
          <w:jc w:val="center"/>
        </w:trPr>
        <w:tc>
          <w:tcPr>
            <w:tcW w:w="893" w:type="pct"/>
            <w:gridSpan w:val="3"/>
            <w:tcMar>
              <w:top w:w="57" w:type="dxa"/>
              <w:left w:w="0" w:type="dxa"/>
              <w:bottom w:w="57" w:type="dxa"/>
              <w:right w:w="0" w:type="dxa"/>
            </w:tcMar>
            <w:vAlign w:val="center"/>
          </w:tcPr>
          <w:p w14:paraId="1841227F">
            <w:pPr>
              <w:adjustRightInd w:val="0"/>
              <w:snapToGrid w:val="0"/>
              <w:spacing w:line="288" w:lineRule="auto"/>
              <w:jc w:val="center"/>
              <w:rPr>
                <w:sz w:val="24"/>
              </w:rPr>
            </w:pPr>
            <w:r>
              <w:rPr>
                <w:rFonts w:hint="eastAsia"/>
                <w:sz w:val="24"/>
              </w:rPr>
              <w:t>环保投资占比（</w:t>
            </w:r>
            <w:r>
              <w:rPr>
                <w:sz w:val="24"/>
              </w:rPr>
              <w:t>%</w:t>
            </w:r>
            <w:r>
              <w:rPr>
                <w:rFonts w:hint="eastAsia"/>
                <w:sz w:val="24"/>
              </w:rPr>
              <w:t>）</w:t>
            </w:r>
          </w:p>
        </w:tc>
        <w:tc>
          <w:tcPr>
            <w:tcW w:w="1289" w:type="pct"/>
            <w:tcMar>
              <w:top w:w="57" w:type="dxa"/>
              <w:left w:w="0" w:type="dxa"/>
              <w:bottom w:w="57" w:type="dxa"/>
              <w:right w:w="0" w:type="dxa"/>
            </w:tcMar>
            <w:vAlign w:val="center"/>
          </w:tcPr>
          <w:p w14:paraId="2D52158A">
            <w:pPr>
              <w:adjustRightInd w:val="0"/>
              <w:snapToGrid w:val="0"/>
              <w:spacing w:line="288" w:lineRule="auto"/>
              <w:jc w:val="center"/>
              <w:rPr>
                <w:sz w:val="24"/>
              </w:rPr>
            </w:pPr>
            <w:r>
              <w:rPr>
                <w:sz w:val="24"/>
              </w:rPr>
              <w:t>0.12</w:t>
            </w:r>
          </w:p>
        </w:tc>
        <w:tc>
          <w:tcPr>
            <w:tcW w:w="1167" w:type="pct"/>
            <w:tcMar>
              <w:top w:w="57" w:type="dxa"/>
              <w:left w:w="0" w:type="dxa"/>
              <w:bottom w:w="57" w:type="dxa"/>
              <w:right w:w="0" w:type="dxa"/>
            </w:tcMar>
            <w:vAlign w:val="center"/>
          </w:tcPr>
          <w:p w14:paraId="54CAD1C7">
            <w:pPr>
              <w:adjustRightInd w:val="0"/>
              <w:snapToGrid w:val="0"/>
              <w:spacing w:line="288" w:lineRule="auto"/>
              <w:jc w:val="center"/>
              <w:rPr>
                <w:sz w:val="24"/>
              </w:rPr>
            </w:pPr>
            <w:r>
              <w:rPr>
                <w:rFonts w:hint="eastAsia"/>
                <w:sz w:val="24"/>
              </w:rPr>
              <w:t>施工工期</w:t>
            </w:r>
          </w:p>
        </w:tc>
        <w:tc>
          <w:tcPr>
            <w:tcW w:w="1649" w:type="pct"/>
            <w:tcMar>
              <w:top w:w="57" w:type="dxa"/>
              <w:left w:w="0" w:type="dxa"/>
              <w:bottom w:w="57" w:type="dxa"/>
              <w:right w:w="0" w:type="dxa"/>
            </w:tcMar>
            <w:vAlign w:val="center"/>
          </w:tcPr>
          <w:p w14:paraId="41BCA347">
            <w:pPr>
              <w:adjustRightInd w:val="0"/>
              <w:snapToGrid w:val="0"/>
              <w:spacing w:line="288" w:lineRule="auto"/>
              <w:jc w:val="center"/>
              <w:rPr>
                <w:sz w:val="24"/>
              </w:rPr>
            </w:pPr>
            <w:r>
              <w:rPr>
                <w:sz w:val="24"/>
              </w:rPr>
              <w:t>6</w:t>
            </w:r>
            <w:r>
              <w:rPr>
                <w:rFonts w:hint="eastAsia"/>
                <w:sz w:val="24"/>
              </w:rPr>
              <w:t>个月</w:t>
            </w:r>
          </w:p>
        </w:tc>
      </w:tr>
      <w:tr w14:paraId="2690E1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424" w:hRule="atLeast"/>
          <w:jc w:val="center"/>
        </w:trPr>
        <w:tc>
          <w:tcPr>
            <w:tcW w:w="893" w:type="pct"/>
            <w:gridSpan w:val="3"/>
            <w:tcMar>
              <w:top w:w="57" w:type="dxa"/>
              <w:left w:w="0" w:type="dxa"/>
              <w:bottom w:w="57" w:type="dxa"/>
              <w:right w:w="0" w:type="dxa"/>
            </w:tcMar>
            <w:vAlign w:val="center"/>
          </w:tcPr>
          <w:p w14:paraId="6B94E25E">
            <w:pPr>
              <w:adjustRightInd w:val="0"/>
              <w:snapToGrid w:val="0"/>
              <w:jc w:val="center"/>
              <w:rPr>
                <w:sz w:val="24"/>
              </w:rPr>
            </w:pPr>
            <w:r>
              <w:rPr>
                <w:rFonts w:hint="eastAsia"/>
                <w:sz w:val="24"/>
              </w:rPr>
              <w:t>是否开工建设</w:t>
            </w:r>
          </w:p>
        </w:tc>
        <w:tc>
          <w:tcPr>
            <w:tcW w:w="4106" w:type="pct"/>
            <w:gridSpan w:val="3"/>
            <w:tcMar>
              <w:top w:w="57" w:type="dxa"/>
              <w:left w:w="0" w:type="dxa"/>
              <w:bottom w:w="57" w:type="dxa"/>
              <w:right w:w="0" w:type="dxa"/>
            </w:tcMar>
            <w:vAlign w:val="center"/>
          </w:tcPr>
          <w:p w14:paraId="18D39033">
            <w:pPr>
              <w:adjustRightInd w:val="0"/>
              <w:snapToGrid w:val="0"/>
              <w:jc w:val="left"/>
              <w:rPr>
                <w:sz w:val="24"/>
              </w:rPr>
            </w:pPr>
            <w:r>
              <w:rPr>
                <w:rFonts w:ascii="Segoe UI Symbol" w:hAnsi="Segoe UI Symbol" w:cs="Segoe UI Symbol"/>
                <w:sz w:val="24"/>
              </w:rPr>
              <w:t>☑</w:t>
            </w:r>
            <w:r>
              <w:rPr>
                <w:rFonts w:hint="eastAsia"/>
                <w:sz w:val="24"/>
              </w:rPr>
              <w:t>否</w:t>
            </w:r>
          </w:p>
          <w:p w14:paraId="1735FEAF">
            <w:pPr>
              <w:adjustRightInd w:val="0"/>
              <w:snapToGrid w:val="0"/>
              <w:jc w:val="left"/>
              <w:rPr>
                <w:sz w:val="24"/>
              </w:rPr>
            </w:pPr>
            <w:r>
              <w:rPr>
                <w:rFonts w:hint="eastAsia"/>
                <w:sz w:val="24"/>
              </w:rPr>
              <w:t>□是：</w:t>
            </w:r>
          </w:p>
        </w:tc>
      </w:tr>
      <w:tr w14:paraId="307C55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608" w:hRule="atLeast"/>
          <w:jc w:val="center"/>
        </w:trPr>
        <w:tc>
          <w:tcPr>
            <w:tcW w:w="567" w:type="pct"/>
            <w:gridSpan w:val="2"/>
            <w:tcMar>
              <w:top w:w="57" w:type="dxa"/>
              <w:left w:w="0" w:type="dxa"/>
              <w:bottom w:w="57" w:type="dxa"/>
              <w:right w:w="0" w:type="dxa"/>
            </w:tcMar>
            <w:vAlign w:val="center"/>
          </w:tcPr>
          <w:p w14:paraId="3760F131">
            <w:pPr>
              <w:autoSpaceDE w:val="0"/>
              <w:autoSpaceDN w:val="0"/>
              <w:adjustRightInd w:val="0"/>
              <w:snapToGrid w:val="0"/>
              <w:spacing w:line="288" w:lineRule="auto"/>
              <w:jc w:val="center"/>
              <w:rPr>
                <w:kern w:val="0"/>
                <w:sz w:val="24"/>
              </w:rPr>
            </w:pPr>
            <w:r>
              <w:rPr>
                <w:rFonts w:hint="eastAsia"/>
                <w:kern w:val="0"/>
                <w:sz w:val="24"/>
              </w:rPr>
              <w:t>专项评价设置情况</w:t>
            </w:r>
          </w:p>
        </w:tc>
        <w:tc>
          <w:tcPr>
            <w:tcW w:w="4432" w:type="pct"/>
            <w:gridSpan w:val="4"/>
            <w:tcMar>
              <w:top w:w="57" w:type="dxa"/>
              <w:left w:w="0" w:type="dxa"/>
              <w:bottom w:w="57" w:type="dxa"/>
              <w:right w:w="0" w:type="dxa"/>
            </w:tcMar>
            <w:vAlign w:val="center"/>
          </w:tcPr>
          <w:p w14:paraId="4D5A2E0B">
            <w:pPr>
              <w:pStyle w:val="132"/>
              <w:rPr>
                <w:b/>
              </w:rPr>
            </w:pPr>
            <w:r>
              <w:rPr>
                <w:rFonts w:hint="eastAsia"/>
                <w:b/>
              </w:rPr>
              <w:t>表</w:t>
            </w:r>
            <w:r>
              <w:rPr>
                <w:b/>
              </w:rPr>
              <w:t>1-1</w:t>
            </w:r>
            <w:r>
              <w:rPr>
                <w:rFonts w:hint="eastAsia"/>
                <w:b/>
              </w:rPr>
              <w:t>专项评价设置情况分析表</w:t>
            </w:r>
          </w:p>
          <w:tbl>
            <w:tblPr>
              <w:tblStyle w:val="150"/>
              <w:tblW w:w="485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75"/>
              <w:gridCol w:w="4918"/>
              <w:gridCol w:w="986"/>
              <w:gridCol w:w="539"/>
            </w:tblGrid>
            <w:tr w14:paraId="634D8B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71" w:type="pct"/>
                  <w:vAlign w:val="center"/>
                </w:tcPr>
                <w:p w14:paraId="0D68CAB9">
                  <w:pPr>
                    <w:pStyle w:val="59"/>
                    <w:rPr>
                      <w:rFonts w:hint="default" w:ascii="Times New Roman" w:eastAsia="宋体" w:cs="Times New Roman"/>
                      <w:b/>
                      <w:i w:val="0"/>
                    </w:rPr>
                  </w:pPr>
                  <w:r>
                    <w:rPr>
                      <w:rFonts w:hint="eastAsia" w:ascii="Times New Roman" w:eastAsia="宋体" w:cs="Times New Roman"/>
                      <w:b/>
                      <w:i w:val="0"/>
                    </w:rPr>
                    <w:t>专项评价</w:t>
                  </w:r>
                </w:p>
                <w:p w14:paraId="740941A4">
                  <w:pPr>
                    <w:pStyle w:val="59"/>
                    <w:rPr>
                      <w:rFonts w:hint="default" w:ascii="Times New Roman" w:eastAsia="宋体" w:cs="Times New Roman"/>
                      <w:b/>
                      <w:i w:val="0"/>
                    </w:rPr>
                  </w:pPr>
                  <w:r>
                    <w:rPr>
                      <w:rFonts w:hint="eastAsia" w:ascii="Times New Roman" w:eastAsia="宋体" w:cs="Times New Roman"/>
                      <w:b/>
                      <w:i w:val="0"/>
                    </w:rPr>
                    <w:t>的类别</w:t>
                  </w:r>
                </w:p>
              </w:tc>
              <w:tc>
                <w:tcPr>
                  <w:tcW w:w="3228" w:type="pct"/>
                  <w:vAlign w:val="center"/>
                </w:tcPr>
                <w:p w14:paraId="6D685292">
                  <w:pPr>
                    <w:pStyle w:val="59"/>
                    <w:rPr>
                      <w:rFonts w:hint="default" w:ascii="Times New Roman" w:eastAsia="宋体" w:cs="Times New Roman"/>
                      <w:b/>
                      <w:i w:val="0"/>
                    </w:rPr>
                  </w:pPr>
                  <w:r>
                    <w:rPr>
                      <w:rFonts w:hint="eastAsia" w:ascii="Times New Roman" w:eastAsia="宋体" w:cs="Times New Roman"/>
                      <w:b/>
                      <w:i w:val="0"/>
                    </w:rPr>
                    <w:t>设置原则</w:t>
                  </w:r>
                </w:p>
              </w:tc>
              <w:tc>
                <w:tcPr>
                  <w:tcW w:w="646" w:type="pct"/>
                  <w:vAlign w:val="center"/>
                </w:tcPr>
                <w:p w14:paraId="0464DA8B">
                  <w:pPr>
                    <w:pStyle w:val="59"/>
                    <w:rPr>
                      <w:rFonts w:hint="default" w:ascii="Times New Roman" w:eastAsia="宋体" w:cs="Times New Roman"/>
                      <w:b/>
                      <w:i w:val="0"/>
                    </w:rPr>
                  </w:pPr>
                  <w:r>
                    <w:rPr>
                      <w:rFonts w:hint="eastAsia" w:ascii="Times New Roman" w:eastAsia="宋体" w:cs="Times New Roman"/>
                      <w:b/>
                      <w:i w:val="0"/>
                    </w:rPr>
                    <w:t>本项目</w:t>
                  </w:r>
                </w:p>
              </w:tc>
              <w:tc>
                <w:tcPr>
                  <w:tcW w:w="354" w:type="pct"/>
                  <w:vAlign w:val="center"/>
                </w:tcPr>
                <w:p w14:paraId="3B0369BB">
                  <w:pPr>
                    <w:pStyle w:val="59"/>
                    <w:rPr>
                      <w:rFonts w:hint="default" w:ascii="Times New Roman" w:eastAsia="宋体" w:cs="Times New Roman"/>
                      <w:b/>
                      <w:i w:val="0"/>
                    </w:rPr>
                  </w:pPr>
                  <w:r>
                    <w:rPr>
                      <w:rFonts w:hint="eastAsia" w:ascii="Times New Roman" w:eastAsia="宋体" w:cs="Times New Roman"/>
                      <w:b/>
                      <w:i w:val="0"/>
                    </w:rPr>
                    <w:t>是否设置</w:t>
                  </w:r>
                </w:p>
              </w:tc>
            </w:tr>
            <w:tr w14:paraId="648265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771" w:type="pct"/>
                  <w:vAlign w:val="center"/>
                </w:tcPr>
                <w:p w14:paraId="0A23006C">
                  <w:pPr>
                    <w:pStyle w:val="59"/>
                    <w:rPr>
                      <w:rFonts w:eastAsia="Times New Roman"/>
                    </w:rPr>
                  </w:pPr>
                  <w:r>
                    <w:rPr>
                      <w:rFonts w:hint="eastAsia" w:ascii="宋体" w:hAnsi="宋体" w:eastAsia="宋体" w:cs="宋体"/>
                    </w:rPr>
                    <w:t>地表水</w:t>
                  </w:r>
                </w:p>
              </w:tc>
              <w:tc>
                <w:tcPr>
                  <w:tcW w:w="3228" w:type="pct"/>
                  <w:vAlign w:val="center"/>
                </w:tcPr>
                <w:p w14:paraId="65BD7033">
                  <w:pPr>
                    <w:pStyle w:val="59"/>
                    <w:jc w:val="both"/>
                    <w:rPr>
                      <w:rFonts w:eastAsia="Times New Roman"/>
                    </w:rPr>
                  </w:pPr>
                  <w:r>
                    <w:rPr>
                      <w:rFonts w:hint="eastAsia" w:ascii="宋体" w:hAnsi="宋体" w:eastAsia="宋体" w:cs="宋体"/>
                    </w:rPr>
                    <w:t>水力发电：引水式发电、涉及调峰发电的项目；人工湖、人工湿地：全部；水库：全部；引水工程：全部（配套的管线工程等除外）；防洪除涝工程：包含水库的项目；河湖整治：涉及清淤且底泥存在重金属污染的项目。</w:t>
                  </w:r>
                </w:p>
              </w:tc>
              <w:tc>
                <w:tcPr>
                  <w:tcW w:w="646" w:type="pct"/>
                  <w:vAlign w:val="center"/>
                </w:tcPr>
                <w:p w14:paraId="0F2EE026">
                  <w:pPr>
                    <w:pStyle w:val="59"/>
                    <w:rPr>
                      <w:rFonts w:eastAsia="Times New Roman"/>
                    </w:rPr>
                  </w:pPr>
                  <w:r>
                    <w:rPr>
                      <w:rFonts w:hint="eastAsia" w:ascii="宋体" w:hAnsi="宋体" w:eastAsia="宋体" w:cs="宋体"/>
                    </w:rPr>
                    <w:t>不涉及</w:t>
                  </w:r>
                </w:p>
              </w:tc>
              <w:tc>
                <w:tcPr>
                  <w:tcW w:w="354" w:type="pct"/>
                  <w:vAlign w:val="center"/>
                </w:tcPr>
                <w:p w14:paraId="2B537354">
                  <w:pPr>
                    <w:pStyle w:val="59"/>
                    <w:rPr>
                      <w:rFonts w:eastAsia="Times New Roman"/>
                    </w:rPr>
                  </w:pPr>
                  <w:r>
                    <w:rPr>
                      <w:rFonts w:hint="eastAsia" w:ascii="宋体" w:hAnsi="宋体" w:eastAsia="宋体" w:cs="宋体"/>
                    </w:rPr>
                    <w:t>否</w:t>
                  </w:r>
                </w:p>
              </w:tc>
            </w:tr>
            <w:tr w14:paraId="714664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771" w:type="pct"/>
                  <w:vAlign w:val="center"/>
                </w:tcPr>
                <w:p w14:paraId="0915E7B1">
                  <w:pPr>
                    <w:pStyle w:val="59"/>
                    <w:rPr>
                      <w:rFonts w:eastAsia="Times New Roman"/>
                    </w:rPr>
                  </w:pPr>
                  <w:r>
                    <w:rPr>
                      <w:rFonts w:hint="eastAsia" w:ascii="宋体" w:hAnsi="宋体" w:eastAsia="宋体" w:cs="宋体"/>
                    </w:rPr>
                    <w:t>地下水</w:t>
                  </w:r>
                </w:p>
              </w:tc>
              <w:tc>
                <w:tcPr>
                  <w:tcW w:w="3228" w:type="pct"/>
                  <w:vAlign w:val="center"/>
                </w:tcPr>
                <w:p w14:paraId="0533905E">
                  <w:pPr>
                    <w:pStyle w:val="59"/>
                    <w:jc w:val="both"/>
                    <w:rPr>
                      <w:rFonts w:eastAsia="Times New Roman"/>
                    </w:rPr>
                  </w:pPr>
                  <w:r>
                    <w:rPr>
                      <w:rFonts w:hint="eastAsia" w:ascii="宋体" w:hAnsi="宋体" w:eastAsia="宋体" w:cs="宋体"/>
                    </w:rPr>
                    <w:t>陆地石油和天然气开采：全部；地下水（含矿泉水）开采：全部；水利、水电、交通等：含穿越可溶岩地层隧道的项目。</w:t>
                  </w:r>
                </w:p>
              </w:tc>
              <w:tc>
                <w:tcPr>
                  <w:tcW w:w="646" w:type="pct"/>
                  <w:vAlign w:val="center"/>
                </w:tcPr>
                <w:p w14:paraId="70E3F893">
                  <w:pPr>
                    <w:pStyle w:val="59"/>
                    <w:rPr>
                      <w:rFonts w:eastAsia="Times New Roman"/>
                    </w:rPr>
                  </w:pPr>
                  <w:r>
                    <w:rPr>
                      <w:rFonts w:hint="eastAsia" w:ascii="宋体" w:hAnsi="宋体" w:eastAsia="宋体" w:cs="宋体"/>
                    </w:rPr>
                    <w:t>不涉及</w:t>
                  </w:r>
                </w:p>
              </w:tc>
              <w:tc>
                <w:tcPr>
                  <w:tcW w:w="354" w:type="pct"/>
                  <w:vAlign w:val="center"/>
                </w:tcPr>
                <w:p w14:paraId="375534CB">
                  <w:pPr>
                    <w:pStyle w:val="59"/>
                    <w:rPr>
                      <w:rFonts w:eastAsia="Times New Roman"/>
                    </w:rPr>
                  </w:pPr>
                  <w:r>
                    <w:rPr>
                      <w:rFonts w:hint="eastAsia" w:ascii="宋体" w:hAnsi="宋体" w:eastAsia="宋体" w:cs="宋体"/>
                    </w:rPr>
                    <w:t>否</w:t>
                  </w:r>
                </w:p>
              </w:tc>
            </w:tr>
            <w:tr w14:paraId="3A471D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771" w:type="pct"/>
                  <w:vAlign w:val="center"/>
                </w:tcPr>
                <w:p w14:paraId="163EEC2D">
                  <w:pPr>
                    <w:pStyle w:val="59"/>
                    <w:rPr>
                      <w:rFonts w:eastAsia="Times New Roman"/>
                    </w:rPr>
                  </w:pPr>
                  <w:r>
                    <w:rPr>
                      <w:rFonts w:hint="eastAsia" w:ascii="宋体" w:hAnsi="宋体" w:eastAsia="宋体" w:cs="宋体"/>
                    </w:rPr>
                    <w:t>生态</w:t>
                  </w:r>
                </w:p>
              </w:tc>
              <w:tc>
                <w:tcPr>
                  <w:tcW w:w="3228" w:type="pct"/>
                  <w:vAlign w:val="center"/>
                </w:tcPr>
                <w:p w14:paraId="061B0B42">
                  <w:pPr>
                    <w:pStyle w:val="59"/>
                    <w:jc w:val="both"/>
                    <w:rPr>
                      <w:rFonts w:eastAsia="Times New Roman"/>
                    </w:rPr>
                  </w:pPr>
                  <w:r>
                    <w:rPr>
                      <w:rFonts w:hint="eastAsia" w:ascii="宋体" w:hAnsi="宋体" w:eastAsia="宋体" w:cs="宋体"/>
                    </w:rPr>
                    <w:t>涉及环境敏感区（不包括饮用水水源保护区，以居住、医疗卫生、文化教育、科研、行政办公为主要功能的区域，以及文物保护单位）的项目。</w:t>
                  </w:r>
                </w:p>
              </w:tc>
              <w:tc>
                <w:tcPr>
                  <w:tcW w:w="646" w:type="pct"/>
                  <w:vAlign w:val="center"/>
                </w:tcPr>
                <w:p w14:paraId="243571ED">
                  <w:pPr>
                    <w:pStyle w:val="59"/>
                    <w:rPr>
                      <w:rFonts w:eastAsia="Times New Roman"/>
                    </w:rPr>
                  </w:pPr>
                  <w:r>
                    <w:rPr>
                      <w:rFonts w:hint="eastAsia" w:ascii="宋体" w:hAnsi="宋体" w:eastAsia="宋体" w:cs="宋体"/>
                    </w:rPr>
                    <w:t>不涉及</w:t>
                  </w:r>
                </w:p>
              </w:tc>
              <w:tc>
                <w:tcPr>
                  <w:tcW w:w="354" w:type="pct"/>
                  <w:vAlign w:val="center"/>
                </w:tcPr>
                <w:p w14:paraId="7C0EEB49">
                  <w:pPr>
                    <w:pStyle w:val="59"/>
                    <w:rPr>
                      <w:rFonts w:eastAsia="Times New Roman"/>
                    </w:rPr>
                  </w:pPr>
                  <w:r>
                    <w:rPr>
                      <w:rFonts w:hint="eastAsia" w:ascii="宋体" w:hAnsi="宋体" w:eastAsia="宋体" w:cs="宋体"/>
                    </w:rPr>
                    <w:t>否</w:t>
                  </w:r>
                </w:p>
              </w:tc>
            </w:tr>
            <w:tr w14:paraId="156635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771" w:type="pct"/>
                  <w:vAlign w:val="center"/>
                </w:tcPr>
                <w:p w14:paraId="6E42E51C">
                  <w:pPr>
                    <w:pStyle w:val="59"/>
                    <w:rPr>
                      <w:rFonts w:eastAsia="Times New Roman"/>
                    </w:rPr>
                  </w:pPr>
                  <w:r>
                    <w:rPr>
                      <w:rFonts w:hint="eastAsia" w:ascii="宋体" w:hAnsi="宋体" w:eastAsia="宋体" w:cs="宋体"/>
                    </w:rPr>
                    <w:t>大气</w:t>
                  </w:r>
                </w:p>
              </w:tc>
              <w:tc>
                <w:tcPr>
                  <w:tcW w:w="3228" w:type="pct"/>
                  <w:vAlign w:val="center"/>
                </w:tcPr>
                <w:p w14:paraId="79A4F2EE">
                  <w:pPr>
                    <w:pStyle w:val="59"/>
                    <w:jc w:val="both"/>
                    <w:rPr>
                      <w:rFonts w:eastAsia="Times New Roman"/>
                    </w:rPr>
                  </w:pPr>
                  <w:r>
                    <w:rPr>
                      <w:rFonts w:hint="eastAsia" w:ascii="宋体" w:hAnsi="宋体" w:eastAsia="宋体" w:cs="宋体"/>
                    </w:rPr>
                    <w:t>油气、液体化工码头：全部；干散货（含煤炭、矿石）、件杂、多用途、通用码头：涉及粉尘、挥发性有机物排放的项目。</w:t>
                  </w:r>
                </w:p>
              </w:tc>
              <w:tc>
                <w:tcPr>
                  <w:tcW w:w="646" w:type="pct"/>
                  <w:vAlign w:val="center"/>
                </w:tcPr>
                <w:p w14:paraId="6C05F314">
                  <w:pPr>
                    <w:pStyle w:val="59"/>
                    <w:rPr>
                      <w:rFonts w:eastAsia="Times New Roman"/>
                    </w:rPr>
                  </w:pPr>
                  <w:r>
                    <w:rPr>
                      <w:rFonts w:hint="eastAsia" w:ascii="宋体" w:hAnsi="宋体" w:eastAsia="宋体" w:cs="宋体"/>
                    </w:rPr>
                    <w:t>不涉及</w:t>
                  </w:r>
                </w:p>
              </w:tc>
              <w:tc>
                <w:tcPr>
                  <w:tcW w:w="354" w:type="pct"/>
                  <w:vAlign w:val="center"/>
                </w:tcPr>
                <w:p w14:paraId="2B5D38AC">
                  <w:pPr>
                    <w:pStyle w:val="59"/>
                    <w:rPr>
                      <w:rFonts w:eastAsia="Times New Roman"/>
                    </w:rPr>
                  </w:pPr>
                  <w:r>
                    <w:rPr>
                      <w:rFonts w:hint="eastAsia" w:ascii="宋体" w:hAnsi="宋体" w:eastAsia="宋体" w:cs="宋体"/>
                    </w:rPr>
                    <w:t>否</w:t>
                  </w:r>
                </w:p>
              </w:tc>
            </w:tr>
            <w:tr w14:paraId="0C50DB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12" w:hRule="atLeast"/>
              </w:trPr>
              <w:tc>
                <w:tcPr>
                  <w:tcW w:w="771" w:type="pct"/>
                  <w:vAlign w:val="center"/>
                </w:tcPr>
                <w:p w14:paraId="0EE250D6">
                  <w:pPr>
                    <w:pStyle w:val="59"/>
                    <w:rPr>
                      <w:rFonts w:eastAsia="Times New Roman"/>
                    </w:rPr>
                  </w:pPr>
                  <w:r>
                    <w:rPr>
                      <w:rFonts w:hint="eastAsia" w:ascii="宋体" w:hAnsi="宋体" w:eastAsia="宋体" w:cs="宋体"/>
                    </w:rPr>
                    <w:t>噪声</w:t>
                  </w:r>
                </w:p>
              </w:tc>
              <w:tc>
                <w:tcPr>
                  <w:tcW w:w="3228" w:type="pct"/>
                  <w:vAlign w:val="center"/>
                </w:tcPr>
                <w:p w14:paraId="60C1BA93">
                  <w:pPr>
                    <w:pStyle w:val="59"/>
                    <w:jc w:val="both"/>
                    <w:rPr>
                      <w:rFonts w:eastAsia="Times New Roman"/>
                    </w:rPr>
                  </w:pPr>
                  <w:r>
                    <w:rPr>
                      <w:rFonts w:hint="eastAsia" w:ascii="宋体" w:hAnsi="宋体" w:eastAsia="宋体" w:cs="宋体"/>
                    </w:rPr>
                    <w:t>公路、铁路、机场等交通运输业涉及环境敏感区（以居住、医疗卫生、文化教育、科研、行政办公为主要功能的区域）的项目；城市道路（不含维护，不含支路、人行天桥、人行地道）：全部。</w:t>
                  </w:r>
                </w:p>
              </w:tc>
              <w:tc>
                <w:tcPr>
                  <w:tcW w:w="646" w:type="pct"/>
                  <w:vAlign w:val="center"/>
                </w:tcPr>
                <w:p w14:paraId="2D6D1707">
                  <w:pPr>
                    <w:pStyle w:val="59"/>
                    <w:rPr>
                      <w:rFonts w:eastAsia="Times New Roman"/>
                    </w:rPr>
                  </w:pPr>
                  <w:r>
                    <w:rPr>
                      <w:rFonts w:hint="eastAsia" w:ascii="宋体" w:hAnsi="宋体" w:eastAsia="宋体" w:cs="宋体"/>
                    </w:rPr>
                    <w:t>不涉及</w:t>
                  </w:r>
                </w:p>
              </w:tc>
              <w:tc>
                <w:tcPr>
                  <w:tcW w:w="354" w:type="pct"/>
                  <w:vAlign w:val="center"/>
                </w:tcPr>
                <w:p w14:paraId="4D0A1277">
                  <w:pPr>
                    <w:pStyle w:val="59"/>
                    <w:rPr>
                      <w:rFonts w:eastAsia="Times New Roman"/>
                    </w:rPr>
                  </w:pPr>
                  <w:r>
                    <w:rPr>
                      <w:rFonts w:hint="eastAsia" w:ascii="宋体" w:hAnsi="宋体" w:eastAsia="宋体" w:cs="宋体"/>
                    </w:rPr>
                    <w:t>否</w:t>
                  </w:r>
                </w:p>
              </w:tc>
            </w:tr>
            <w:tr w14:paraId="4ED105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771" w:type="pct"/>
                  <w:vAlign w:val="center"/>
                </w:tcPr>
                <w:p w14:paraId="6A39396A">
                  <w:pPr>
                    <w:pStyle w:val="59"/>
                    <w:rPr>
                      <w:rFonts w:eastAsia="Times New Roman"/>
                    </w:rPr>
                  </w:pPr>
                  <w:r>
                    <w:rPr>
                      <w:rFonts w:hint="eastAsia" w:ascii="宋体" w:hAnsi="宋体" w:eastAsia="宋体" w:cs="宋体"/>
                    </w:rPr>
                    <w:t>环境风险</w:t>
                  </w:r>
                </w:p>
              </w:tc>
              <w:tc>
                <w:tcPr>
                  <w:tcW w:w="3228" w:type="pct"/>
                  <w:vAlign w:val="center"/>
                </w:tcPr>
                <w:p w14:paraId="26489D84">
                  <w:pPr>
                    <w:pStyle w:val="59"/>
                    <w:jc w:val="both"/>
                    <w:rPr>
                      <w:rFonts w:eastAsia="Times New Roman"/>
                    </w:rPr>
                  </w:pPr>
                  <w:r>
                    <w:rPr>
                      <w:rFonts w:hint="eastAsia" w:ascii="宋体" w:hAnsi="宋体" w:eastAsia="宋体" w:cs="宋体"/>
                    </w:rPr>
                    <w:t>石油和天然气开采：全部；油气、液体化工码头：全部；原油、成品油、天然气管线（不含城镇天然气管线、企业厂区内管线），危险化学品输送管线（不含企业厂区内管线）：全部。</w:t>
                  </w:r>
                </w:p>
              </w:tc>
              <w:tc>
                <w:tcPr>
                  <w:tcW w:w="646" w:type="pct"/>
                  <w:vAlign w:val="center"/>
                </w:tcPr>
                <w:p w14:paraId="0811572F">
                  <w:pPr>
                    <w:pStyle w:val="59"/>
                    <w:rPr>
                      <w:rFonts w:eastAsia="Times New Roman"/>
                    </w:rPr>
                  </w:pPr>
                  <w:r>
                    <w:rPr>
                      <w:rFonts w:hint="eastAsia" w:ascii="宋体" w:hAnsi="宋体" w:eastAsia="宋体" w:cs="宋体"/>
                    </w:rPr>
                    <w:t>不涉及</w:t>
                  </w:r>
                </w:p>
              </w:tc>
              <w:tc>
                <w:tcPr>
                  <w:tcW w:w="354" w:type="pct"/>
                  <w:vAlign w:val="center"/>
                </w:tcPr>
                <w:p w14:paraId="7AC567C5">
                  <w:pPr>
                    <w:pStyle w:val="59"/>
                    <w:rPr>
                      <w:rFonts w:eastAsia="Times New Roman"/>
                    </w:rPr>
                  </w:pPr>
                  <w:r>
                    <w:rPr>
                      <w:rFonts w:hint="eastAsia" w:ascii="宋体" w:hAnsi="宋体" w:eastAsia="宋体" w:cs="宋体"/>
                    </w:rPr>
                    <w:t>否</w:t>
                  </w:r>
                </w:p>
              </w:tc>
            </w:tr>
            <w:tr w14:paraId="5D8436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771" w:type="pct"/>
                  <w:vAlign w:val="center"/>
                </w:tcPr>
                <w:p w14:paraId="508E31A6">
                  <w:pPr>
                    <w:pStyle w:val="59"/>
                    <w:rPr>
                      <w:rFonts w:eastAsia="Times New Roman"/>
                    </w:rPr>
                  </w:pPr>
                  <w:r>
                    <w:rPr>
                      <w:rFonts w:hint="eastAsia" w:ascii="宋体" w:hAnsi="宋体" w:eastAsia="宋体" w:cs="宋体"/>
                    </w:rPr>
                    <w:t>电磁环境影响</w:t>
                  </w:r>
                </w:p>
              </w:tc>
              <w:tc>
                <w:tcPr>
                  <w:tcW w:w="3875" w:type="pct"/>
                  <w:gridSpan w:val="2"/>
                  <w:vAlign w:val="center"/>
                </w:tcPr>
                <w:p w14:paraId="7FD7B8EB">
                  <w:pPr>
                    <w:pStyle w:val="59"/>
                    <w:jc w:val="both"/>
                    <w:rPr>
                      <w:rFonts w:eastAsia="Times New Roman"/>
                    </w:rPr>
                  </w:pPr>
                  <w:r>
                    <w:rPr>
                      <w:rFonts w:hint="eastAsia" w:ascii="宋体" w:hAnsi="宋体" w:eastAsia="宋体" w:cs="宋体"/>
                    </w:rPr>
                    <w:t>根据《环境影响评价技术导则</w:t>
                  </w:r>
                  <w:r>
                    <w:rPr>
                      <w:rFonts w:eastAsia="Times New Roman"/>
                    </w:rPr>
                    <w:t>—</w:t>
                  </w:r>
                  <w:r>
                    <w:rPr>
                      <w:rFonts w:hint="eastAsia" w:ascii="宋体" w:hAnsi="宋体" w:eastAsia="宋体" w:cs="宋体"/>
                    </w:rPr>
                    <w:t>输变电》（</w:t>
                  </w:r>
                  <w:r>
                    <w:rPr>
                      <w:rFonts w:eastAsia="Times New Roman"/>
                    </w:rPr>
                    <w:t>HJ24-2020</w:t>
                  </w:r>
                  <w:r>
                    <w:rPr>
                      <w:rFonts w:hint="eastAsia" w:ascii="宋体" w:hAnsi="宋体" w:eastAsia="宋体" w:cs="宋体"/>
                    </w:rPr>
                    <w:t>）附录</w:t>
                  </w:r>
                  <w:r>
                    <w:rPr>
                      <w:rFonts w:eastAsia="Times New Roman"/>
                    </w:rPr>
                    <w:t>B</w:t>
                  </w:r>
                  <w:r>
                    <w:rPr>
                      <w:rFonts w:hint="eastAsia" w:ascii="宋体" w:hAnsi="宋体" w:eastAsia="宋体" w:cs="宋体"/>
                    </w:rPr>
                    <w:t>，本工程</w:t>
                  </w:r>
                  <w:r>
                    <w:rPr>
                      <w:rFonts w:eastAsia="Times New Roman"/>
                    </w:rPr>
                    <w:t>“</w:t>
                  </w:r>
                  <w:r>
                    <w:rPr>
                      <w:rFonts w:hint="eastAsia" w:ascii="宋体" w:hAnsi="宋体" w:eastAsia="宋体" w:cs="宋体"/>
                    </w:rPr>
                    <w:t>应设电磁环境影响专题评价，其评价等级、评价内容与格式按照本标准有关电磁环境影响评价要求进行</w:t>
                  </w:r>
                  <w:r>
                    <w:rPr>
                      <w:rFonts w:eastAsia="Times New Roman"/>
                    </w:rPr>
                    <w:t>”</w:t>
                  </w:r>
                  <w:r>
                    <w:rPr>
                      <w:rFonts w:hint="eastAsia" w:ascii="宋体" w:hAnsi="宋体" w:eastAsia="宋体" w:cs="宋体"/>
                    </w:rPr>
                    <w:t>。</w:t>
                  </w:r>
                </w:p>
              </w:tc>
              <w:tc>
                <w:tcPr>
                  <w:tcW w:w="354" w:type="pct"/>
                  <w:vAlign w:val="center"/>
                </w:tcPr>
                <w:p w14:paraId="6A55C416">
                  <w:pPr>
                    <w:pStyle w:val="59"/>
                    <w:rPr>
                      <w:rFonts w:eastAsia="Times New Roman"/>
                    </w:rPr>
                  </w:pPr>
                  <w:r>
                    <w:rPr>
                      <w:rFonts w:hint="eastAsia" w:ascii="宋体" w:hAnsi="宋体" w:eastAsia="宋体" w:cs="宋体"/>
                    </w:rPr>
                    <w:t>是</w:t>
                  </w:r>
                </w:p>
              </w:tc>
            </w:tr>
          </w:tbl>
          <w:p w14:paraId="15413E9F">
            <w:pPr>
              <w:spacing w:line="288" w:lineRule="auto"/>
              <w:jc w:val="left"/>
              <w:rPr>
                <w:kern w:val="0"/>
                <w:sz w:val="24"/>
              </w:rPr>
            </w:pPr>
            <w:r>
              <w:rPr>
                <w:rFonts w:hint="eastAsia" w:ascii="宋体" w:hAnsi="宋体" w:cs="宋体"/>
                <w:kern w:val="0"/>
                <w:szCs w:val="21"/>
              </w:rPr>
              <w:t>注：“涉及环境敏感区”是指建设项目位于、穿（跨）越（无害化通过的除外）环境敏感区，或环境影响范围涵盖环境敏感区。环境敏感区是指《建设项目环境影响评价分类管理名录》中针对该类项目所列的敏感区。</w:t>
            </w:r>
          </w:p>
        </w:tc>
      </w:tr>
      <w:tr w14:paraId="3AEF43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394" w:hRule="atLeast"/>
          <w:jc w:val="center"/>
        </w:trPr>
        <w:tc>
          <w:tcPr>
            <w:tcW w:w="567" w:type="pct"/>
            <w:gridSpan w:val="2"/>
            <w:tcMar>
              <w:top w:w="57" w:type="dxa"/>
              <w:left w:w="0" w:type="dxa"/>
              <w:bottom w:w="57" w:type="dxa"/>
              <w:right w:w="0" w:type="dxa"/>
            </w:tcMar>
            <w:vAlign w:val="center"/>
          </w:tcPr>
          <w:p w14:paraId="7F6E3673">
            <w:pPr>
              <w:pStyle w:val="10"/>
              <w:ind w:firstLine="0" w:firstLineChars="0"/>
            </w:pPr>
            <w:r>
              <w:rPr>
                <w:rFonts w:hint="eastAsia"/>
              </w:rPr>
              <w:t>规划情况</w:t>
            </w:r>
          </w:p>
        </w:tc>
        <w:tc>
          <w:tcPr>
            <w:tcW w:w="4432" w:type="pct"/>
            <w:gridSpan w:val="4"/>
            <w:tcMar>
              <w:top w:w="57" w:type="dxa"/>
              <w:left w:w="0" w:type="dxa"/>
              <w:bottom w:w="57" w:type="dxa"/>
              <w:right w:w="0" w:type="dxa"/>
            </w:tcMar>
            <w:vAlign w:val="center"/>
          </w:tcPr>
          <w:p w14:paraId="710B5DC7">
            <w:pPr>
              <w:adjustRightInd w:val="0"/>
              <w:snapToGrid w:val="0"/>
              <w:spacing w:line="360" w:lineRule="auto"/>
              <w:jc w:val="left"/>
              <w:rPr>
                <w:kern w:val="0"/>
                <w:sz w:val="24"/>
              </w:rPr>
            </w:pPr>
            <w:r>
              <w:rPr>
                <w:rFonts w:hint="eastAsia"/>
                <w:kern w:val="0"/>
                <w:sz w:val="24"/>
              </w:rPr>
              <w:t>规划名称：《博罗智能装备产业园起步区控制性详细规划修编》；</w:t>
            </w:r>
          </w:p>
          <w:p w14:paraId="3BC85DF6">
            <w:pPr>
              <w:adjustRightInd w:val="0"/>
              <w:snapToGrid w:val="0"/>
              <w:spacing w:line="360" w:lineRule="auto"/>
              <w:jc w:val="left"/>
              <w:rPr>
                <w:kern w:val="0"/>
                <w:sz w:val="24"/>
              </w:rPr>
            </w:pPr>
            <w:r>
              <w:rPr>
                <w:rFonts w:hint="eastAsia"/>
                <w:kern w:val="0"/>
                <w:sz w:val="24"/>
              </w:rPr>
              <w:t>审批机关：博罗县人民政府；</w:t>
            </w:r>
          </w:p>
          <w:p w14:paraId="462E9E64">
            <w:pPr>
              <w:pStyle w:val="10"/>
              <w:ind w:firstLine="0" w:firstLineChars="0"/>
            </w:pPr>
            <w:r>
              <w:rPr>
                <w:rFonts w:hint="eastAsia"/>
                <w:szCs w:val="24"/>
              </w:rPr>
              <w:t>审批文件名称及文号：博罗县人民政府关于同意《博罗智能装备产业园起步区控制性详细规划修编》的批复（博府函〔</w:t>
            </w:r>
            <w:r>
              <w:rPr>
                <w:szCs w:val="24"/>
              </w:rPr>
              <w:t>2023</w:t>
            </w:r>
            <w:r>
              <w:rPr>
                <w:rFonts w:hint="eastAsia"/>
                <w:szCs w:val="24"/>
              </w:rPr>
              <w:t>〕</w:t>
            </w:r>
            <w:r>
              <w:rPr>
                <w:szCs w:val="24"/>
              </w:rPr>
              <w:t>129</w:t>
            </w:r>
            <w:r>
              <w:rPr>
                <w:rFonts w:hint="eastAsia"/>
                <w:szCs w:val="24"/>
              </w:rPr>
              <w:t>号）。</w:t>
            </w:r>
          </w:p>
        </w:tc>
      </w:tr>
      <w:tr w14:paraId="63BD34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90" w:hRule="atLeast"/>
          <w:jc w:val="center"/>
        </w:trPr>
        <w:tc>
          <w:tcPr>
            <w:tcW w:w="567" w:type="pct"/>
            <w:gridSpan w:val="2"/>
            <w:tcMar>
              <w:top w:w="57" w:type="dxa"/>
              <w:left w:w="0" w:type="dxa"/>
              <w:bottom w:w="57" w:type="dxa"/>
              <w:right w:w="0" w:type="dxa"/>
            </w:tcMar>
            <w:vAlign w:val="center"/>
          </w:tcPr>
          <w:p w14:paraId="3EC31C6B">
            <w:pPr>
              <w:adjustRightInd w:val="0"/>
              <w:snapToGrid w:val="0"/>
              <w:jc w:val="center"/>
              <w:rPr>
                <w:kern w:val="0"/>
                <w:sz w:val="24"/>
              </w:rPr>
            </w:pPr>
            <w:r>
              <w:rPr>
                <w:rFonts w:hint="eastAsia"/>
                <w:sz w:val="24"/>
              </w:rPr>
              <w:t>规划环境影响评价情况</w:t>
            </w:r>
          </w:p>
        </w:tc>
        <w:tc>
          <w:tcPr>
            <w:tcW w:w="4432" w:type="pct"/>
            <w:gridSpan w:val="4"/>
            <w:tcMar>
              <w:top w:w="57" w:type="dxa"/>
              <w:left w:w="0" w:type="dxa"/>
              <w:bottom w:w="57" w:type="dxa"/>
              <w:right w:w="0" w:type="dxa"/>
            </w:tcMar>
            <w:vAlign w:val="center"/>
          </w:tcPr>
          <w:p w14:paraId="56327FF0">
            <w:pPr>
              <w:autoSpaceDE w:val="0"/>
              <w:autoSpaceDN w:val="0"/>
              <w:adjustRightInd w:val="0"/>
              <w:snapToGrid w:val="0"/>
              <w:spacing w:line="360" w:lineRule="auto"/>
              <w:jc w:val="center"/>
              <w:rPr>
                <w:kern w:val="0"/>
                <w:sz w:val="24"/>
              </w:rPr>
            </w:pPr>
            <w:r>
              <w:rPr>
                <w:rFonts w:hint="eastAsia"/>
                <w:kern w:val="0"/>
                <w:sz w:val="24"/>
              </w:rPr>
              <w:t>无</w:t>
            </w:r>
          </w:p>
        </w:tc>
      </w:tr>
      <w:tr w14:paraId="5D2928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725" w:hRule="atLeast"/>
          <w:jc w:val="center"/>
        </w:trPr>
        <w:tc>
          <w:tcPr>
            <w:tcW w:w="567" w:type="pct"/>
            <w:gridSpan w:val="2"/>
            <w:tcMar>
              <w:top w:w="57" w:type="dxa"/>
              <w:left w:w="0" w:type="dxa"/>
              <w:bottom w:w="57" w:type="dxa"/>
              <w:right w:w="0" w:type="dxa"/>
            </w:tcMar>
            <w:vAlign w:val="center"/>
          </w:tcPr>
          <w:p w14:paraId="27AAC7F0">
            <w:pPr>
              <w:jc w:val="center"/>
            </w:pPr>
            <w:r>
              <w:rPr>
                <w:rFonts w:hint="eastAsia"/>
                <w:kern w:val="0"/>
                <w:sz w:val="24"/>
              </w:rPr>
              <w:t>规划及规划环境影响评价符合性分析</w:t>
            </w:r>
          </w:p>
        </w:tc>
        <w:tc>
          <w:tcPr>
            <w:tcW w:w="4432" w:type="pct"/>
            <w:gridSpan w:val="4"/>
            <w:tcMar>
              <w:top w:w="57" w:type="dxa"/>
              <w:left w:w="0" w:type="dxa"/>
              <w:bottom w:w="57" w:type="dxa"/>
              <w:right w:w="0" w:type="dxa"/>
            </w:tcMar>
            <w:vAlign w:val="center"/>
          </w:tcPr>
          <w:p w14:paraId="4E8A3292">
            <w:pPr>
              <w:autoSpaceDE w:val="0"/>
              <w:autoSpaceDN w:val="0"/>
              <w:adjustRightInd w:val="0"/>
              <w:snapToGrid w:val="0"/>
              <w:spacing w:line="360" w:lineRule="auto"/>
              <w:ind w:firstLine="480" w:firstLineChars="200"/>
              <w:jc w:val="left"/>
              <w:rPr>
                <w:kern w:val="0"/>
                <w:sz w:val="24"/>
              </w:rPr>
            </w:pPr>
            <w:r>
              <w:rPr>
                <w:rFonts w:hint="eastAsia"/>
                <w:kern w:val="0"/>
                <w:sz w:val="24"/>
              </w:rPr>
              <w:t>项目与博罗智能装备产业园起步区控制性详细规划修编相符性分析的相符性分析详见下表。</w:t>
            </w:r>
          </w:p>
          <w:p w14:paraId="41C3F790">
            <w:pPr>
              <w:adjustRightInd w:val="0"/>
              <w:snapToGrid w:val="0"/>
              <w:jc w:val="center"/>
              <w:rPr>
                <w:sz w:val="24"/>
              </w:rPr>
            </w:pPr>
            <w:r>
              <w:rPr>
                <w:rFonts w:hint="eastAsia"/>
                <w:b/>
                <w:bCs/>
                <w:sz w:val="24"/>
              </w:rPr>
              <w:t>表</w:t>
            </w:r>
            <w:r>
              <w:rPr>
                <w:b/>
                <w:bCs/>
                <w:sz w:val="24"/>
              </w:rPr>
              <w:t>1-2</w:t>
            </w:r>
            <w:r>
              <w:rPr>
                <w:rFonts w:hint="eastAsia"/>
                <w:b/>
                <w:bCs/>
                <w:sz w:val="24"/>
              </w:rPr>
              <w:t>与博罗智能装备产业园起步区控制性详细规划修编的相符性分析一览表</w:t>
            </w:r>
          </w:p>
          <w:tbl>
            <w:tblPr>
              <w:tblStyle w:val="15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90"/>
              <w:gridCol w:w="3952"/>
            </w:tblGrid>
            <w:tr w14:paraId="315610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80" w:type="pct"/>
                  <w:vAlign w:val="center"/>
                </w:tcPr>
                <w:p w14:paraId="0876E5DE">
                  <w:pPr>
                    <w:pStyle w:val="149"/>
                    <w:rPr>
                      <w:rFonts w:hint="default" w:ascii="Times New Roman" w:hAnsi="Times New Roman" w:eastAsia="宋体" w:cs="Times New Roman"/>
                      <w:b/>
                      <w:i w:val="0"/>
                    </w:rPr>
                  </w:pPr>
                  <w:r>
                    <w:rPr>
                      <w:rFonts w:hint="eastAsia" w:ascii="Times New Roman" w:hAnsi="Times New Roman" w:eastAsia="宋体" w:cs="Times New Roman"/>
                      <w:b/>
                      <w:i w:val="0"/>
                    </w:rPr>
                    <w:t>博罗智能装备产业园起步区控制性详细规划修编要求</w:t>
                  </w:r>
                </w:p>
              </w:tc>
              <w:tc>
                <w:tcPr>
                  <w:tcW w:w="2520" w:type="pct"/>
                  <w:vAlign w:val="center"/>
                </w:tcPr>
                <w:p w14:paraId="2E327BBB">
                  <w:pPr>
                    <w:pStyle w:val="149"/>
                    <w:rPr>
                      <w:rFonts w:hint="default" w:ascii="Times New Roman" w:hAnsi="Times New Roman" w:eastAsia="宋体" w:cs="Times New Roman"/>
                      <w:b/>
                      <w:i w:val="0"/>
                    </w:rPr>
                  </w:pPr>
                  <w:r>
                    <w:rPr>
                      <w:rFonts w:hint="eastAsia" w:ascii="Times New Roman" w:hAnsi="Times New Roman" w:eastAsia="宋体" w:cs="Times New Roman"/>
                      <w:b/>
                      <w:i w:val="0"/>
                    </w:rPr>
                    <w:t>本项目情况</w:t>
                  </w:r>
                </w:p>
              </w:tc>
            </w:tr>
            <w:tr w14:paraId="6AFEB5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80" w:type="pct"/>
                  <w:vAlign w:val="center"/>
                </w:tcPr>
                <w:p w14:paraId="65605ED3">
                  <w:pPr>
                    <w:pStyle w:val="149"/>
                    <w:jc w:val="both"/>
                    <w:rPr>
                      <w:rFonts w:eastAsia="Times New Roman"/>
                      <w:kern w:val="0"/>
                    </w:rPr>
                  </w:pPr>
                  <w:r>
                    <w:rPr>
                      <w:rFonts w:hint="eastAsia" w:ascii="宋体" w:hAnsi="宋体" w:eastAsia="宋体" w:cs="宋体"/>
                      <w:kern w:val="0"/>
                    </w:rPr>
                    <w:t>主导产业：（</w:t>
                  </w:r>
                  <w:r>
                    <w:rPr>
                      <w:rFonts w:eastAsia="Times New Roman"/>
                      <w:kern w:val="0"/>
                    </w:rPr>
                    <w:t>1</w:t>
                  </w:r>
                  <w:r>
                    <w:rPr>
                      <w:rFonts w:hint="eastAsia" w:ascii="宋体" w:hAnsi="宋体" w:eastAsia="宋体" w:cs="宋体"/>
                      <w:kern w:val="0"/>
                    </w:rPr>
                    <w:t>）以铜材为核心发展金属新材料产业；（</w:t>
                  </w:r>
                  <w:r>
                    <w:rPr>
                      <w:rFonts w:eastAsia="Times New Roman"/>
                      <w:kern w:val="0"/>
                    </w:rPr>
                    <w:t>2</w:t>
                  </w:r>
                  <w:r>
                    <w:rPr>
                      <w:rFonts w:hint="eastAsia" w:ascii="宋体" w:hAnsi="宋体" w:eastAsia="宋体" w:cs="宋体"/>
                      <w:kern w:val="0"/>
                    </w:rPr>
                    <w:t>）以</w:t>
                  </w:r>
                  <w:r>
                    <w:rPr>
                      <w:rFonts w:eastAsia="Times New Roman"/>
                      <w:kern w:val="0"/>
                    </w:rPr>
                    <w:t xml:space="preserve">5G </w:t>
                  </w:r>
                  <w:r>
                    <w:rPr>
                      <w:rFonts w:hint="eastAsia" w:ascii="宋体" w:hAnsi="宋体" w:eastAsia="宋体" w:cs="宋体"/>
                      <w:kern w:val="0"/>
                    </w:rPr>
                    <w:t>为核心发展电子元器配件产业；（</w:t>
                  </w:r>
                  <w:r>
                    <w:rPr>
                      <w:rFonts w:eastAsia="Times New Roman"/>
                      <w:kern w:val="0"/>
                    </w:rPr>
                    <w:t>3</w:t>
                  </w:r>
                  <w:r>
                    <w:rPr>
                      <w:rFonts w:hint="eastAsia" w:ascii="宋体" w:hAnsi="宋体" w:eastAsia="宋体" w:cs="宋体"/>
                      <w:kern w:val="0"/>
                    </w:rPr>
                    <w:t>）以精密数控为突破口发展汽车零部件产业。兼容产业：兼容装备产业、轻工、建材产业等。轻工：服装工业、家具工业、家用电器工业、食品工业、工艺美术、礼仪休闲用品、文教体育用品、橡胶和塑料制品业、生物医药与健康等。</w:t>
                  </w:r>
                </w:p>
              </w:tc>
              <w:tc>
                <w:tcPr>
                  <w:tcW w:w="2520" w:type="pct"/>
                  <w:vAlign w:val="center"/>
                </w:tcPr>
                <w:p w14:paraId="3DA202E1">
                  <w:pPr>
                    <w:pStyle w:val="149"/>
                    <w:jc w:val="both"/>
                    <w:rPr>
                      <w:rFonts w:eastAsia="Times New Roman"/>
                      <w:b/>
                    </w:rPr>
                  </w:pPr>
                  <w:r>
                    <w:rPr>
                      <w:rFonts w:hint="eastAsia" w:ascii="宋体" w:hAnsi="宋体" w:eastAsia="宋体" w:cs="宋体"/>
                    </w:rPr>
                    <w:t>项目为储能电站建设类项目，符合园区产业定位和国家、省产业政策，运营期污染物排放量较小，符合要求。</w:t>
                  </w:r>
                </w:p>
              </w:tc>
            </w:tr>
            <w:tr w14:paraId="5E8C65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80" w:type="pct"/>
                  <w:vAlign w:val="center"/>
                </w:tcPr>
                <w:p w14:paraId="42E6C001">
                  <w:pPr>
                    <w:pStyle w:val="149"/>
                    <w:jc w:val="both"/>
                    <w:rPr>
                      <w:rFonts w:eastAsia="Times New Roman"/>
                    </w:rPr>
                  </w:pPr>
                  <w:r>
                    <w:rPr>
                      <w:rFonts w:hint="eastAsia" w:ascii="宋体" w:hAnsi="宋体" w:eastAsia="宋体" w:cs="宋体"/>
                    </w:rPr>
                    <w:t>大气环境质量目标：达到国家《环境空气质量标准》（</w:t>
                  </w:r>
                  <w:r>
                    <w:rPr>
                      <w:rFonts w:eastAsia="Times New Roman"/>
                    </w:rPr>
                    <w:t>GB3095-2012</w:t>
                  </w:r>
                  <w:r>
                    <w:rPr>
                      <w:rFonts w:hint="eastAsia" w:ascii="宋体" w:hAnsi="宋体" w:eastAsia="宋体" w:cs="宋体"/>
                    </w:rPr>
                    <w:t>）二级标准，即大气总量微粒年平均值</w:t>
                  </w:r>
                  <w:r>
                    <w:rPr>
                      <w:rFonts w:eastAsia="Times New Roman"/>
                    </w:rPr>
                    <w:t>0.15mg/m</w:t>
                  </w:r>
                  <w:r>
                    <w:rPr>
                      <w:rFonts w:eastAsia="Times New Roman"/>
                      <w:vertAlign w:val="superscript"/>
                    </w:rPr>
                    <w:t>3</w:t>
                  </w:r>
                  <w:r>
                    <w:rPr>
                      <w:rFonts w:hint="eastAsia" w:ascii="宋体" w:hAnsi="宋体" w:eastAsia="宋体" w:cs="宋体"/>
                    </w:rPr>
                    <w:t>，工业废气达标排放率</w:t>
                  </w:r>
                  <w:r>
                    <w:rPr>
                      <w:rFonts w:eastAsia="Times New Roman"/>
                    </w:rPr>
                    <w:t>100%</w:t>
                  </w:r>
                  <w:r>
                    <w:rPr>
                      <w:rFonts w:hint="eastAsia" w:ascii="宋体" w:hAnsi="宋体" w:eastAsia="宋体" w:cs="宋体"/>
                    </w:rPr>
                    <w:t>。</w:t>
                  </w:r>
                </w:p>
              </w:tc>
              <w:tc>
                <w:tcPr>
                  <w:tcW w:w="2520" w:type="pct"/>
                  <w:vAlign w:val="center"/>
                </w:tcPr>
                <w:p w14:paraId="14013F91">
                  <w:pPr>
                    <w:pStyle w:val="149"/>
                    <w:jc w:val="both"/>
                    <w:rPr>
                      <w:rFonts w:eastAsia="Times New Roman"/>
                    </w:rPr>
                  </w:pPr>
                  <w:r>
                    <w:rPr>
                      <w:rFonts w:hint="eastAsia" w:ascii="宋体" w:hAnsi="宋体" w:eastAsia="宋体" w:cs="宋体"/>
                    </w:rPr>
                    <w:t>本项目不属于工业项目，运营期无废气排放。</w:t>
                  </w:r>
                </w:p>
              </w:tc>
            </w:tr>
            <w:tr w14:paraId="7E5FB4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80" w:type="pct"/>
                  <w:vAlign w:val="center"/>
                </w:tcPr>
                <w:p w14:paraId="17DFAC3A">
                  <w:pPr>
                    <w:pStyle w:val="149"/>
                    <w:jc w:val="both"/>
                    <w:rPr>
                      <w:rFonts w:eastAsia="Times New Roman"/>
                    </w:rPr>
                  </w:pPr>
                  <w:r>
                    <w:rPr>
                      <w:rFonts w:hint="eastAsia" w:ascii="宋体" w:hAnsi="宋体" w:eastAsia="宋体" w:cs="宋体"/>
                    </w:rPr>
                    <w:t>污水排放目标：规划区内排水体制采用雨污分流制，污水需</w:t>
                  </w:r>
                  <w:r>
                    <w:rPr>
                      <w:rFonts w:eastAsia="Times New Roman"/>
                    </w:rPr>
                    <w:t>100%</w:t>
                  </w:r>
                  <w:r>
                    <w:rPr>
                      <w:rFonts w:hint="eastAsia" w:ascii="宋体" w:hAnsi="宋体" w:eastAsia="宋体" w:cs="宋体"/>
                    </w:rPr>
                    <w:t>收集处理。</w:t>
                  </w:r>
                </w:p>
              </w:tc>
              <w:tc>
                <w:tcPr>
                  <w:tcW w:w="2520" w:type="pct"/>
                  <w:vAlign w:val="center"/>
                </w:tcPr>
                <w:p w14:paraId="44C1D72E">
                  <w:pPr>
                    <w:pStyle w:val="149"/>
                    <w:jc w:val="both"/>
                    <w:rPr>
                      <w:rFonts w:eastAsia="Times New Roman"/>
                    </w:rPr>
                  </w:pPr>
                  <w:r>
                    <w:rPr>
                      <w:rFonts w:hint="eastAsia" w:ascii="宋体" w:hAnsi="宋体" w:eastAsia="宋体" w:cs="宋体"/>
                    </w:rPr>
                    <w:t>项目排水实行</w:t>
                  </w:r>
                  <w:r>
                    <w:rPr>
                      <w:rFonts w:eastAsia="Times New Roman"/>
                    </w:rPr>
                    <w:t>“</w:t>
                  </w:r>
                  <w:r>
                    <w:rPr>
                      <w:rFonts w:hint="eastAsia" w:ascii="宋体" w:hAnsi="宋体" w:eastAsia="宋体" w:cs="宋体"/>
                    </w:rPr>
                    <w:t>雨污分流</w:t>
                  </w:r>
                  <w:r>
                    <w:rPr>
                      <w:rFonts w:eastAsia="Times New Roman"/>
                    </w:rPr>
                    <w:t>”</w:t>
                  </w:r>
                  <w:r>
                    <w:rPr>
                      <w:rFonts w:hint="eastAsia" w:ascii="宋体" w:hAnsi="宋体" w:eastAsia="宋体" w:cs="宋体"/>
                    </w:rPr>
                    <w:t>，项目运营期人员生活污水经三级化粪池预处理后排入市政污水管网，排入博罗县石湾镇大牛垒生活污水处理厂处理达标后排入石湾中心排渠，汇入紧水河，最后汇入东江。</w:t>
                  </w:r>
                </w:p>
              </w:tc>
            </w:tr>
            <w:tr w14:paraId="1E77CD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80" w:type="pct"/>
                  <w:vAlign w:val="center"/>
                </w:tcPr>
                <w:p w14:paraId="7F644B2A">
                  <w:pPr>
                    <w:pStyle w:val="149"/>
                    <w:jc w:val="both"/>
                    <w:rPr>
                      <w:rFonts w:eastAsia="Times New Roman"/>
                    </w:rPr>
                  </w:pPr>
                  <w:r>
                    <w:rPr>
                      <w:rFonts w:hint="eastAsia" w:ascii="宋体" w:hAnsi="宋体" w:eastAsia="宋体" w:cs="宋体"/>
                    </w:rPr>
                    <w:t>环境噪声目标：达到国家《声环境质量标准》（</w:t>
                  </w:r>
                  <w:r>
                    <w:rPr>
                      <w:rFonts w:eastAsia="Times New Roman"/>
                    </w:rPr>
                    <w:t>GB3096-2008</w:t>
                  </w:r>
                  <w:r>
                    <w:rPr>
                      <w:rFonts w:hint="eastAsia" w:ascii="宋体" w:hAnsi="宋体" w:eastAsia="宋体" w:cs="宋体"/>
                    </w:rPr>
                    <w:t>）标准，干线交通噪声平均值小于</w:t>
                  </w:r>
                  <w:r>
                    <w:rPr>
                      <w:rFonts w:eastAsia="Times New Roman"/>
                    </w:rPr>
                    <w:t>70dB</w:t>
                  </w:r>
                  <w:r>
                    <w:rPr>
                      <w:rFonts w:hint="eastAsia" w:ascii="宋体" w:hAnsi="宋体" w:eastAsia="宋体" w:cs="宋体"/>
                    </w:rPr>
                    <w:t>（</w:t>
                  </w:r>
                  <w:r>
                    <w:rPr>
                      <w:rFonts w:eastAsia="Times New Roman"/>
                    </w:rPr>
                    <w:t>A</w:t>
                  </w:r>
                  <w:r>
                    <w:rPr>
                      <w:rFonts w:hint="eastAsia" w:ascii="宋体" w:hAnsi="宋体" w:eastAsia="宋体" w:cs="宋体"/>
                    </w:rPr>
                    <w:t>），区域环境噪声平均值小于</w:t>
                  </w:r>
                  <w:r>
                    <w:rPr>
                      <w:rFonts w:eastAsia="Times New Roman"/>
                    </w:rPr>
                    <w:t>55dB</w:t>
                  </w:r>
                  <w:r>
                    <w:rPr>
                      <w:rFonts w:hint="eastAsia" w:ascii="宋体" w:hAnsi="宋体" w:eastAsia="宋体" w:cs="宋体"/>
                    </w:rPr>
                    <w:t>（</w:t>
                  </w:r>
                  <w:r>
                    <w:rPr>
                      <w:rFonts w:eastAsia="Times New Roman"/>
                    </w:rPr>
                    <w:t>A</w:t>
                  </w:r>
                  <w:r>
                    <w:rPr>
                      <w:rFonts w:hint="eastAsia" w:ascii="宋体" w:hAnsi="宋体" w:eastAsia="宋体" w:cs="宋体"/>
                    </w:rPr>
                    <w:t>）。</w:t>
                  </w:r>
                </w:p>
              </w:tc>
              <w:tc>
                <w:tcPr>
                  <w:tcW w:w="2520" w:type="pct"/>
                  <w:vAlign w:val="center"/>
                </w:tcPr>
                <w:p w14:paraId="418651E3">
                  <w:pPr>
                    <w:pStyle w:val="149"/>
                    <w:jc w:val="both"/>
                    <w:rPr>
                      <w:rFonts w:eastAsia="Times New Roman"/>
                    </w:rPr>
                  </w:pPr>
                  <w:r>
                    <w:rPr>
                      <w:rFonts w:hint="eastAsia" w:ascii="宋体" w:hAnsi="宋体" w:eastAsia="宋体" w:cs="宋体"/>
                    </w:rPr>
                    <w:t>项目生产设备产生的噪声经隔声、基础减震后可以达到《工业企业厂界环境噪声排放标准》（</w:t>
                  </w:r>
                  <w:r>
                    <w:rPr>
                      <w:rFonts w:eastAsia="Times New Roman"/>
                    </w:rPr>
                    <w:t>GB12348-2008</w:t>
                  </w:r>
                  <w:r>
                    <w:rPr>
                      <w:rFonts w:hint="eastAsia" w:ascii="宋体" w:hAnsi="宋体" w:eastAsia="宋体" w:cs="宋体"/>
                    </w:rPr>
                    <w:t>）</w:t>
                  </w:r>
                  <w:r>
                    <w:rPr>
                      <w:rFonts w:eastAsia="宋体"/>
                    </w:rPr>
                    <w:t>3</w:t>
                  </w:r>
                  <w:r>
                    <w:rPr>
                      <w:rFonts w:hint="eastAsia" w:ascii="宋体" w:hAnsi="宋体" w:eastAsia="宋体" w:cs="宋体"/>
                    </w:rPr>
                    <w:t>类标准要求，不会对周围环境造成明显影响。</w:t>
                  </w:r>
                </w:p>
              </w:tc>
            </w:tr>
            <w:tr w14:paraId="6B342A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80" w:type="pct"/>
                  <w:vAlign w:val="center"/>
                </w:tcPr>
                <w:p w14:paraId="42BC5C6F">
                  <w:pPr>
                    <w:pStyle w:val="149"/>
                    <w:jc w:val="both"/>
                    <w:rPr>
                      <w:rFonts w:eastAsia="Times New Roman"/>
                    </w:rPr>
                  </w:pPr>
                  <w:r>
                    <w:rPr>
                      <w:rFonts w:hint="eastAsia" w:ascii="宋体" w:hAnsi="宋体" w:eastAsia="宋体" w:cs="宋体"/>
                    </w:rPr>
                    <w:t>工业固体废弃物目标：工业固体废弃物综合利用处置率</w:t>
                  </w:r>
                  <w:r>
                    <w:rPr>
                      <w:rFonts w:eastAsia="Times New Roman"/>
                    </w:rPr>
                    <w:t>100%</w:t>
                  </w:r>
                  <w:r>
                    <w:rPr>
                      <w:rFonts w:hint="eastAsia" w:ascii="宋体" w:hAnsi="宋体" w:eastAsia="宋体" w:cs="宋体"/>
                    </w:rPr>
                    <w:t>，生活垃圾分类资源化、无害化处理率</w:t>
                  </w:r>
                  <w:r>
                    <w:rPr>
                      <w:rFonts w:eastAsia="Times New Roman"/>
                    </w:rPr>
                    <w:t>100%</w:t>
                  </w:r>
                  <w:r>
                    <w:rPr>
                      <w:rFonts w:hint="eastAsia" w:ascii="宋体" w:hAnsi="宋体" w:eastAsia="宋体" w:cs="宋体"/>
                    </w:rPr>
                    <w:t>。</w:t>
                  </w:r>
                </w:p>
              </w:tc>
              <w:tc>
                <w:tcPr>
                  <w:tcW w:w="2520" w:type="pct"/>
                  <w:vAlign w:val="center"/>
                </w:tcPr>
                <w:p w14:paraId="13658B3A">
                  <w:pPr>
                    <w:pStyle w:val="149"/>
                    <w:jc w:val="both"/>
                    <w:rPr>
                      <w:rFonts w:eastAsia="Times New Roman"/>
                    </w:rPr>
                  </w:pPr>
                  <w:r>
                    <w:rPr>
                      <w:rFonts w:hint="eastAsia" w:ascii="宋体" w:hAnsi="宋体" w:eastAsia="宋体" w:cs="宋体"/>
                    </w:rPr>
                    <w:t>项</w:t>
                  </w:r>
                  <w:r>
                    <w:rPr>
                      <w:rFonts w:hint="eastAsia" w:ascii="宋体" w:hAnsi="宋体" w:eastAsia="宋体" w:cs="宋体"/>
                      <w:kern w:val="1"/>
                    </w:rPr>
                    <w:t>目涉及固体废物（含危险废物）产生，项目一般工业固体废物贮存在一般固废暂存间，定期交由由专业回收公司回收利用，危险废物贮存在危险废物贮存库，定期交由有危险废物处理资质单位进行无害化处理，生活垃圾委托环卫部门清运处理，各固体废物均妥善处置，不外排。</w:t>
                  </w:r>
                </w:p>
              </w:tc>
            </w:tr>
          </w:tbl>
          <w:p w14:paraId="6C1DFCEF">
            <w:pPr>
              <w:pStyle w:val="10"/>
            </w:pPr>
            <w:r>
              <w:rPr>
                <w:rFonts w:hint="eastAsia"/>
              </w:rPr>
              <w:t>综上，项目与《博罗智能装备产业园起步区控制性详细规划修编》相符。</w:t>
            </w:r>
          </w:p>
        </w:tc>
      </w:tr>
      <w:tr w14:paraId="13A78A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4" w:type="dxa"/>
            <w:bottom w:w="0" w:type="dxa"/>
            <w:right w:w="1134" w:type="dxa"/>
          </w:tblCellMar>
        </w:tblPrEx>
        <w:trPr>
          <w:trHeight w:val="90" w:hRule="atLeast"/>
          <w:jc w:val="center"/>
        </w:trPr>
        <w:tc>
          <w:tcPr>
            <w:tcW w:w="368" w:type="pct"/>
            <w:tcMar>
              <w:top w:w="57" w:type="dxa"/>
              <w:left w:w="0" w:type="dxa"/>
              <w:bottom w:w="57" w:type="dxa"/>
              <w:right w:w="0" w:type="dxa"/>
            </w:tcMar>
            <w:vAlign w:val="center"/>
          </w:tcPr>
          <w:p w14:paraId="1DDB7E06">
            <w:pPr>
              <w:autoSpaceDE w:val="0"/>
              <w:autoSpaceDN w:val="0"/>
              <w:adjustRightInd w:val="0"/>
              <w:snapToGrid w:val="0"/>
              <w:jc w:val="center"/>
              <w:rPr>
                <w:kern w:val="0"/>
                <w:sz w:val="24"/>
              </w:rPr>
            </w:pPr>
            <w:r>
              <w:rPr>
                <w:rFonts w:hint="eastAsia"/>
                <w:kern w:val="0"/>
                <w:sz w:val="24"/>
              </w:rPr>
              <w:t>其他符合性分析</w:t>
            </w:r>
          </w:p>
        </w:tc>
        <w:tc>
          <w:tcPr>
            <w:tcW w:w="4631" w:type="pct"/>
            <w:gridSpan w:val="5"/>
            <w:tcMar>
              <w:top w:w="57" w:type="dxa"/>
              <w:left w:w="0" w:type="dxa"/>
              <w:bottom w:w="57" w:type="dxa"/>
              <w:right w:w="0" w:type="dxa"/>
            </w:tcMar>
            <w:vAlign w:val="center"/>
          </w:tcPr>
          <w:p w14:paraId="3A574135">
            <w:pPr>
              <w:adjustRightInd w:val="0"/>
              <w:snapToGrid w:val="0"/>
              <w:spacing w:line="360" w:lineRule="auto"/>
              <w:rPr>
                <w:kern w:val="0"/>
                <w:sz w:val="24"/>
              </w:rPr>
            </w:pPr>
            <w:r>
              <w:rPr>
                <w:b/>
                <w:bCs/>
                <w:kern w:val="0"/>
                <w:sz w:val="24"/>
              </w:rPr>
              <w:t>1</w:t>
            </w:r>
            <w:r>
              <w:rPr>
                <w:rFonts w:hint="eastAsia"/>
                <w:b/>
                <w:bCs/>
                <w:kern w:val="0"/>
                <w:sz w:val="24"/>
              </w:rPr>
              <w:t>、与《博罗县</w:t>
            </w:r>
            <w:r>
              <w:rPr>
                <w:b/>
                <w:bCs/>
                <w:kern w:val="0"/>
                <w:sz w:val="24"/>
              </w:rPr>
              <w:t>“</w:t>
            </w:r>
            <w:r>
              <w:rPr>
                <w:rFonts w:hint="eastAsia"/>
                <w:b/>
                <w:bCs/>
                <w:kern w:val="0"/>
                <w:sz w:val="24"/>
              </w:rPr>
              <w:t>三线一单</w:t>
            </w:r>
            <w:r>
              <w:rPr>
                <w:b/>
                <w:bCs/>
                <w:kern w:val="0"/>
                <w:sz w:val="24"/>
              </w:rPr>
              <w:t>”</w:t>
            </w:r>
            <w:r>
              <w:rPr>
                <w:rFonts w:hint="eastAsia"/>
                <w:b/>
                <w:bCs/>
                <w:kern w:val="0"/>
                <w:sz w:val="24"/>
              </w:rPr>
              <w:t>生态环境分区管控研究报告》符合性分析</w:t>
            </w:r>
          </w:p>
          <w:p w14:paraId="36A2C662">
            <w:pPr>
              <w:spacing w:line="360" w:lineRule="auto"/>
              <w:ind w:firstLine="544"/>
              <w:rPr>
                <w:kern w:val="0"/>
                <w:sz w:val="24"/>
              </w:rPr>
            </w:pPr>
            <w:r>
              <w:rPr>
                <w:rFonts w:hint="eastAsia"/>
                <w:kern w:val="1"/>
                <w:sz w:val="24"/>
              </w:rPr>
              <w:t>项目选址位于</w:t>
            </w:r>
            <w:r>
              <w:rPr>
                <w:rFonts w:hint="eastAsia"/>
                <w:bCs/>
                <w:sz w:val="24"/>
              </w:rPr>
              <w:t>惠州市博罗县石湾镇智能装备产业园区内</w:t>
            </w:r>
            <w:r>
              <w:rPr>
                <w:rFonts w:hint="eastAsia"/>
                <w:kern w:val="1"/>
                <w:sz w:val="24"/>
              </w:rPr>
              <w:t>，</w:t>
            </w:r>
            <w:r>
              <w:rPr>
                <w:rFonts w:hint="eastAsia"/>
                <w:sz w:val="24"/>
              </w:rPr>
              <w:t>执行《博罗县生态保护红线、环境质量底线、资源利用上线和环境准入清单研究报告》（2021年12月）和《博罗县</w:t>
            </w:r>
            <w:r>
              <w:rPr>
                <w:sz w:val="24"/>
              </w:rPr>
              <w:t>“</w:t>
            </w:r>
            <w:r>
              <w:rPr>
                <w:rFonts w:hint="eastAsia"/>
                <w:sz w:val="24"/>
              </w:rPr>
              <w:t>三线一单</w:t>
            </w:r>
            <w:r>
              <w:rPr>
                <w:sz w:val="24"/>
              </w:rPr>
              <w:t>”</w:t>
            </w:r>
            <w:r>
              <w:rPr>
                <w:rFonts w:hint="eastAsia"/>
                <w:sz w:val="24"/>
              </w:rPr>
              <w:t>生态环境分区管控图集》（2021年12月）相关要求，</w:t>
            </w:r>
            <w:r>
              <w:rPr>
                <w:rFonts w:hint="eastAsia"/>
                <w:kern w:val="1"/>
                <w:sz w:val="24"/>
              </w:rPr>
              <w:t>根据《博罗县分类环境管控单元及环境准入负面清单》（2</w:t>
            </w:r>
            <w:r>
              <w:rPr>
                <w:kern w:val="1"/>
                <w:sz w:val="24"/>
              </w:rPr>
              <w:t>022</w:t>
            </w:r>
            <w:r>
              <w:rPr>
                <w:rFonts w:hint="eastAsia"/>
                <w:kern w:val="1"/>
                <w:sz w:val="24"/>
              </w:rPr>
              <w:t>年版），属于博罗产业转移园（博西片区）重点管控单元区域，环境管控单元编码：</w:t>
            </w:r>
            <w:r>
              <w:rPr>
                <w:kern w:val="1"/>
                <w:sz w:val="24"/>
              </w:rPr>
              <w:t>ZH44132220005</w:t>
            </w:r>
            <w:r>
              <w:rPr>
                <w:rFonts w:hint="eastAsia"/>
                <w:kern w:val="1"/>
                <w:sz w:val="24"/>
              </w:rPr>
              <w:t>，具体位置见附图</w:t>
            </w:r>
            <w:r>
              <w:rPr>
                <w:kern w:val="1"/>
                <w:sz w:val="24"/>
              </w:rPr>
              <w:t>12</w:t>
            </w:r>
            <w:r>
              <w:rPr>
                <w:rFonts w:hint="eastAsia"/>
                <w:kern w:val="1"/>
                <w:sz w:val="24"/>
              </w:rPr>
              <w:t>。</w:t>
            </w:r>
            <w:r>
              <w:rPr>
                <w:rFonts w:hint="eastAsia"/>
                <w:kern w:val="0"/>
                <w:sz w:val="24"/>
              </w:rPr>
              <w:t>项目“三线一单”相符性分析一览表如下。</w:t>
            </w:r>
          </w:p>
          <w:p w14:paraId="4E86C84C">
            <w:pPr>
              <w:pStyle w:val="8"/>
              <w:spacing w:before="0" w:beforeLines="0" w:after="0" w:afterLines="0"/>
              <w:rPr>
                <w:rFonts w:eastAsia="宋体" w:cs="Times New Roman"/>
                <w:b/>
                <w:bCs/>
              </w:rPr>
            </w:pPr>
            <w:r>
              <w:rPr>
                <w:rFonts w:hint="eastAsia" w:eastAsia="宋体" w:cs="Times New Roman"/>
                <w:b/>
                <w:bCs/>
              </w:rPr>
              <w:t>表</w:t>
            </w:r>
            <w:r>
              <w:rPr>
                <w:rFonts w:eastAsia="宋体" w:cs="Times New Roman"/>
                <w:b/>
                <w:bCs/>
              </w:rPr>
              <w:t>1-3</w:t>
            </w:r>
            <w:r>
              <w:rPr>
                <w:rFonts w:hint="eastAsia" w:eastAsia="宋体" w:cs="Times New Roman"/>
                <w:b/>
                <w:bCs/>
              </w:rPr>
              <w:t>项目与博罗县</w:t>
            </w:r>
            <w:r>
              <w:rPr>
                <w:rFonts w:eastAsia="宋体" w:cs="Times New Roman"/>
                <w:b/>
                <w:bCs/>
              </w:rPr>
              <w:t>“</w:t>
            </w:r>
            <w:r>
              <w:rPr>
                <w:rFonts w:hint="eastAsia" w:eastAsia="宋体" w:cs="Times New Roman"/>
                <w:b/>
                <w:bCs/>
              </w:rPr>
              <w:t>三线一单</w:t>
            </w:r>
            <w:r>
              <w:rPr>
                <w:rFonts w:eastAsia="宋体" w:cs="Times New Roman"/>
                <w:b/>
                <w:bCs/>
              </w:rPr>
              <w:t>”</w:t>
            </w:r>
            <w:r>
              <w:rPr>
                <w:rFonts w:hint="eastAsia" w:eastAsia="宋体" w:cs="Times New Roman"/>
                <w:b/>
                <w:bCs/>
              </w:rPr>
              <w:t>对照分析表</w:t>
            </w:r>
          </w:p>
          <w:tbl>
            <w:tblPr>
              <w:tblStyle w:val="15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7" w:type="dxa"/>
                <w:bottom w:w="18" w:type="dxa"/>
                <w:right w:w="17" w:type="dxa"/>
              </w:tblCellMar>
            </w:tblPr>
            <w:tblGrid>
              <w:gridCol w:w="460"/>
              <w:gridCol w:w="4756"/>
              <w:gridCol w:w="2518"/>
              <w:gridCol w:w="461"/>
            </w:tblGrid>
            <w:tr w14:paraId="1B4594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7" w:type="dxa"/>
                  <w:bottom w:w="18" w:type="dxa"/>
                  <w:right w:w="17" w:type="dxa"/>
                </w:tblCellMar>
              </w:tblPrEx>
              <w:trPr>
                <w:trHeight w:val="20" w:hRule="atLeast"/>
                <w:jc w:val="center"/>
              </w:trPr>
              <w:tc>
                <w:tcPr>
                  <w:tcW w:w="281" w:type="pct"/>
                  <w:tcBorders>
                    <w:top w:val="single" w:color="auto" w:sz="12" w:space="0"/>
                    <w:left w:val="nil"/>
                    <w:bottom w:val="single" w:color="auto" w:sz="4" w:space="0"/>
                    <w:right w:val="single" w:color="auto" w:sz="4" w:space="0"/>
                  </w:tcBorders>
                  <w:vAlign w:val="center"/>
                </w:tcPr>
                <w:p w14:paraId="70FC577D">
                  <w:pPr>
                    <w:pStyle w:val="149"/>
                    <w:rPr>
                      <w:rFonts w:hint="default" w:ascii="Times New Roman" w:hAnsi="Times New Roman" w:eastAsia="宋体" w:cs="Times New Roman"/>
                      <w:b/>
                      <w:i w:val="0"/>
                    </w:rPr>
                  </w:pPr>
                  <w:r>
                    <w:rPr>
                      <w:rFonts w:hint="default" w:ascii="Times New Roman" w:hAnsi="Times New Roman" w:eastAsia="宋体" w:cs="Times New Roman"/>
                      <w:b/>
                      <w:i w:val="0"/>
                    </w:rPr>
                    <w:t>序号</w:t>
                  </w:r>
                </w:p>
              </w:tc>
              <w:tc>
                <w:tcPr>
                  <w:tcW w:w="2902" w:type="pct"/>
                  <w:tcBorders>
                    <w:top w:val="single" w:color="auto" w:sz="12" w:space="0"/>
                    <w:left w:val="single" w:color="auto" w:sz="4" w:space="0"/>
                    <w:bottom w:val="single" w:color="auto" w:sz="4" w:space="0"/>
                    <w:right w:val="single" w:color="auto" w:sz="4" w:space="0"/>
                  </w:tcBorders>
                  <w:vAlign w:val="center"/>
                </w:tcPr>
                <w:p w14:paraId="538AF379">
                  <w:pPr>
                    <w:pStyle w:val="149"/>
                    <w:rPr>
                      <w:rFonts w:hint="default" w:ascii="Times New Roman" w:hAnsi="Times New Roman" w:eastAsia="宋体" w:cs="Times New Roman"/>
                      <w:b w:val="0"/>
                      <w:i w:val="0"/>
                    </w:rPr>
                  </w:pPr>
                  <w:r>
                    <w:rPr>
                      <w:rFonts w:hint="default" w:ascii="Times New Roman" w:hAnsi="Times New Roman" w:eastAsia="宋体" w:cs="Times New Roman"/>
                      <w:b/>
                      <w:i w:val="0"/>
                    </w:rPr>
                    <w:t>文件要求</w:t>
                  </w:r>
                </w:p>
              </w:tc>
              <w:tc>
                <w:tcPr>
                  <w:tcW w:w="1536" w:type="pct"/>
                  <w:tcBorders>
                    <w:top w:val="single" w:color="auto" w:sz="12" w:space="0"/>
                    <w:left w:val="single" w:color="auto" w:sz="4" w:space="0"/>
                    <w:bottom w:val="single" w:color="auto" w:sz="4" w:space="0"/>
                    <w:right w:val="single" w:color="auto" w:sz="4" w:space="0"/>
                  </w:tcBorders>
                  <w:vAlign w:val="center"/>
                </w:tcPr>
                <w:p w14:paraId="3809201B">
                  <w:pPr>
                    <w:pStyle w:val="149"/>
                    <w:rPr>
                      <w:rFonts w:hint="default" w:ascii="Times New Roman" w:hAnsi="Times New Roman" w:eastAsia="宋体" w:cs="Times New Roman"/>
                      <w:b/>
                      <w:i w:val="0"/>
                    </w:rPr>
                  </w:pPr>
                  <w:r>
                    <w:rPr>
                      <w:rFonts w:hint="default" w:ascii="Times New Roman" w:hAnsi="Times New Roman" w:eastAsia="宋体" w:cs="Times New Roman"/>
                      <w:b/>
                      <w:i w:val="0"/>
                    </w:rPr>
                    <w:t>本项目情况</w:t>
                  </w:r>
                </w:p>
              </w:tc>
              <w:tc>
                <w:tcPr>
                  <w:tcW w:w="281" w:type="pct"/>
                  <w:tcBorders>
                    <w:top w:val="single" w:color="auto" w:sz="12" w:space="0"/>
                    <w:left w:val="single" w:color="auto" w:sz="4" w:space="0"/>
                    <w:bottom w:val="single" w:color="auto" w:sz="4" w:space="0"/>
                    <w:right w:val="nil"/>
                  </w:tcBorders>
                  <w:vAlign w:val="center"/>
                </w:tcPr>
                <w:p w14:paraId="432FDAA2">
                  <w:pPr>
                    <w:pStyle w:val="149"/>
                    <w:rPr>
                      <w:rFonts w:hint="default" w:ascii="Times New Roman" w:hAnsi="Times New Roman" w:eastAsia="宋体" w:cs="Times New Roman"/>
                      <w:b/>
                      <w:i w:val="0"/>
                    </w:rPr>
                  </w:pPr>
                  <w:r>
                    <w:rPr>
                      <w:rFonts w:hint="default" w:ascii="Times New Roman" w:hAnsi="Times New Roman" w:eastAsia="宋体" w:cs="Times New Roman"/>
                      <w:b/>
                      <w:i w:val="0"/>
                    </w:rPr>
                    <w:t>相符性</w:t>
                  </w:r>
                </w:p>
              </w:tc>
            </w:tr>
            <w:tr w14:paraId="36F855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7" w:type="dxa"/>
                  <w:bottom w:w="18" w:type="dxa"/>
                  <w:right w:w="17" w:type="dxa"/>
                </w:tblCellMar>
              </w:tblPrEx>
              <w:trPr>
                <w:trHeight w:val="2694" w:hRule="atLeast"/>
                <w:jc w:val="center"/>
              </w:trPr>
              <w:tc>
                <w:tcPr>
                  <w:tcW w:w="281" w:type="pct"/>
                  <w:tcBorders>
                    <w:top w:val="single" w:color="auto" w:sz="4" w:space="0"/>
                    <w:left w:val="nil"/>
                    <w:bottom w:val="single" w:color="auto" w:sz="4" w:space="0"/>
                    <w:right w:val="single" w:color="auto" w:sz="4" w:space="0"/>
                  </w:tcBorders>
                  <w:vAlign w:val="center"/>
                </w:tcPr>
                <w:p w14:paraId="439A7D78">
                  <w:pPr>
                    <w:pStyle w:val="149"/>
                    <w:rPr>
                      <w:rFonts w:eastAsia="宋体"/>
                    </w:rPr>
                  </w:pPr>
                  <w:r>
                    <w:rPr>
                      <w:rFonts w:eastAsia="宋体"/>
                    </w:rPr>
                    <w:t>生态保护红线</w:t>
                  </w:r>
                </w:p>
              </w:tc>
              <w:tc>
                <w:tcPr>
                  <w:tcW w:w="2902" w:type="pct"/>
                  <w:tcBorders>
                    <w:top w:val="single" w:color="auto" w:sz="4" w:space="0"/>
                    <w:left w:val="single" w:color="auto" w:sz="4" w:space="0"/>
                    <w:bottom w:val="single" w:color="auto" w:sz="4" w:space="0"/>
                    <w:right w:val="single" w:color="auto" w:sz="4" w:space="0"/>
                  </w:tcBorders>
                  <w:vAlign w:val="center"/>
                </w:tcPr>
                <w:p w14:paraId="25BD4760">
                  <w:pPr>
                    <w:pStyle w:val="149"/>
                    <w:jc w:val="both"/>
                    <w:rPr>
                      <w:rFonts w:eastAsia="宋体"/>
                    </w:rPr>
                  </w:pPr>
                  <w:r>
                    <w:rPr>
                      <w:rFonts w:eastAsia="宋体"/>
                    </w:rPr>
                    <w:t>根据</w:t>
                  </w:r>
                  <w:r>
                    <w:rPr>
                      <w:rFonts w:hint="eastAsia" w:eastAsia="宋体"/>
                    </w:rPr>
                    <w:t>《博罗县生态保护红线、环境质量底线、资源利用上线和环境准入清单研究报告》，</w:t>
                  </w:r>
                  <w:r>
                    <w:rPr>
                      <w:rFonts w:eastAsia="宋体"/>
                    </w:rPr>
                    <w:t>石湾镇生态空间管控分区面积</w:t>
                  </w:r>
                  <w:r>
                    <w:rPr>
                      <w:rFonts w:hint="eastAsia" w:eastAsia="宋体"/>
                    </w:rPr>
                    <w:t>如下：</w:t>
                  </w:r>
                </w:p>
                <w:p w14:paraId="5631064F">
                  <w:pPr>
                    <w:pStyle w:val="149"/>
                    <w:rPr>
                      <w:rFonts w:eastAsia="宋体"/>
                    </w:rPr>
                  </w:pPr>
                  <w:r>
                    <w:rPr>
                      <w:rFonts w:eastAsia="宋体"/>
                    </w:rPr>
                    <w:t>表1-1.1石湾镇生态空间管控分区面积（面积：km</w:t>
                  </w:r>
                  <w:r>
                    <w:rPr>
                      <w:rFonts w:eastAsia="宋体"/>
                      <w:vertAlign w:val="superscript"/>
                    </w:rPr>
                    <w:t>2</w:t>
                  </w:r>
                  <w:r>
                    <w:rPr>
                      <w:rFonts w:eastAsia="宋体"/>
                    </w:rPr>
                    <w:t>）</w:t>
                  </w:r>
                </w:p>
                <w:tbl>
                  <w:tblPr>
                    <w:tblStyle w:val="31"/>
                    <w:tblW w:w="5000" w:type="pct"/>
                    <w:jc w:val="center"/>
                    <w:tblLayout w:type="autofit"/>
                    <w:tblCellMar>
                      <w:top w:w="0" w:type="dxa"/>
                      <w:left w:w="108" w:type="dxa"/>
                      <w:bottom w:w="0" w:type="dxa"/>
                      <w:right w:w="108" w:type="dxa"/>
                    </w:tblCellMar>
                  </w:tblPr>
                  <w:tblGrid>
                    <w:gridCol w:w="3558"/>
                    <w:gridCol w:w="1164"/>
                  </w:tblGrid>
                  <w:tr w14:paraId="5676C7DF">
                    <w:tblPrEx>
                      <w:tblCellMar>
                        <w:top w:w="0" w:type="dxa"/>
                        <w:left w:w="108" w:type="dxa"/>
                        <w:bottom w:w="0" w:type="dxa"/>
                        <w:right w:w="108" w:type="dxa"/>
                      </w:tblCellMar>
                    </w:tblPrEx>
                    <w:trPr>
                      <w:trHeight w:val="340" w:hRule="atLeast"/>
                      <w:jc w:val="center"/>
                    </w:trPr>
                    <w:tc>
                      <w:tcPr>
                        <w:tcW w:w="3767" w:type="pct"/>
                        <w:tcBorders>
                          <w:top w:val="single" w:color="auto" w:sz="4" w:space="0"/>
                          <w:left w:val="single" w:color="auto" w:sz="4" w:space="0"/>
                          <w:bottom w:val="single" w:color="auto" w:sz="4" w:space="0"/>
                          <w:right w:val="single" w:color="auto" w:sz="4" w:space="0"/>
                        </w:tcBorders>
                        <w:vAlign w:val="center"/>
                      </w:tcPr>
                      <w:p w14:paraId="7BA5DF60">
                        <w:pPr>
                          <w:pStyle w:val="149"/>
                        </w:pPr>
                        <w:r>
                          <w:t>生态保护红线</w:t>
                        </w:r>
                      </w:p>
                    </w:tc>
                    <w:tc>
                      <w:tcPr>
                        <w:tcW w:w="1233" w:type="pct"/>
                        <w:tcBorders>
                          <w:top w:val="single" w:color="auto" w:sz="4" w:space="0"/>
                          <w:left w:val="nil"/>
                          <w:bottom w:val="single" w:color="auto" w:sz="4" w:space="0"/>
                          <w:right w:val="single" w:color="auto" w:sz="4" w:space="0"/>
                        </w:tcBorders>
                        <w:vAlign w:val="center"/>
                      </w:tcPr>
                      <w:p w14:paraId="503F0ADF">
                        <w:pPr>
                          <w:pStyle w:val="149"/>
                        </w:pPr>
                        <w:r>
                          <w:t>0</w:t>
                        </w:r>
                      </w:p>
                    </w:tc>
                  </w:tr>
                  <w:tr w14:paraId="53A1825F">
                    <w:tblPrEx>
                      <w:tblCellMar>
                        <w:top w:w="0" w:type="dxa"/>
                        <w:left w:w="108" w:type="dxa"/>
                        <w:bottom w:w="0" w:type="dxa"/>
                        <w:right w:w="108" w:type="dxa"/>
                      </w:tblCellMar>
                    </w:tblPrEx>
                    <w:trPr>
                      <w:trHeight w:val="340" w:hRule="atLeast"/>
                      <w:jc w:val="center"/>
                    </w:trPr>
                    <w:tc>
                      <w:tcPr>
                        <w:tcW w:w="3767" w:type="pct"/>
                        <w:tcBorders>
                          <w:top w:val="single" w:color="auto" w:sz="4" w:space="0"/>
                          <w:left w:val="single" w:color="auto" w:sz="4" w:space="0"/>
                          <w:bottom w:val="single" w:color="auto" w:sz="4" w:space="0"/>
                          <w:right w:val="single" w:color="auto" w:sz="4" w:space="0"/>
                        </w:tcBorders>
                        <w:vAlign w:val="center"/>
                      </w:tcPr>
                      <w:p w14:paraId="37D84490">
                        <w:pPr>
                          <w:pStyle w:val="149"/>
                        </w:pPr>
                        <w:r>
                          <w:t>一般生态空间</w:t>
                        </w:r>
                      </w:p>
                    </w:tc>
                    <w:tc>
                      <w:tcPr>
                        <w:tcW w:w="1233" w:type="pct"/>
                        <w:tcBorders>
                          <w:top w:val="single" w:color="auto" w:sz="4" w:space="0"/>
                          <w:left w:val="nil"/>
                          <w:bottom w:val="single" w:color="auto" w:sz="4" w:space="0"/>
                          <w:right w:val="single" w:color="auto" w:sz="4" w:space="0"/>
                        </w:tcBorders>
                        <w:vAlign w:val="center"/>
                      </w:tcPr>
                      <w:p w14:paraId="3CC9CAC5">
                        <w:pPr>
                          <w:pStyle w:val="149"/>
                        </w:pPr>
                        <w:r>
                          <w:t>0</w:t>
                        </w:r>
                      </w:p>
                    </w:tc>
                  </w:tr>
                  <w:tr w14:paraId="18E2775D">
                    <w:tblPrEx>
                      <w:tblCellMar>
                        <w:top w:w="0" w:type="dxa"/>
                        <w:left w:w="108" w:type="dxa"/>
                        <w:bottom w:w="0" w:type="dxa"/>
                        <w:right w:w="108" w:type="dxa"/>
                      </w:tblCellMar>
                    </w:tblPrEx>
                    <w:trPr>
                      <w:trHeight w:val="340" w:hRule="atLeast"/>
                      <w:jc w:val="center"/>
                    </w:trPr>
                    <w:tc>
                      <w:tcPr>
                        <w:tcW w:w="3767" w:type="pct"/>
                        <w:tcBorders>
                          <w:top w:val="single" w:color="auto" w:sz="4" w:space="0"/>
                          <w:left w:val="single" w:color="auto" w:sz="4" w:space="0"/>
                          <w:bottom w:val="single" w:color="auto" w:sz="4" w:space="0"/>
                          <w:right w:val="single" w:color="auto" w:sz="4" w:space="0"/>
                        </w:tcBorders>
                        <w:vAlign w:val="center"/>
                      </w:tcPr>
                      <w:p w14:paraId="02DA2F6C">
                        <w:pPr>
                          <w:pStyle w:val="149"/>
                        </w:pPr>
                        <w:r>
                          <w:t>生态空间一般管控区</w:t>
                        </w:r>
                      </w:p>
                    </w:tc>
                    <w:tc>
                      <w:tcPr>
                        <w:tcW w:w="1233" w:type="pct"/>
                        <w:tcBorders>
                          <w:top w:val="single" w:color="auto" w:sz="4" w:space="0"/>
                          <w:left w:val="nil"/>
                          <w:bottom w:val="single" w:color="auto" w:sz="4" w:space="0"/>
                          <w:right w:val="single" w:color="auto" w:sz="4" w:space="0"/>
                        </w:tcBorders>
                        <w:vAlign w:val="center"/>
                      </w:tcPr>
                      <w:p w14:paraId="10CBA8DA">
                        <w:pPr>
                          <w:pStyle w:val="149"/>
                        </w:pPr>
                        <w:r>
                          <w:t>81.290</w:t>
                        </w:r>
                      </w:p>
                    </w:tc>
                  </w:tr>
                </w:tbl>
                <w:p w14:paraId="5C7946CF">
                  <w:pPr>
                    <w:pStyle w:val="149"/>
                    <w:rPr>
                      <w:rFonts w:eastAsia="宋体"/>
                    </w:rPr>
                  </w:pPr>
                </w:p>
              </w:tc>
              <w:tc>
                <w:tcPr>
                  <w:tcW w:w="1536" w:type="pct"/>
                  <w:tcBorders>
                    <w:top w:val="single" w:color="auto" w:sz="4" w:space="0"/>
                    <w:left w:val="single" w:color="auto" w:sz="4" w:space="0"/>
                    <w:bottom w:val="single" w:color="auto" w:sz="4" w:space="0"/>
                    <w:right w:val="single" w:color="auto" w:sz="4" w:space="0"/>
                  </w:tcBorders>
                  <w:vAlign w:val="center"/>
                </w:tcPr>
                <w:p w14:paraId="47CDEF15">
                  <w:pPr>
                    <w:pStyle w:val="149"/>
                    <w:jc w:val="both"/>
                    <w:rPr>
                      <w:rFonts w:eastAsia="宋体"/>
                    </w:rPr>
                  </w:pPr>
                  <w:r>
                    <w:rPr>
                      <w:rFonts w:eastAsia="宋体"/>
                    </w:rPr>
                    <w:t>根据《博罗县“三线一单”生态环境分区管控图集》（以下简称《图集》）中博罗县生态空间最终划定情况图（详见附图13），项目属于生态空间一般管控区，不位于生态保护红线和一般生态空间内。</w:t>
                  </w:r>
                </w:p>
              </w:tc>
              <w:tc>
                <w:tcPr>
                  <w:tcW w:w="281" w:type="pct"/>
                  <w:tcBorders>
                    <w:top w:val="single" w:color="auto" w:sz="4" w:space="0"/>
                    <w:left w:val="single" w:color="auto" w:sz="4" w:space="0"/>
                    <w:bottom w:val="single" w:color="auto" w:sz="4" w:space="0"/>
                    <w:right w:val="nil"/>
                  </w:tcBorders>
                  <w:vAlign w:val="center"/>
                </w:tcPr>
                <w:p w14:paraId="5D7CCA8A">
                  <w:pPr>
                    <w:pStyle w:val="149"/>
                    <w:rPr>
                      <w:rFonts w:eastAsia="宋体"/>
                    </w:rPr>
                  </w:pPr>
                  <w:r>
                    <w:rPr>
                      <w:rFonts w:eastAsia="宋体"/>
                    </w:rPr>
                    <w:t>符合</w:t>
                  </w:r>
                </w:p>
              </w:tc>
            </w:tr>
            <w:tr w14:paraId="09B5F4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7" w:type="dxa"/>
                  <w:bottom w:w="18" w:type="dxa"/>
                  <w:right w:w="17" w:type="dxa"/>
                </w:tblCellMar>
              </w:tblPrEx>
              <w:trPr>
                <w:trHeight w:val="20" w:hRule="atLeast"/>
                <w:jc w:val="center"/>
              </w:trPr>
              <w:tc>
                <w:tcPr>
                  <w:tcW w:w="281" w:type="pct"/>
                  <w:vMerge w:val="restart"/>
                  <w:tcBorders>
                    <w:top w:val="single" w:color="auto" w:sz="4" w:space="0"/>
                    <w:left w:val="nil"/>
                    <w:bottom w:val="single" w:color="auto" w:sz="4" w:space="0"/>
                    <w:right w:val="single" w:color="auto" w:sz="4" w:space="0"/>
                  </w:tcBorders>
                  <w:vAlign w:val="center"/>
                </w:tcPr>
                <w:p w14:paraId="5BE95B45">
                  <w:pPr>
                    <w:pStyle w:val="149"/>
                    <w:rPr>
                      <w:rFonts w:eastAsia="宋体"/>
                    </w:rPr>
                  </w:pPr>
                  <w:r>
                    <w:rPr>
                      <w:rFonts w:eastAsia="宋体"/>
                    </w:rPr>
                    <w:t>环境质量底线</w:t>
                  </w:r>
                </w:p>
              </w:tc>
              <w:tc>
                <w:tcPr>
                  <w:tcW w:w="2902" w:type="pct"/>
                  <w:tcBorders>
                    <w:top w:val="single" w:color="auto" w:sz="4" w:space="0"/>
                    <w:left w:val="single" w:color="auto" w:sz="4" w:space="0"/>
                    <w:bottom w:val="single" w:color="auto" w:sz="4" w:space="0"/>
                    <w:right w:val="single" w:color="auto" w:sz="4" w:space="0"/>
                  </w:tcBorders>
                  <w:vAlign w:val="center"/>
                </w:tcPr>
                <w:p w14:paraId="7DD7276F">
                  <w:pPr>
                    <w:pStyle w:val="149"/>
                    <w:jc w:val="both"/>
                    <w:rPr>
                      <w:rFonts w:eastAsia="宋体"/>
                    </w:rPr>
                  </w:pPr>
                  <w:r>
                    <w:rPr>
                      <w:rFonts w:hint="eastAsia" w:eastAsia="宋体"/>
                    </w:rPr>
                    <w:t>根据《博罗县生态保护红线、环境质量底线、资源利用上线和环境准入清单研究报告》，</w:t>
                  </w:r>
                  <w:r>
                    <w:rPr>
                      <w:rFonts w:eastAsia="宋体"/>
                    </w:rPr>
                    <w:t>石湾镇</w:t>
                  </w:r>
                  <w:r>
                    <w:rPr>
                      <w:rFonts w:hint="eastAsia" w:eastAsia="宋体"/>
                    </w:rPr>
                    <w:t>水环境质量底线</w:t>
                  </w:r>
                  <w:r>
                    <w:rPr>
                      <w:rFonts w:eastAsia="宋体"/>
                    </w:rPr>
                    <w:t>面积</w:t>
                  </w:r>
                  <w:r>
                    <w:rPr>
                      <w:rFonts w:hint="eastAsia" w:eastAsia="宋体"/>
                    </w:rPr>
                    <w:t>如下：</w:t>
                  </w:r>
                </w:p>
                <w:p w14:paraId="1AE0B435">
                  <w:pPr>
                    <w:pStyle w:val="149"/>
                    <w:rPr>
                      <w:rFonts w:eastAsia="宋体"/>
                    </w:rPr>
                  </w:pPr>
                  <w:r>
                    <w:rPr>
                      <w:rFonts w:eastAsia="宋体"/>
                    </w:rPr>
                    <w:t>表1-1.2石湾镇水环境质量底线（面积：km</w:t>
                  </w:r>
                  <w:r>
                    <w:rPr>
                      <w:rFonts w:eastAsia="宋体"/>
                      <w:vertAlign w:val="superscript"/>
                    </w:rPr>
                    <w:t>2</w:t>
                  </w:r>
                  <w:r>
                    <w:rPr>
                      <w:rFonts w:eastAsia="宋体"/>
                    </w:rPr>
                    <w:t>）</w:t>
                  </w:r>
                </w:p>
                <w:tbl>
                  <w:tblPr>
                    <w:tblStyle w:val="31"/>
                    <w:tblW w:w="4164" w:type="dxa"/>
                    <w:jc w:val="center"/>
                    <w:tblLayout w:type="autofit"/>
                    <w:tblCellMar>
                      <w:top w:w="0" w:type="dxa"/>
                      <w:left w:w="108" w:type="dxa"/>
                      <w:bottom w:w="0" w:type="dxa"/>
                      <w:right w:w="108" w:type="dxa"/>
                    </w:tblCellMar>
                  </w:tblPr>
                  <w:tblGrid>
                    <w:gridCol w:w="3247"/>
                    <w:gridCol w:w="917"/>
                  </w:tblGrid>
                  <w:tr w14:paraId="1AAFE8A9">
                    <w:tblPrEx>
                      <w:tblCellMar>
                        <w:top w:w="0" w:type="dxa"/>
                        <w:left w:w="108" w:type="dxa"/>
                        <w:bottom w:w="0" w:type="dxa"/>
                        <w:right w:w="108" w:type="dxa"/>
                      </w:tblCellMar>
                    </w:tblPrEx>
                    <w:trPr>
                      <w:trHeight w:val="340" w:hRule="atLeast"/>
                      <w:jc w:val="center"/>
                    </w:trPr>
                    <w:tc>
                      <w:tcPr>
                        <w:tcW w:w="3247" w:type="dxa"/>
                        <w:tcBorders>
                          <w:top w:val="single" w:color="auto" w:sz="4" w:space="0"/>
                          <w:left w:val="single" w:color="auto" w:sz="4" w:space="0"/>
                          <w:bottom w:val="single" w:color="auto" w:sz="4" w:space="0"/>
                          <w:right w:val="single" w:color="auto" w:sz="4" w:space="0"/>
                        </w:tcBorders>
                        <w:vAlign w:val="center"/>
                      </w:tcPr>
                      <w:p w14:paraId="0BA7EA5E">
                        <w:pPr>
                          <w:pStyle w:val="149"/>
                        </w:pPr>
                        <w:r>
                          <w:t>水环境优先保护区面积</w:t>
                        </w:r>
                      </w:p>
                    </w:tc>
                    <w:tc>
                      <w:tcPr>
                        <w:tcW w:w="917" w:type="dxa"/>
                        <w:tcBorders>
                          <w:top w:val="single" w:color="auto" w:sz="4" w:space="0"/>
                          <w:left w:val="nil"/>
                          <w:bottom w:val="single" w:color="auto" w:sz="4" w:space="0"/>
                          <w:right w:val="single" w:color="auto" w:sz="4" w:space="0"/>
                        </w:tcBorders>
                        <w:vAlign w:val="center"/>
                      </w:tcPr>
                      <w:p w14:paraId="0C6B5E61">
                        <w:pPr>
                          <w:pStyle w:val="149"/>
                        </w:pPr>
                        <w:r>
                          <w:t>0</w:t>
                        </w:r>
                      </w:p>
                    </w:tc>
                  </w:tr>
                  <w:tr w14:paraId="3BD33657">
                    <w:tblPrEx>
                      <w:tblCellMar>
                        <w:top w:w="0" w:type="dxa"/>
                        <w:left w:w="108" w:type="dxa"/>
                        <w:bottom w:w="0" w:type="dxa"/>
                        <w:right w:w="108" w:type="dxa"/>
                      </w:tblCellMar>
                    </w:tblPrEx>
                    <w:trPr>
                      <w:trHeight w:val="340" w:hRule="atLeast"/>
                      <w:jc w:val="center"/>
                    </w:trPr>
                    <w:tc>
                      <w:tcPr>
                        <w:tcW w:w="3247" w:type="dxa"/>
                        <w:tcBorders>
                          <w:top w:val="single" w:color="auto" w:sz="4" w:space="0"/>
                          <w:left w:val="single" w:color="auto" w:sz="4" w:space="0"/>
                          <w:bottom w:val="single" w:color="auto" w:sz="4" w:space="0"/>
                          <w:right w:val="single" w:color="auto" w:sz="4" w:space="0"/>
                        </w:tcBorders>
                        <w:vAlign w:val="center"/>
                      </w:tcPr>
                      <w:p w14:paraId="28632993">
                        <w:pPr>
                          <w:pStyle w:val="149"/>
                        </w:pPr>
                        <w:r>
                          <w:t>水环境生活污染重点管控区面积</w:t>
                        </w:r>
                      </w:p>
                    </w:tc>
                    <w:tc>
                      <w:tcPr>
                        <w:tcW w:w="917" w:type="dxa"/>
                        <w:tcBorders>
                          <w:top w:val="single" w:color="auto" w:sz="4" w:space="0"/>
                          <w:left w:val="nil"/>
                          <w:bottom w:val="single" w:color="auto" w:sz="4" w:space="0"/>
                          <w:right w:val="single" w:color="auto" w:sz="4" w:space="0"/>
                        </w:tcBorders>
                        <w:vAlign w:val="center"/>
                      </w:tcPr>
                      <w:p w14:paraId="2044E2B2">
                        <w:pPr>
                          <w:pStyle w:val="149"/>
                        </w:pPr>
                        <w:r>
                          <w:t>42.956</w:t>
                        </w:r>
                      </w:p>
                    </w:tc>
                  </w:tr>
                  <w:tr w14:paraId="78F30909">
                    <w:tblPrEx>
                      <w:tblCellMar>
                        <w:top w:w="0" w:type="dxa"/>
                        <w:left w:w="108" w:type="dxa"/>
                        <w:bottom w:w="0" w:type="dxa"/>
                        <w:right w:w="108" w:type="dxa"/>
                      </w:tblCellMar>
                    </w:tblPrEx>
                    <w:trPr>
                      <w:trHeight w:val="340" w:hRule="atLeast"/>
                      <w:jc w:val="center"/>
                    </w:trPr>
                    <w:tc>
                      <w:tcPr>
                        <w:tcW w:w="3247" w:type="dxa"/>
                        <w:tcBorders>
                          <w:top w:val="single" w:color="auto" w:sz="4" w:space="0"/>
                          <w:left w:val="single" w:color="auto" w:sz="4" w:space="0"/>
                          <w:bottom w:val="single" w:color="auto" w:sz="4" w:space="0"/>
                          <w:right w:val="single" w:color="auto" w:sz="4" w:space="0"/>
                        </w:tcBorders>
                        <w:vAlign w:val="center"/>
                      </w:tcPr>
                      <w:p w14:paraId="4D16097B">
                        <w:pPr>
                          <w:pStyle w:val="149"/>
                        </w:pPr>
                        <w:r>
                          <w:t>水环境工业污染重点管控区面积</w:t>
                        </w:r>
                      </w:p>
                    </w:tc>
                    <w:tc>
                      <w:tcPr>
                        <w:tcW w:w="917" w:type="dxa"/>
                        <w:tcBorders>
                          <w:top w:val="single" w:color="auto" w:sz="4" w:space="0"/>
                          <w:left w:val="nil"/>
                          <w:bottom w:val="single" w:color="auto" w:sz="4" w:space="0"/>
                          <w:right w:val="single" w:color="auto" w:sz="4" w:space="0"/>
                        </w:tcBorders>
                        <w:vAlign w:val="center"/>
                      </w:tcPr>
                      <w:p w14:paraId="53078E12">
                        <w:pPr>
                          <w:pStyle w:val="149"/>
                        </w:pPr>
                        <w:r>
                          <w:t>30.901</w:t>
                        </w:r>
                      </w:p>
                    </w:tc>
                  </w:tr>
                  <w:tr w14:paraId="137892FB">
                    <w:tblPrEx>
                      <w:tblCellMar>
                        <w:top w:w="0" w:type="dxa"/>
                        <w:left w:w="108" w:type="dxa"/>
                        <w:bottom w:w="0" w:type="dxa"/>
                        <w:right w:w="108" w:type="dxa"/>
                      </w:tblCellMar>
                    </w:tblPrEx>
                    <w:trPr>
                      <w:trHeight w:val="340" w:hRule="atLeast"/>
                      <w:jc w:val="center"/>
                    </w:trPr>
                    <w:tc>
                      <w:tcPr>
                        <w:tcW w:w="3247" w:type="dxa"/>
                        <w:tcBorders>
                          <w:top w:val="single" w:color="auto" w:sz="4" w:space="0"/>
                          <w:left w:val="single" w:color="auto" w:sz="4" w:space="0"/>
                          <w:bottom w:val="single" w:color="auto" w:sz="4" w:space="0"/>
                          <w:right w:val="single" w:color="auto" w:sz="4" w:space="0"/>
                        </w:tcBorders>
                        <w:vAlign w:val="center"/>
                      </w:tcPr>
                      <w:p w14:paraId="40198550">
                        <w:pPr>
                          <w:pStyle w:val="149"/>
                        </w:pPr>
                        <w:r>
                          <w:t>水环境一般管控区面积</w:t>
                        </w:r>
                      </w:p>
                    </w:tc>
                    <w:tc>
                      <w:tcPr>
                        <w:tcW w:w="917" w:type="dxa"/>
                        <w:tcBorders>
                          <w:top w:val="single" w:color="auto" w:sz="4" w:space="0"/>
                          <w:left w:val="nil"/>
                          <w:bottom w:val="single" w:color="auto" w:sz="4" w:space="0"/>
                          <w:right w:val="single" w:color="auto" w:sz="4" w:space="0"/>
                        </w:tcBorders>
                        <w:vAlign w:val="center"/>
                      </w:tcPr>
                      <w:p w14:paraId="3A33613D">
                        <w:pPr>
                          <w:pStyle w:val="149"/>
                        </w:pPr>
                        <w:r>
                          <w:t>7.433</w:t>
                        </w:r>
                      </w:p>
                    </w:tc>
                  </w:tr>
                </w:tbl>
                <w:p w14:paraId="2B1B28D2">
                  <w:pPr>
                    <w:pStyle w:val="149"/>
                    <w:rPr>
                      <w:rFonts w:eastAsia="宋体"/>
                    </w:rPr>
                  </w:pPr>
                </w:p>
              </w:tc>
              <w:tc>
                <w:tcPr>
                  <w:tcW w:w="1536" w:type="pct"/>
                  <w:tcBorders>
                    <w:top w:val="single" w:color="auto" w:sz="4" w:space="0"/>
                    <w:left w:val="single" w:color="auto" w:sz="4" w:space="0"/>
                    <w:bottom w:val="single" w:color="auto" w:sz="4" w:space="0"/>
                    <w:right w:val="single" w:color="auto" w:sz="4" w:space="0"/>
                  </w:tcBorders>
                  <w:vAlign w:val="center"/>
                </w:tcPr>
                <w:p w14:paraId="4C95DAD5">
                  <w:pPr>
                    <w:pStyle w:val="149"/>
                    <w:jc w:val="both"/>
                    <w:rPr>
                      <w:rFonts w:eastAsia="宋体"/>
                    </w:rPr>
                  </w:pPr>
                  <w:r>
                    <w:rPr>
                      <w:rFonts w:eastAsia="宋体"/>
                    </w:rPr>
                    <w:t>根据《博罗县三线一单生态环境分区管控研究报告》表4.8-2和《博罗县“三线一单”生态环境分区管控图集》附图10博罗县水环境质量底线管控分区划定情况，项目位于水环境一般管控区（附图14），不在集中式饮用水水源保护区范围内，项目生活污水经预处理达标后通过市政污水管网排博罗县石湾镇大牛垒生活污水处理厂处理，在严格落实各项污染防治措施的前提下，本项目的建设对周边环境影响较小，建成后不会突破当地环境质量底线。</w:t>
                  </w:r>
                </w:p>
              </w:tc>
              <w:tc>
                <w:tcPr>
                  <w:tcW w:w="281" w:type="pct"/>
                  <w:vMerge w:val="restart"/>
                  <w:tcBorders>
                    <w:top w:val="single" w:color="auto" w:sz="4" w:space="0"/>
                    <w:left w:val="single" w:color="auto" w:sz="4" w:space="0"/>
                    <w:bottom w:val="single" w:color="auto" w:sz="4" w:space="0"/>
                    <w:right w:val="nil"/>
                  </w:tcBorders>
                  <w:vAlign w:val="center"/>
                </w:tcPr>
                <w:p w14:paraId="3CAB727A">
                  <w:pPr>
                    <w:pStyle w:val="149"/>
                    <w:rPr>
                      <w:rFonts w:eastAsia="宋体"/>
                    </w:rPr>
                  </w:pPr>
                  <w:r>
                    <w:rPr>
                      <w:rFonts w:eastAsia="宋体"/>
                    </w:rPr>
                    <w:t>符合</w:t>
                  </w:r>
                </w:p>
              </w:tc>
            </w:tr>
            <w:tr w14:paraId="139898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7" w:type="dxa"/>
                  <w:bottom w:w="18" w:type="dxa"/>
                  <w:right w:w="17" w:type="dxa"/>
                </w:tblCellMar>
              </w:tblPrEx>
              <w:trPr>
                <w:trHeight w:val="20" w:hRule="atLeast"/>
                <w:jc w:val="center"/>
              </w:trPr>
              <w:tc>
                <w:tcPr>
                  <w:tcW w:w="0" w:type="auto"/>
                  <w:vMerge w:val="continue"/>
                  <w:tcBorders>
                    <w:top w:val="single" w:color="auto" w:sz="4" w:space="0"/>
                    <w:left w:val="nil"/>
                    <w:bottom w:val="single" w:color="auto" w:sz="4" w:space="0"/>
                    <w:right w:val="single" w:color="auto" w:sz="4" w:space="0"/>
                  </w:tcBorders>
                  <w:vAlign w:val="center"/>
                </w:tcPr>
                <w:p w14:paraId="13563C71">
                  <w:pPr>
                    <w:pStyle w:val="149"/>
                    <w:rPr>
                      <w:rFonts w:eastAsia="宋体"/>
                    </w:rPr>
                  </w:pPr>
                </w:p>
              </w:tc>
              <w:tc>
                <w:tcPr>
                  <w:tcW w:w="2902" w:type="pct"/>
                  <w:tcBorders>
                    <w:top w:val="single" w:color="auto" w:sz="4" w:space="0"/>
                    <w:left w:val="single" w:color="auto" w:sz="4" w:space="0"/>
                    <w:bottom w:val="single" w:color="auto" w:sz="4" w:space="0"/>
                    <w:right w:val="single" w:color="auto" w:sz="4" w:space="0"/>
                  </w:tcBorders>
                  <w:vAlign w:val="center"/>
                </w:tcPr>
                <w:p w14:paraId="6B98F3E1">
                  <w:pPr>
                    <w:pStyle w:val="149"/>
                    <w:jc w:val="both"/>
                    <w:rPr>
                      <w:rFonts w:eastAsia="宋体"/>
                    </w:rPr>
                  </w:pPr>
                  <w:r>
                    <w:rPr>
                      <w:rFonts w:hint="eastAsia" w:eastAsia="宋体"/>
                    </w:rPr>
                    <w:t>根据《博罗县生态保护红线、环境质量底线、资源利用上线和环境准入清单研究报告》，</w:t>
                  </w:r>
                  <w:r>
                    <w:rPr>
                      <w:rFonts w:eastAsia="宋体"/>
                    </w:rPr>
                    <w:t>石湾镇</w:t>
                  </w:r>
                  <w:r>
                    <w:rPr>
                      <w:rFonts w:hint="eastAsia" w:eastAsia="宋体"/>
                    </w:rPr>
                    <w:t>大气环境质量</w:t>
                  </w:r>
                  <w:r>
                    <w:rPr>
                      <w:rFonts w:eastAsia="宋体"/>
                    </w:rPr>
                    <w:t>面积</w:t>
                  </w:r>
                  <w:r>
                    <w:rPr>
                      <w:rFonts w:hint="eastAsia" w:eastAsia="宋体"/>
                    </w:rPr>
                    <w:t>如下：</w:t>
                  </w:r>
                </w:p>
                <w:p w14:paraId="68D1E4A8">
                  <w:pPr>
                    <w:pStyle w:val="149"/>
                    <w:rPr>
                      <w:rFonts w:eastAsia="宋体"/>
                    </w:rPr>
                  </w:pPr>
                  <w:r>
                    <w:rPr>
                      <w:rFonts w:eastAsia="宋体"/>
                    </w:rPr>
                    <w:t>表1-1.3石湾镇大气环境质量底线（面积：km</w:t>
                  </w:r>
                  <w:r>
                    <w:rPr>
                      <w:rFonts w:eastAsia="宋体"/>
                      <w:vertAlign w:val="superscript"/>
                    </w:rPr>
                    <w:t>2</w:t>
                  </w:r>
                  <w:r>
                    <w:rPr>
                      <w:rFonts w:eastAsia="宋体"/>
                    </w:rPr>
                    <w:t>）</w:t>
                  </w:r>
                </w:p>
                <w:tbl>
                  <w:tblPr>
                    <w:tblStyle w:val="31"/>
                    <w:tblW w:w="4175" w:type="dxa"/>
                    <w:jc w:val="center"/>
                    <w:tblLayout w:type="autofit"/>
                    <w:tblCellMar>
                      <w:top w:w="0" w:type="dxa"/>
                      <w:left w:w="51" w:type="dxa"/>
                      <w:bottom w:w="0" w:type="dxa"/>
                      <w:right w:w="51" w:type="dxa"/>
                    </w:tblCellMar>
                  </w:tblPr>
                  <w:tblGrid>
                    <w:gridCol w:w="3276"/>
                    <w:gridCol w:w="899"/>
                  </w:tblGrid>
                  <w:tr w14:paraId="556B9B2F">
                    <w:tblPrEx>
                      <w:tblCellMar>
                        <w:top w:w="0" w:type="dxa"/>
                        <w:left w:w="51" w:type="dxa"/>
                        <w:bottom w:w="0" w:type="dxa"/>
                        <w:right w:w="51" w:type="dxa"/>
                      </w:tblCellMar>
                    </w:tblPrEx>
                    <w:trPr>
                      <w:trHeight w:val="20" w:hRule="atLeast"/>
                      <w:jc w:val="center"/>
                    </w:trPr>
                    <w:tc>
                      <w:tcPr>
                        <w:tcW w:w="3276" w:type="dxa"/>
                        <w:tcBorders>
                          <w:top w:val="single" w:color="auto" w:sz="4" w:space="0"/>
                          <w:left w:val="single" w:color="auto" w:sz="4" w:space="0"/>
                          <w:bottom w:val="single" w:color="auto" w:sz="4" w:space="0"/>
                          <w:right w:val="single" w:color="auto" w:sz="4" w:space="0"/>
                        </w:tcBorders>
                      </w:tcPr>
                      <w:p w14:paraId="59BD2390">
                        <w:pPr>
                          <w:pStyle w:val="149"/>
                        </w:pPr>
                        <w:r>
                          <w:t>大气环境优先保护区面积</w:t>
                        </w:r>
                      </w:p>
                    </w:tc>
                    <w:tc>
                      <w:tcPr>
                        <w:tcW w:w="899" w:type="dxa"/>
                        <w:tcBorders>
                          <w:top w:val="single" w:color="auto" w:sz="4" w:space="0"/>
                          <w:left w:val="single" w:color="auto" w:sz="4" w:space="0"/>
                          <w:bottom w:val="single" w:color="auto" w:sz="4" w:space="0"/>
                          <w:right w:val="single" w:color="auto" w:sz="4" w:space="0"/>
                        </w:tcBorders>
                      </w:tcPr>
                      <w:p w14:paraId="2F901FDB">
                        <w:pPr>
                          <w:pStyle w:val="149"/>
                        </w:pPr>
                        <w:r>
                          <w:t>0</w:t>
                        </w:r>
                      </w:p>
                    </w:tc>
                  </w:tr>
                  <w:tr w14:paraId="57CB0071">
                    <w:tblPrEx>
                      <w:tblCellMar>
                        <w:top w:w="0" w:type="dxa"/>
                        <w:left w:w="51" w:type="dxa"/>
                        <w:bottom w:w="0" w:type="dxa"/>
                        <w:right w:w="51" w:type="dxa"/>
                      </w:tblCellMar>
                    </w:tblPrEx>
                    <w:trPr>
                      <w:trHeight w:val="20" w:hRule="atLeast"/>
                      <w:jc w:val="center"/>
                    </w:trPr>
                    <w:tc>
                      <w:tcPr>
                        <w:tcW w:w="3276" w:type="dxa"/>
                        <w:tcBorders>
                          <w:top w:val="single" w:color="auto" w:sz="4" w:space="0"/>
                          <w:left w:val="single" w:color="auto" w:sz="4" w:space="0"/>
                          <w:bottom w:val="single" w:color="auto" w:sz="4" w:space="0"/>
                          <w:right w:val="single" w:color="auto" w:sz="4" w:space="0"/>
                        </w:tcBorders>
                      </w:tcPr>
                      <w:p w14:paraId="22B8EED8">
                        <w:pPr>
                          <w:pStyle w:val="149"/>
                        </w:pPr>
                        <w:r>
                          <w:t>大气环境布局敏感重点管控区面积</w:t>
                        </w:r>
                      </w:p>
                    </w:tc>
                    <w:tc>
                      <w:tcPr>
                        <w:tcW w:w="899" w:type="dxa"/>
                        <w:tcBorders>
                          <w:top w:val="single" w:color="auto" w:sz="4" w:space="0"/>
                          <w:left w:val="single" w:color="auto" w:sz="4" w:space="0"/>
                          <w:bottom w:val="single" w:color="auto" w:sz="4" w:space="0"/>
                          <w:right w:val="single" w:color="auto" w:sz="4" w:space="0"/>
                        </w:tcBorders>
                      </w:tcPr>
                      <w:p w14:paraId="178FE226">
                        <w:pPr>
                          <w:pStyle w:val="149"/>
                        </w:pPr>
                        <w:r>
                          <w:t>0</w:t>
                        </w:r>
                      </w:p>
                    </w:tc>
                  </w:tr>
                  <w:tr w14:paraId="40A17246">
                    <w:tblPrEx>
                      <w:tblCellMar>
                        <w:top w:w="0" w:type="dxa"/>
                        <w:left w:w="51" w:type="dxa"/>
                        <w:bottom w:w="0" w:type="dxa"/>
                        <w:right w:w="51" w:type="dxa"/>
                      </w:tblCellMar>
                    </w:tblPrEx>
                    <w:trPr>
                      <w:trHeight w:val="20" w:hRule="atLeast"/>
                      <w:jc w:val="center"/>
                    </w:trPr>
                    <w:tc>
                      <w:tcPr>
                        <w:tcW w:w="3276" w:type="dxa"/>
                        <w:tcBorders>
                          <w:top w:val="single" w:color="auto" w:sz="4" w:space="0"/>
                          <w:left w:val="single" w:color="auto" w:sz="4" w:space="0"/>
                          <w:bottom w:val="single" w:color="auto" w:sz="4" w:space="0"/>
                          <w:right w:val="single" w:color="auto" w:sz="4" w:space="0"/>
                        </w:tcBorders>
                      </w:tcPr>
                      <w:p w14:paraId="30DB45AB">
                        <w:pPr>
                          <w:pStyle w:val="149"/>
                        </w:pPr>
                        <w:r>
                          <w:t>大气环境高排放重点管控区面积</w:t>
                        </w:r>
                      </w:p>
                    </w:tc>
                    <w:tc>
                      <w:tcPr>
                        <w:tcW w:w="899" w:type="dxa"/>
                        <w:tcBorders>
                          <w:top w:val="single" w:color="auto" w:sz="4" w:space="0"/>
                          <w:left w:val="single" w:color="auto" w:sz="4" w:space="0"/>
                          <w:bottom w:val="single" w:color="auto" w:sz="4" w:space="0"/>
                          <w:right w:val="single" w:color="auto" w:sz="4" w:space="0"/>
                        </w:tcBorders>
                      </w:tcPr>
                      <w:p w14:paraId="50AAA7D0">
                        <w:pPr>
                          <w:pStyle w:val="149"/>
                        </w:pPr>
                        <w:r>
                          <w:t>81.290</w:t>
                        </w:r>
                      </w:p>
                    </w:tc>
                  </w:tr>
                  <w:tr w14:paraId="25F6387B">
                    <w:tblPrEx>
                      <w:tblCellMar>
                        <w:top w:w="0" w:type="dxa"/>
                        <w:left w:w="51" w:type="dxa"/>
                        <w:bottom w:w="0" w:type="dxa"/>
                        <w:right w:w="51" w:type="dxa"/>
                      </w:tblCellMar>
                    </w:tblPrEx>
                    <w:trPr>
                      <w:trHeight w:val="20" w:hRule="atLeast"/>
                      <w:jc w:val="center"/>
                    </w:trPr>
                    <w:tc>
                      <w:tcPr>
                        <w:tcW w:w="3276" w:type="dxa"/>
                        <w:tcBorders>
                          <w:top w:val="single" w:color="auto" w:sz="4" w:space="0"/>
                          <w:left w:val="single" w:color="auto" w:sz="4" w:space="0"/>
                          <w:bottom w:val="single" w:color="auto" w:sz="4" w:space="0"/>
                          <w:right w:val="single" w:color="auto" w:sz="4" w:space="0"/>
                        </w:tcBorders>
                      </w:tcPr>
                      <w:p w14:paraId="031C1011">
                        <w:pPr>
                          <w:pStyle w:val="149"/>
                        </w:pPr>
                        <w:r>
                          <w:t>大气环境弱扩散重点管控区面积</w:t>
                        </w:r>
                      </w:p>
                    </w:tc>
                    <w:tc>
                      <w:tcPr>
                        <w:tcW w:w="899" w:type="dxa"/>
                        <w:tcBorders>
                          <w:top w:val="single" w:color="auto" w:sz="4" w:space="0"/>
                          <w:left w:val="single" w:color="auto" w:sz="4" w:space="0"/>
                          <w:bottom w:val="single" w:color="auto" w:sz="4" w:space="0"/>
                          <w:right w:val="single" w:color="auto" w:sz="4" w:space="0"/>
                        </w:tcBorders>
                      </w:tcPr>
                      <w:p w14:paraId="2E4D2CC0">
                        <w:pPr>
                          <w:pStyle w:val="149"/>
                        </w:pPr>
                        <w:r>
                          <w:t>0</w:t>
                        </w:r>
                      </w:p>
                    </w:tc>
                  </w:tr>
                  <w:tr w14:paraId="7B2AE753">
                    <w:tblPrEx>
                      <w:tblCellMar>
                        <w:top w:w="0" w:type="dxa"/>
                        <w:left w:w="51" w:type="dxa"/>
                        <w:bottom w:w="0" w:type="dxa"/>
                        <w:right w:w="51" w:type="dxa"/>
                      </w:tblCellMar>
                    </w:tblPrEx>
                    <w:trPr>
                      <w:trHeight w:val="20" w:hRule="atLeast"/>
                      <w:jc w:val="center"/>
                    </w:trPr>
                    <w:tc>
                      <w:tcPr>
                        <w:tcW w:w="3276" w:type="dxa"/>
                        <w:tcBorders>
                          <w:top w:val="single" w:color="auto" w:sz="4" w:space="0"/>
                          <w:left w:val="single" w:color="auto" w:sz="4" w:space="0"/>
                          <w:bottom w:val="single" w:color="auto" w:sz="4" w:space="0"/>
                          <w:right w:val="single" w:color="auto" w:sz="4" w:space="0"/>
                        </w:tcBorders>
                      </w:tcPr>
                      <w:p w14:paraId="1581F158">
                        <w:pPr>
                          <w:pStyle w:val="149"/>
                        </w:pPr>
                        <w:r>
                          <w:t>大气环境一般管控区面积</w:t>
                        </w:r>
                      </w:p>
                    </w:tc>
                    <w:tc>
                      <w:tcPr>
                        <w:tcW w:w="899" w:type="dxa"/>
                        <w:tcBorders>
                          <w:top w:val="single" w:color="auto" w:sz="4" w:space="0"/>
                          <w:left w:val="single" w:color="auto" w:sz="4" w:space="0"/>
                          <w:bottom w:val="single" w:color="auto" w:sz="4" w:space="0"/>
                          <w:right w:val="single" w:color="auto" w:sz="4" w:space="0"/>
                        </w:tcBorders>
                      </w:tcPr>
                      <w:p w14:paraId="5B33C2D1">
                        <w:pPr>
                          <w:pStyle w:val="149"/>
                        </w:pPr>
                        <w:r>
                          <w:t>0</w:t>
                        </w:r>
                      </w:p>
                    </w:tc>
                  </w:tr>
                </w:tbl>
                <w:p w14:paraId="47FBC94A">
                  <w:pPr>
                    <w:pStyle w:val="149"/>
                    <w:jc w:val="both"/>
                    <w:rPr>
                      <w:rFonts w:eastAsia="宋体"/>
                      <w:bCs/>
                    </w:rPr>
                  </w:pPr>
                  <w:r>
                    <w:rPr>
                      <w:rFonts w:eastAsia="宋体"/>
                    </w:rPr>
                    <w:t>大气环境高排放重点管控区管控要求：现有源提标升级改造：</w:t>
                  </w:r>
                  <w:r>
                    <w:rPr>
                      <w:rFonts w:hint="eastAsia" w:ascii="宋体" w:hAnsi="宋体" w:eastAsia="宋体" w:cs="宋体"/>
                    </w:rPr>
                    <w:t>①</w:t>
                  </w:r>
                  <w:r>
                    <w:rPr>
                      <w:rFonts w:eastAsia="宋体"/>
                    </w:rPr>
                    <w:t>对大气环境高排放重点管控区进行环保集中整治，限期进行达标改造，减少工业集聚区污染；</w:t>
                  </w:r>
                  <w:r>
                    <w:rPr>
                      <w:rFonts w:hint="eastAsia" w:ascii="宋体" w:hAnsi="宋体" w:eastAsia="宋体" w:cs="宋体"/>
                    </w:rPr>
                    <w:t>②</w:t>
                  </w:r>
                  <w:r>
                    <w:rPr>
                      <w:rFonts w:eastAsia="宋体"/>
                    </w:rPr>
                    <w:t>鼓励大气环境高排放重点管控区建设集中的喷涂工程中心和有机废弃物回收再生利用中心，并配备高效治理设施。</w:t>
                  </w:r>
                </w:p>
              </w:tc>
              <w:tc>
                <w:tcPr>
                  <w:tcW w:w="1536" w:type="pct"/>
                  <w:tcBorders>
                    <w:top w:val="single" w:color="auto" w:sz="4" w:space="0"/>
                    <w:left w:val="single" w:color="auto" w:sz="4" w:space="0"/>
                    <w:bottom w:val="single" w:color="auto" w:sz="4" w:space="0"/>
                    <w:right w:val="single" w:color="auto" w:sz="4" w:space="0"/>
                  </w:tcBorders>
                  <w:vAlign w:val="center"/>
                </w:tcPr>
                <w:p w14:paraId="6F36FE92">
                  <w:pPr>
                    <w:pStyle w:val="149"/>
                    <w:jc w:val="both"/>
                    <w:rPr>
                      <w:rFonts w:eastAsia="宋体"/>
                    </w:rPr>
                  </w:pPr>
                  <w:r>
                    <w:rPr>
                      <w:rFonts w:eastAsia="宋体"/>
                    </w:rPr>
                    <w:t>根据《博罗县三线一单生态环境分区管控研究报告》表5.4-2和《博罗县“三线一单”生态环境分区管控图集》中博罗县大气环境质量底线管控分区划定情况，项目位于大气环境高排放重点管控区（附图15），项目运营期无废气排放。项目所在区域大气环境属二类功能区，所在区域大气环境质量常规因子满足《环境空气质量标准》（GB3095-2012）二级标准及2018年修改单中的相关规定。</w:t>
                  </w:r>
                </w:p>
              </w:tc>
              <w:tc>
                <w:tcPr>
                  <w:tcW w:w="0" w:type="auto"/>
                  <w:vMerge w:val="continue"/>
                  <w:tcBorders>
                    <w:top w:val="single" w:color="auto" w:sz="4" w:space="0"/>
                    <w:left w:val="single" w:color="auto" w:sz="4" w:space="0"/>
                    <w:bottom w:val="single" w:color="auto" w:sz="4" w:space="0"/>
                    <w:right w:val="nil"/>
                  </w:tcBorders>
                  <w:vAlign w:val="center"/>
                </w:tcPr>
                <w:p w14:paraId="1D070F42">
                  <w:pPr>
                    <w:pStyle w:val="149"/>
                    <w:rPr>
                      <w:rFonts w:eastAsia="宋体"/>
                    </w:rPr>
                  </w:pPr>
                </w:p>
              </w:tc>
            </w:tr>
            <w:tr w14:paraId="619F9F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7" w:type="dxa"/>
                  <w:bottom w:w="18" w:type="dxa"/>
                  <w:right w:w="17" w:type="dxa"/>
                </w:tblCellMar>
              </w:tblPrEx>
              <w:trPr>
                <w:trHeight w:val="20" w:hRule="atLeast"/>
                <w:jc w:val="center"/>
              </w:trPr>
              <w:tc>
                <w:tcPr>
                  <w:tcW w:w="0" w:type="auto"/>
                  <w:vMerge w:val="continue"/>
                  <w:tcBorders>
                    <w:top w:val="single" w:color="auto" w:sz="4" w:space="0"/>
                    <w:left w:val="nil"/>
                    <w:bottom w:val="single" w:color="auto" w:sz="4" w:space="0"/>
                    <w:right w:val="single" w:color="auto" w:sz="4" w:space="0"/>
                  </w:tcBorders>
                  <w:vAlign w:val="center"/>
                </w:tcPr>
                <w:p w14:paraId="4F0688FE">
                  <w:pPr>
                    <w:pStyle w:val="149"/>
                    <w:rPr>
                      <w:rFonts w:eastAsia="宋体"/>
                    </w:rPr>
                  </w:pPr>
                </w:p>
              </w:tc>
              <w:tc>
                <w:tcPr>
                  <w:tcW w:w="2902" w:type="pct"/>
                  <w:tcBorders>
                    <w:top w:val="single" w:color="auto" w:sz="4" w:space="0"/>
                    <w:left w:val="single" w:color="auto" w:sz="4" w:space="0"/>
                    <w:bottom w:val="single" w:color="auto" w:sz="4" w:space="0"/>
                    <w:right w:val="single" w:color="auto" w:sz="4" w:space="0"/>
                  </w:tcBorders>
                  <w:vAlign w:val="center"/>
                </w:tcPr>
                <w:p w14:paraId="1D9E4DAD">
                  <w:pPr>
                    <w:pStyle w:val="149"/>
                    <w:jc w:val="both"/>
                    <w:rPr>
                      <w:rFonts w:eastAsia="宋体"/>
                    </w:rPr>
                  </w:pPr>
                  <w:r>
                    <w:rPr>
                      <w:rFonts w:hint="eastAsia" w:eastAsia="宋体"/>
                    </w:rPr>
                    <w:t>根据《博罗县生态保护红线、环境质量底线、资源利用上线和环境准入清单研究报告》，项目所在地土壤环境</w:t>
                  </w:r>
                  <w:r>
                    <w:rPr>
                      <w:rFonts w:eastAsia="宋体"/>
                    </w:rPr>
                    <w:t>管控分区面积</w:t>
                  </w:r>
                  <w:r>
                    <w:rPr>
                      <w:rFonts w:hint="eastAsia" w:eastAsia="宋体"/>
                    </w:rPr>
                    <w:t>如下：</w:t>
                  </w:r>
                </w:p>
                <w:p w14:paraId="574A7934">
                  <w:pPr>
                    <w:pStyle w:val="149"/>
                    <w:rPr>
                      <w:rFonts w:eastAsia="宋体"/>
                    </w:rPr>
                  </w:pPr>
                  <w:r>
                    <w:rPr>
                      <w:rFonts w:eastAsia="宋体"/>
                      <w:bCs/>
                    </w:rPr>
                    <w:t>表1-1.4土壤环境管控区（面积：km</w:t>
                  </w:r>
                  <w:r>
                    <w:rPr>
                      <w:rFonts w:eastAsia="宋体"/>
                      <w:bCs/>
                      <w:vertAlign w:val="superscript"/>
                    </w:rPr>
                    <w:t>2</w:t>
                  </w:r>
                  <w:r>
                    <w:rPr>
                      <w:rFonts w:eastAsia="宋体"/>
                      <w:bCs/>
                    </w:rPr>
                    <w:t>）</w:t>
                  </w:r>
                </w:p>
                <w:tbl>
                  <w:tblPr>
                    <w:tblStyle w:val="31"/>
                    <w:tblW w:w="5000" w:type="pct"/>
                    <w:jc w:val="center"/>
                    <w:tblLayout w:type="autofit"/>
                    <w:tblCellMar>
                      <w:top w:w="0" w:type="dxa"/>
                      <w:left w:w="108" w:type="dxa"/>
                      <w:bottom w:w="0" w:type="dxa"/>
                      <w:right w:w="108" w:type="dxa"/>
                    </w:tblCellMar>
                  </w:tblPr>
                  <w:tblGrid>
                    <w:gridCol w:w="3403"/>
                    <w:gridCol w:w="1319"/>
                  </w:tblGrid>
                  <w:tr w14:paraId="149A6075">
                    <w:tblPrEx>
                      <w:tblCellMar>
                        <w:top w:w="0" w:type="dxa"/>
                        <w:left w:w="108" w:type="dxa"/>
                        <w:bottom w:w="0" w:type="dxa"/>
                        <w:right w:w="108" w:type="dxa"/>
                      </w:tblCellMar>
                    </w:tblPrEx>
                    <w:trPr>
                      <w:trHeight w:val="340" w:hRule="atLeast"/>
                      <w:jc w:val="center"/>
                    </w:trPr>
                    <w:tc>
                      <w:tcPr>
                        <w:tcW w:w="3881" w:type="dxa"/>
                        <w:tcBorders>
                          <w:top w:val="single" w:color="000000" w:sz="4" w:space="0"/>
                          <w:left w:val="single" w:color="000000" w:sz="4" w:space="0"/>
                          <w:bottom w:val="single" w:color="000000" w:sz="4" w:space="0"/>
                          <w:right w:val="single" w:color="000000" w:sz="4" w:space="0"/>
                        </w:tcBorders>
                        <w:vAlign w:val="center"/>
                      </w:tcPr>
                      <w:p w14:paraId="42CC1007">
                        <w:pPr>
                          <w:pStyle w:val="149"/>
                        </w:pPr>
                        <w:r>
                          <w:rPr>
                            <w:kern w:val="0"/>
                          </w:rPr>
                          <w:t>博罗县建设用地土壤污染风险重点管控区面积</w:t>
                        </w:r>
                      </w:p>
                    </w:tc>
                    <w:tc>
                      <w:tcPr>
                        <w:tcW w:w="1127" w:type="dxa"/>
                        <w:tcBorders>
                          <w:top w:val="single" w:color="000000" w:sz="4" w:space="0"/>
                          <w:left w:val="nil"/>
                          <w:bottom w:val="single" w:color="000000" w:sz="4" w:space="0"/>
                          <w:right w:val="single" w:color="000000" w:sz="4" w:space="0"/>
                        </w:tcBorders>
                        <w:vAlign w:val="center"/>
                      </w:tcPr>
                      <w:p w14:paraId="0799FC83">
                        <w:pPr>
                          <w:pStyle w:val="149"/>
                        </w:pPr>
                        <w:r>
                          <w:rPr>
                            <w:kern w:val="0"/>
                          </w:rPr>
                          <w:t>340.8688125</w:t>
                        </w:r>
                      </w:p>
                    </w:tc>
                  </w:tr>
                  <w:tr w14:paraId="5A4A323D">
                    <w:tblPrEx>
                      <w:tblCellMar>
                        <w:top w:w="0" w:type="dxa"/>
                        <w:left w:w="108" w:type="dxa"/>
                        <w:bottom w:w="0" w:type="dxa"/>
                        <w:right w:w="108" w:type="dxa"/>
                      </w:tblCellMar>
                    </w:tblPrEx>
                    <w:trPr>
                      <w:trHeight w:val="340" w:hRule="atLeast"/>
                      <w:jc w:val="center"/>
                    </w:trPr>
                    <w:tc>
                      <w:tcPr>
                        <w:tcW w:w="3881" w:type="dxa"/>
                        <w:tcBorders>
                          <w:top w:val="single" w:color="000000" w:sz="4" w:space="0"/>
                          <w:left w:val="single" w:color="000000" w:sz="4" w:space="0"/>
                          <w:bottom w:val="single" w:color="000000" w:sz="4" w:space="0"/>
                          <w:right w:val="single" w:color="000000" w:sz="4" w:space="0"/>
                        </w:tcBorders>
                        <w:vAlign w:val="center"/>
                      </w:tcPr>
                      <w:p w14:paraId="5DA342E6">
                        <w:pPr>
                          <w:pStyle w:val="149"/>
                        </w:pPr>
                        <w:r>
                          <w:rPr>
                            <w:kern w:val="0"/>
                          </w:rPr>
                          <w:t>石湾镇建设用地一般管控区面积</w:t>
                        </w:r>
                      </w:p>
                    </w:tc>
                    <w:tc>
                      <w:tcPr>
                        <w:tcW w:w="1127" w:type="dxa"/>
                        <w:tcBorders>
                          <w:top w:val="single" w:color="000000" w:sz="4" w:space="0"/>
                          <w:left w:val="nil"/>
                          <w:bottom w:val="single" w:color="000000" w:sz="4" w:space="0"/>
                          <w:right w:val="single" w:color="000000" w:sz="4" w:space="0"/>
                        </w:tcBorders>
                        <w:vAlign w:val="center"/>
                      </w:tcPr>
                      <w:p w14:paraId="1AC28859">
                        <w:pPr>
                          <w:pStyle w:val="149"/>
                        </w:pPr>
                        <w:r>
                          <w:rPr>
                            <w:kern w:val="0"/>
                          </w:rPr>
                          <w:t>26.089</w:t>
                        </w:r>
                      </w:p>
                    </w:tc>
                  </w:tr>
                  <w:tr w14:paraId="18E12E76">
                    <w:tblPrEx>
                      <w:tblCellMar>
                        <w:top w:w="0" w:type="dxa"/>
                        <w:left w:w="108" w:type="dxa"/>
                        <w:bottom w:w="0" w:type="dxa"/>
                        <w:right w:w="108" w:type="dxa"/>
                      </w:tblCellMar>
                    </w:tblPrEx>
                    <w:trPr>
                      <w:trHeight w:val="340" w:hRule="atLeast"/>
                      <w:jc w:val="center"/>
                    </w:trPr>
                    <w:tc>
                      <w:tcPr>
                        <w:tcW w:w="3881" w:type="dxa"/>
                        <w:tcBorders>
                          <w:top w:val="single" w:color="000000" w:sz="4" w:space="0"/>
                          <w:left w:val="single" w:color="000000" w:sz="4" w:space="0"/>
                          <w:bottom w:val="single" w:color="000000" w:sz="4" w:space="0"/>
                          <w:right w:val="single" w:color="000000" w:sz="4" w:space="0"/>
                        </w:tcBorders>
                        <w:vAlign w:val="center"/>
                      </w:tcPr>
                      <w:p w14:paraId="7FD6638B">
                        <w:pPr>
                          <w:pStyle w:val="149"/>
                        </w:pPr>
                        <w:r>
                          <w:rPr>
                            <w:kern w:val="0"/>
                          </w:rPr>
                          <w:t>石湾镇未利用地一般管控区面积</w:t>
                        </w:r>
                      </w:p>
                    </w:tc>
                    <w:tc>
                      <w:tcPr>
                        <w:tcW w:w="1127" w:type="dxa"/>
                        <w:tcBorders>
                          <w:top w:val="single" w:color="000000" w:sz="4" w:space="0"/>
                          <w:left w:val="nil"/>
                          <w:bottom w:val="single" w:color="000000" w:sz="4" w:space="0"/>
                          <w:right w:val="single" w:color="000000" w:sz="4" w:space="0"/>
                        </w:tcBorders>
                        <w:vAlign w:val="center"/>
                      </w:tcPr>
                      <w:p w14:paraId="1178A4C5">
                        <w:pPr>
                          <w:pStyle w:val="149"/>
                        </w:pPr>
                        <w:r>
                          <w:rPr>
                            <w:kern w:val="0"/>
                          </w:rPr>
                          <w:t>6.939</w:t>
                        </w:r>
                      </w:p>
                    </w:tc>
                  </w:tr>
                  <w:tr w14:paraId="0772C02E">
                    <w:tblPrEx>
                      <w:tblCellMar>
                        <w:top w:w="0" w:type="dxa"/>
                        <w:left w:w="108" w:type="dxa"/>
                        <w:bottom w:w="0" w:type="dxa"/>
                        <w:right w:w="108" w:type="dxa"/>
                      </w:tblCellMar>
                    </w:tblPrEx>
                    <w:trPr>
                      <w:trHeight w:val="340" w:hRule="atLeast"/>
                      <w:jc w:val="center"/>
                    </w:trPr>
                    <w:tc>
                      <w:tcPr>
                        <w:tcW w:w="3881" w:type="dxa"/>
                        <w:tcBorders>
                          <w:top w:val="single" w:color="000000" w:sz="4" w:space="0"/>
                          <w:left w:val="single" w:color="000000" w:sz="4" w:space="0"/>
                          <w:bottom w:val="single" w:color="000000" w:sz="4" w:space="0"/>
                          <w:right w:val="single" w:color="000000" w:sz="4" w:space="0"/>
                        </w:tcBorders>
                        <w:vAlign w:val="center"/>
                      </w:tcPr>
                      <w:p w14:paraId="33C2AE7D">
                        <w:pPr>
                          <w:pStyle w:val="149"/>
                        </w:pPr>
                        <w:r>
                          <w:rPr>
                            <w:kern w:val="0"/>
                          </w:rPr>
                          <w:t>博罗县土壤环境一般管控区面积</w:t>
                        </w:r>
                      </w:p>
                    </w:tc>
                    <w:tc>
                      <w:tcPr>
                        <w:tcW w:w="1127" w:type="dxa"/>
                        <w:tcBorders>
                          <w:top w:val="single" w:color="000000" w:sz="4" w:space="0"/>
                          <w:left w:val="nil"/>
                          <w:bottom w:val="single" w:color="000000" w:sz="4" w:space="0"/>
                          <w:right w:val="single" w:color="000000" w:sz="4" w:space="0"/>
                        </w:tcBorders>
                        <w:vAlign w:val="center"/>
                      </w:tcPr>
                      <w:p w14:paraId="496EF80A">
                        <w:pPr>
                          <w:pStyle w:val="149"/>
                        </w:pPr>
                        <w:r>
                          <w:rPr>
                            <w:kern w:val="0"/>
                          </w:rPr>
                          <w:t>373.767</w:t>
                        </w:r>
                      </w:p>
                    </w:tc>
                  </w:tr>
                </w:tbl>
                <w:p w14:paraId="65BEA536">
                  <w:pPr>
                    <w:pStyle w:val="149"/>
                    <w:rPr>
                      <w:rFonts w:eastAsia="宋体"/>
                      <w:bCs/>
                    </w:rPr>
                  </w:pPr>
                </w:p>
              </w:tc>
              <w:tc>
                <w:tcPr>
                  <w:tcW w:w="1536" w:type="pct"/>
                  <w:tcBorders>
                    <w:top w:val="single" w:color="auto" w:sz="4" w:space="0"/>
                    <w:left w:val="single" w:color="auto" w:sz="4" w:space="0"/>
                    <w:bottom w:val="single" w:color="auto" w:sz="4" w:space="0"/>
                    <w:right w:val="single" w:color="auto" w:sz="4" w:space="0"/>
                  </w:tcBorders>
                  <w:vAlign w:val="center"/>
                </w:tcPr>
                <w:p w14:paraId="54C41433">
                  <w:pPr>
                    <w:pStyle w:val="149"/>
                    <w:jc w:val="both"/>
                    <w:rPr>
                      <w:rFonts w:eastAsia="宋体"/>
                    </w:rPr>
                  </w:pPr>
                  <w:r>
                    <w:rPr>
                      <w:rFonts w:eastAsia="宋体"/>
                    </w:rPr>
                    <w:t>根据《博罗县“三线一单”生态环境分区管控图集》，项目位于博罗县土壤环境一般管控区_不含农用地（附图16），不涉及重金属排放，项目一般固体废物收集后暂存于一般固废间，危险废物收集后暂存于危废暂存间，危废暂存间有恰当的防渗处理，避免对地下水、土壤环境造成影响。根据工程分析，项目营运期污染物排放影响较小，不会改变现有环境质量等级，不会影响区域环境质量目标的实现，符合环境质量底线要求。</w:t>
                  </w:r>
                </w:p>
              </w:tc>
              <w:tc>
                <w:tcPr>
                  <w:tcW w:w="0" w:type="auto"/>
                  <w:vMerge w:val="continue"/>
                  <w:tcBorders>
                    <w:top w:val="single" w:color="auto" w:sz="4" w:space="0"/>
                    <w:left w:val="single" w:color="auto" w:sz="4" w:space="0"/>
                    <w:bottom w:val="single" w:color="auto" w:sz="4" w:space="0"/>
                    <w:right w:val="nil"/>
                  </w:tcBorders>
                  <w:vAlign w:val="center"/>
                </w:tcPr>
                <w:p w14:paraId="0D61ADCC">
                  <w:pPr>
                    <w:pStyle w:val="149"/>
                    <w:rPr>
                      <w:rFonts w:eastAsia="宋体"/>
                    </w:rPr>
                  </w:pPr>
                </w:p>
              </w:tc>
            </w:tr>
            <w:tr w14:paraId="42561F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7" w:type="dxa"/>
                  <w:bottom w:w="18" w:type="dxa"/>
                  <w:right w:w="17" w:type="dxa"/>
                </w:tblCellMar>
              </w:tblPrEx>
              <w:trPr>
                <w:trHeight w:val="20" w:hRule="atLeast"/>
                <w:jc w:val="center"/>
              </w:trPr>
              <w:tc>
                <w:tcPr>
                  <w:tcW w:w="281" w:type="pct"/>
                  <w:vMerge w:val="restart"/>
                  <w:tcBorders>
                    <w:top w:val="single" w:color="auto" w:sz="4" w:space="0"/>
                    <w:left w:val="nil"/>
                    <w:bottom w:val="single" w:color="auto" w:sz="4" w:space="0"/>
                    <w:right w:val="single" w:color="auto" w:sz="4" w:space="0"/>
                  </w:tcBorders>
                  <w:vAlign w:val="center"/>
                </w:tcPr>
                <w:p w14:paraId="4B6594CE">
                  <w:pPr>
                    <w:pStyle w:val="149"/>
                    <w:rPr>
                      <w:rFonts w:eastAsia="宋体"/>
                    </w:rPr>
                  </w:pPr>
                  <w:r>
                    <w:rPr>
                      <w:rFonts w:eastAsia="宋体"/>
                    </w:rPr>
                    <w:t>资源利用上线</w:t>
                  </w:r>
                </w:p>
              </w:tc>
              <w:tc>
                <w:tcPr>
                  <w:tcW w:w="2902" w:type="pct"/>
                  <w:tcBorders>
                    <w:top w:val="single" w:color="auto" w:sz="4" w:space="0"/>
                    <w:left w:val="single" w:color="auto" w:sz="4" w:space="0"/>
                    <w:bottom w:val="single" w:color="auto" w:sz="4" w:space="0"/>
                    <w:right w:val="single" w:color="auto" w:sz="4" w:space="0"/>
                  </w:tcBorders>
                  <w:vAlign w:val="center"/>
                </w:tcPr>
                <w:p w14:paraId="6A272CFB">
                  <w:pPr>
                    <w:pStyle w:val="149"/>
                    <w:jc w:val="both"/>
                    <w:rPr>
                      <w:rFonts w:eastAsia="宋体"/>
                      <w:bCs/>
                    </w:rPr>
                  </w:pPr>
                  <w:r>
                    <w:rPr>
                      <w:rFonts w:hint="eastAsia" w:eastAsia="宋体"/>
                      <w:bCs/>
                    </w:rPr>
                    <w:t>根据《博罗县生态保护红线、环境质量底线、资源利用上线和环境准入清单研究报告》，</w:t>
                  </w:r>
                  <w:r>
                    <w:rPr>
                      <w:rFonts w:eastAsia="宋体"/>
                      <w:bCs/>
                    </w:rPr>
                    <w:t>博罗县土地资源优先保护区面积</w:t>
                  </w:r>
                  <w:r>
                    <w:rPr>
                      <w:rFonts w:hint="eastAsia" w:eastAsia="宋体"/>
                      <w:bCs/>
                    </w:rPr>
                    <w:t>如下：</w:t>
                  </w:r>
                </w:p>
                <w:p w14:paraId="7D9899F3">
                  <w:pPr>
                    <w:pStyle w:val="149"/>
                    <w:rPr>
                      <w:rFonts w:eastAsia="宋体"/>
                      <w:bCs/>
                    </w:rPr>
                  </w:pPr>
                  <w:r>
                    <w:rPr>
                      <w:rFonts w:eastAsia="宋体"/>
                      <w:bCs/>
                    </w:rPr>
                    <w:t>表1-1.5博罗县土地资源优先保护区面积统计（面积：km</w:t>
                  </w:r>
                  <w:r>
                    <w:rPr>
                      <w:rFonts w:eastAsia="宋体"/>
                      <w:bCs/>
                      <w:vertAlign w:val="superscript"/>
                    </w:rPr>
                    <w:t>2</w:t>
                  </w:r>
                  <w:r>
                    <w:rPr>
                      <w:rFonts w:eastAsia="宋体"/>
                      <w:bCs/>
                    </w:rPr>
                    <w:t>）</w:t>
                  </w:r>
                </w:p>
                <w:tbl>
                  <w:tblPr>
                    <w:tblStyle w:val="31"/>
                    <w:tblW w:w="4164" w:type="dxa"/>
                    <w:jc w:val="center"/>
                    <w:tblLayout w:type="autofit"/>
                    <w:tblCellMar>
                      <w:top w:w="0" w:type="dxa"/>
                      <w:left w:w="108" w:type="dxa"/>
                      <w:bottom w:w="0" w:type="dxa"/>
                      <w:right w:w="108" w:type="dxa"/>
                    </w:tblCellMar>
                  </w:tblPr>
                  <w:tblGrid>
                    <w:gridCol w:w="2719"/>
                    <w:gridCol w:w="1445"/>
                  </w:tblGrid>
                  <w:tr w14:paraId="6521BCA5">
                    <w:tblPrEx>
                      <w:tblCellMar>
                        <w:top w:w="0" w:type="dxa"/>
                        <w:left w:w="108" w:type="dxa"/>
                        <w:bottom w:w="0" w:type="dxa"/>
                        <w:right w:w="108" w:type="dxa"/>
                      </w:tblCellMar>
                    </w:tblPrEx>
                    <w:trPr>
                      <w:trHeight w:val="340" w:hRule="atLeast"/>
                      <w:jc w:val="center"/>
                    </w:trPr>
                    <w:tc>
                      <w:tcPr>
                        <w:tcW w:w="2719" w:type="dxa"/>
                        <w:tcBorders>
                          <w:top w:val="single" w:color="000000" w:sz="4" w:space="0"/>
                          <w:left w:val="single" w:color="000000" w:sz="4" w:space="0"/>
                          <w:bottom w:val="single" w:color="000000" w:sz="4" w:space="0"/>
                          <w:right w:val="single" w:color="000000" w:sz="4" w:space="0"/>
                        </w:tcBorders>
                        <w:vAlign w:val="center"/>
                      </w:tcPr>
                      <w:p w14:paraId="08E4AB91">
                        <w:pPr>
                          <w:pStyle w:val="149"/>
                        </w:pPr>
                        <w:r>
                          <w:rPr>
                            <w:kern w:val="0"/>
                          </w:rPr>
                          <w:t>土地资源优先保护区面积</w:t>
                        </w:r>
                      </w:p>
                    </w:tc>
                    <w:tc>
                      <w:tcPr>
                        <w:tcW w:w="1445" w:type="dxa"/>
                        <w:tcBorders>
                          <w:top w:val="single" w:color="000000" w:sz="4" w:space="0"/>
                          <w:left w:val="nil"/>
                          <w:bottom w:val="single" w:color="000000" w:sz="4" w:space="0"/>
                          <w:right w:val="single" w:color="000000" w:sz="4" w:space="0"/>
                        </w:tcBorders>
                        <w:vAlign w:val="center"/>
                      </w:tcPr>
                      <w:p w14:paraId="1E70C752">
                        <w:pPr>
                          <w:pStyle w:val="149"/>
                        </w:pPr>
                        <w:r>
                          <w:rPr>
                            <w:kern w:val="0"/>
                          </w:rPr>
                          <w:t>834.505</w:t>
                        </w:r>
                      </w:p>
                    </w:tc>
                  </w:tr>
                  <w:tr w14:paraId="3A9A7566">
                    <w:tblPrEx>
                      <w:tblCellMar>
                        <w:top w:w="0" w:type="dxa"/>
                        <w:left w:w="108" w:type="dxa"/>
                        <w:bottom w:w="0" w:type="dxa"/>
                        <w:right w:w="108" w:type="dxa"/>
                      </w:tblCellMar>
                    </w:tblPrEx>
                    <w:trPr>
                      <w:trHeight w:val="340" w:hRule="atLeast"/>
                      <w:jc w:val="center"/>
                    </w:trPr>
                    <w:tc>
                      <w:tcPr>
                        <w:tcW w:w="2719" w:type="dxa"/>
                        <w:tcBorders>
                          <w:top w:val="single" w:color="000000" w:sz="4" w:space="0"/>
                          <w:left w:val="single" w:color="000000" w:sz="4" w:space="0"/>
                          <w:bottom w:val="single" w:color="000000" w:sz="4" w:space="0"/>
                          <w:right w:val="single" w:color="000000" w:sz="4" w:space="0"/>
                        </w:tcBorders>
                        <w:vAlign w:val="center"/>
                      </w:tcPr>
                      <w:p w14:paraId="71D807EB">
                        <w:pPr>
                          <w:pStyle w:val="149"/>
                        </w:pPr>
                        <w:r>
                          <w:rPr>
                            <w:kern w:val="0"/>
                          </w:rPr>
                          <w:t>土地资源优先保护区比例</w:t>
                        </w:r>
                      </w:p>
                    </w:tc>
                    <w:tc>
                      <w:tcPr>
                        <w:tcW w:w="1445" w:type="dxa"/>
                        <w:tcBorders>
                          <w:top w:val="single" w:color="000000" w:sz="4" w:space="0"/>
                          <w:left w:val="nil"/>
                          <w:bottom w:val="single" w:color="000000" w:sz="4" w:space="0"/>
                          <w:right w:val="single" w:color="000000" w:sz="4" w:space="0"/>
                        </w:tcBorders>
                        <w:vAlign w:val="center"/>
                      </w:tcPr>
                      <w:p w14:paraId="7937B0DA">
                        <w:pPr>
                          <w:pStyle w:val="149"/>
                        </w:pPr>
                        <w:r>
                          <w:rPr>
                            <w:kern w:val="0"/>
                          </w:rPr>
                          <w:t>29.23%</w:t>
                        </w:r>
                      </w:p>
                    </w:tc>
                  </w:tr>
                </w:tbl>
                <w:p w14:paraId="17952891">
                  <w:pPr>
                    <w:pStyle w:val="149"/>
                    <w:rPr>
                      <w:rFonts w:eastAsia="宋体"/>
                    </w:rPr>
                  </w:pPr>
                </w:p>
              </w:tc>
              <w:tc>
                <w:tcPr>
                  <w:tcW w:w="1536" w:type="pct"/>
                  <w:tcBorders>
                    <w:top w:val="single" w:color="auto" w:sz="4" w:space="0"/>
                    <w:left w:val="single" w:color="auto" w:sz="4" w:space="0"/>
                    <w:bottom w:val="single" w:color="auto" w:sz="4" w:space="0"/>
                    <w:right w:val="single" w:color="auto" w:sz="4" w:space="0"/>
                  </w:tcBorders>
                  <w:vAlign w:val="center"/>
                </w:tcPr>
                <w:p w14:paraId="7E051B7F">
                  <w:pPr>
                    <w:pStyle w:val="149"/>
                    <w:jc w:val="both"/>
                    <w:rPr>
                      <w:rFonts w:eastAsia="宋体"/>
                    </w:rPr>
                  </w:pPr>
                  <w:r>
                    <w:rPr>
                      <w:rFonts w:eastAsia="宋体"/>
                      <w:kern w:val="0"/>
                    </w:rPr>
                    <w:t>根据《图集》图16博罗县资源利用上线-土地资源优先保护区划定情况（详见附图17），项目不属于土地资源优先保护区</w:t>
                  </w:r>
                  <w:r>
                    <w:rPr>
                      <w:rFonts w:eastAsia="宋体"/>
                    </w:rPr>
                    <w:t>。</w:t>
                  </w:r>
                </w:p>
              </w:tc>
              <w:tc>
                <w:tcPr>
                  <w:tcW w:w="281" w:type="pct"/>
                  <w:tcBorders>
                    <w:top w:val="single" w:color="auto" w:sz="4" w:space="0"/>
                    <w:left w:val="single" w:color="auto" w:sz="4" w:space="0"/>
                    <w:bottom w:val="single" w:color="auto" w:sz="4" w:space="0"/>
                    <w:right w:val="nil"/>
                  </w:tcBorders>
                  <w:vAlign w:val="center"/>
                </w:tcPr>
                <w:p w14:paraId="14B39272">
                  <w:pPr>
                    <w:pStyle w:val="149"/>
                    <w:rPr>
                      <w:rFonts w:eastAsia="宋体"/>
                    </w:rPr>
                  </w:pPr>
                  <w:r>
                    <w:rPr>
                      <w:rFonts w:eastAsia="宋体"/>
                    </w:rPr>
                    <w:t>符合</w:t>
                  </w:r>
                </w:p>
              </w:tc>
            </w:tr>
            <w:tr w14:paraId="18011B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7" w:type="dxa"/>
                  <w:bottom w:w="18" w:type="dxa"/>
                  <w:right w:w="17" w:type="dxa"/>
                </w:tblCellMar>
              </w:tblPrEx>
              <w:trPr>
                <w:trHeight w:val="20" w:hRule="atLeast"/>
                <w:jc w:val="center"/>
              </w:trPr>
              <w:tc>
                <w:tcPr>
                  <w:tcW w:w="0" w:type="auto"/>
                  <w:vMerge w:val="continue"/>
                  <w:tcBorders>
                    <w:top w:val="single" w:color="auto" w:sz="4" w:space="0"/>
                    <w:left w:val="nil"/>
                    <w:bottom w:val="single" w:color="auto" w:sz="4" w:space="0"/>
                    <w:right w:val="single" w:color="auto" w:sz="4" w:space="0"/>
                  </w:tcBorders>
                  <w:vAlign w:val="center"/>
                </w:tcPr>
                <w:p w14:paraId="09A9B854">
                  <w:pPr>
                    <w:pStyle w:val="149"/>
                    <w:rPr>
                      <w:rFonts w:eastAsia="宋体"/>
                    </w:rPr>
                  </w:pPr>
                </w:p>
              </w:tc>
              <w:tc>
                <w:tcPr>
                  <w:tcW w:w="2902" w:type="pct"/>
                  <w:tcBorders>
                    <w:top w:val="single" w:color="auto" w:sz="4" w:space="0"/>
                    <w:left w:val="single" w:color="auto" w:sz="4" w:space="0"/>
                    <w:bottom w:val="single" w:color="auto" w:sz="4" w:space="0"/>
                    <w:right w:val="single" w:color="auto" w:sz="4" w:space="0"/>
                  </w:tcBorders>
                  <w:vAlign w:val="center"/>
                </w:tcPr>
                <w:p w14:paraId="4855E330">
                  <w:pPr>
                    <w:pStyle w:val="149"/>
                    <w:jc w:val="both"/>
                    <w:rPr>
                      <w:rFonts w:eastAsia="宋体"/>
                      <w:bCs/>
                    </w:rPr>
                  </w:pPr>
                  <w:r>
                    <w:rPr>
                      <w:rFonts w:hint="eastAsia" w:eastAsia="宋体"/>
                      <w:bCs/>
                    </w:rPr>
                    <w:t>根据《博罗县生态保护红线、环境质量底线、资源利用上线和环境准入清单研究报告》，</w:t>
                  </w:r>
                  <w:r>
                    <w:rPr>
                      <w:rFonts w:eastAsia="宋体"/>
                      <w:bCs/>
                    </w:rPr>
                    <w:t>博罗县能源（煤炭）重点管控区面积</w:t>
                  </w:r>
                  <w:r>
                    <w:rPr>
                      <w:rFonts w:hint="eastAsia" w:eastAsia="宋体"/>
                      <w:bCs/>
                    </w:rPr>
                    <w:t>如下：</w:t>
                  </w:r>
                </w:p>
                <w:p w14:paraId="667DEE63">
                  <w:pPr>
                    <w:pStyle w:val="149"/>
                    <w:rPr>
                      <w:rFonts w:eastAsia="宋体"/>
                      <w:bCs/>
                    </w:rPr>
                  </w:pPr>
                  <w:r>
                    <w:rPr>
                      <w:rFonts w:eastAsia="宋体"/>
                      <w:bCs/>
                    </w:rPr>
                    <w:t>表1-1.6博罗县能源（煤炭）重点管控区面积统计（面积：km</w:t>
                  </w:r>
                  <w:r>
                    <w:rPr>
                      <w:rFonts w:eastAsia="宋体"/>
                      <w:bCs/>
                      <w:vertAlign w:val="superscript"/>
                    </w:rPr>
                    <w:t>2</w:t>
                  </w:r>
                  <w:r>
                    <w:rPr>
                      <w:rFonts w:eastAsia="宋体"/>
                      <w:bCs/>
                    </w:rPr>
                    <w:t>）</w:t>
                  </w:r>
                </w:p>
                <w:tbl>
                  <w:tblPr>
                    <w:tblStyle w:val="31"/>
                    <w:tblW w:w="4164" w:type="dxa"/>
                    <w:jc w:val="center"/>
                    <w:tblLayout w:type="autofit"/>
                    <w:tblCellMar>
                      <w:top w:w="0" w:type="dxa"/>
                      <w:left w:w="108" w:type="dxa"/>
                      <w:bottom w:w="0" w:type="dxa"/>
                      <w:right w:w="108" w:type="dxa"/>
                    </w:tblCellMar>
                  </w:tblPr>
                  <w:tblGrid>
                    <w:gridCol w:w="2719"/>
                    <w:gridCol w:w="1445"/>
                  </w:tblGrid>
                  <w:tr w14:paraId="7D8523AC">
                    <w:trPr>
                      <w:trHeight w:val="340" w:hRule="atLeast"/>
                      <w:jc w:val="center"/>
                    </w:trPr>
                    <w:tc>
                      <w:tcPr>
                        <w:tcW w:w="2719" w:type="dxa"/>
                        <w:tcBorders>
                          <w:top w:val="single" w:color="000000" w:sz="4" w:space="0"/>
                          <w:left w:val="single" w:color="000000" w:sz="4" w:space="0"/>
                          <w:bottom w:val="single" w:color="000000" w:sz="4" w:space="0"/>
                          <w:right w:val="single" w:color="000000" w:sz="4" w:space="0"/>
                        </w:tcBorders>
                        <w:vAlign w:val="center"/>
                      </w:tcPr>
                      <w:p w14:paraId="086AAA07">
                        <w:pPr>
                          <w:pStyle w:val="149"/>
                        </w:pPr>
                        <w:r>
                          <w:t>高污染燃料禁燃区面积</w:t>
                        </w:r>
                      </w:p>
                    </w:tc>
                    <w:tc>
                      <w:tcPr>
                        <w:tcW w:w="1445" w:type="dxa"/>
                        <w:tcBorders>
                          <w:top w:val="single" w:color="000000" w:sz="4" w:space="0"/>
                          <w:left w:val="nil"/>
                          <w:bottom w:val="single" w:color="000000" w:sz="4" w:space="0"/>
                          <w:right w:val="single" w:color="000000" w:sz="4" w:space="0"/>
                        </w:tcBorders>
                        <w:vAlign w:val="center"/>
                      </w:tcPr>
                      <w:p w14:paraId="3E89772D">
                        <w:pPr>
                          <w:pStyle w:val="149"/>
                        </w:pPr>
                        <w:r>
                          <w:t>394.927</w:t>
                        </w:r>
                      </w:p>
                    </w:tc>
                  </w:tr>
                  <w:tr w14:paraId="026A0564">
                    <w:tblPrEx>
                      <w:tblCellMar>
                        <w:top w:w="0" w:type="dxa"/>
                        <w:left w:w="108" w:type="dxa"/>
                        <w:bottom w:w="0" w:type="dxa"/>
                        <w:right w:w="108" w:type="dxa"/>
                      </w:tblCellMar>
                    </w:tblPrEx>
                    <w:trPr>
                      <w:trHeight w:val="340" w:hRule="atLeast"/>
                      <w:jc w:val="center"/>
                    </w:trPr>
                    <w:tc>
                      <w:tcPr>
                        <w:tcW w:w="2719" w:type="dxa"/>
                        <w:tcBorders>
                          <w:top w:val="single" w:color="000000" w:sz="4" w:space="0"/>
                          <w:left w:val="single" w:color="000000" w:sz="4" w:space="0"/>
                          <w:bottom w:val="single" w:color="000000" w:sz="4" w:space="0"/>
                          <w:right w:val="single" w:color="000000" w:sz="4" w:space="0"/>
                        </w:tcBorders>
                        <w:vAlign w:val="center"/>
                      </w:tcPr>
                      <w:p w14:paraId="3167B41A">
                        <w:pPr>
                          <w:pStyle w:val="149"/>
                        </w:pPr>
                        <w:r>
                          <w:t>高污染燃料禁燃区比例</w:t>
                        </w:r>
                      </w:p>
                    </w:tc>
                    <w:tc>
                      <w:tcPr>
                        <w:tcW w:w="1445" w:type="dxa"/>
                        <w:tcBorders>
                          <w:top w:val="single" w:color="000000" w:sz="4" w:space="0"/>
                          <w:left w:val="nil"/>
                          <w:bottom w:val="single" w:color="000000" w:sz="4" w:space="0"/>
                          <w:right w:val="single" w:color="000000" w:sz="4" w:space="0"/>
                        </w:tcBorders>
                        <w:vAlign w:val="center"/>
                      </w:tcPr>
                      <w:p w14:paraId="0D4BB746">
                        <w:pPr>
                          <w:pStyle w:val="149"/>
                        </w:pPr>
                        <w:r>
                          <w:t>13.83%</w:t>
                        </w:r>
                      </w:p>
                    </w:tc>
                  </w:tr>
                </w:tbl>
                <w:p w14:paraId="2511A9AD">
                  <w:pPr>
                    <w:pStyle w:val="149"/>
                    <w:rPr>
                      <w:rFonts w:eastAsia="宋体"/>
                      <w:bCs/>
                    </w:rPr>
                  </w:pPr>
                </w:p>
              </w:tc>
              <w:tc>
                <w:tcPr>
                  <w:tcW w:w="1536" w:type="pct"/>
                  <w:tcBorders>
                    <w:top w:val="single" w:color="auto" w:sz="4" w:space="0"/>
                    <w:left w:val="single" w:color="auto" w:sz="4" w:space="0"/>
                    <w:bottom w:val="single" w:color="auto" w:sz="4" w:space="0"/>
                    <w:right w:val="single" w:color="auto" w:sz="4" w:space="0"/>
                  </w:tcBorders>
                  <w:vAlign w:val="center"/>
                </w:tcPr>
                <w:p w14:paraId="10BCEDA9">
                  <w:pPr>
                    <w:pStyle w:val="149"/>
                    <w:jc w:val="both"/>
                    <w:rPr>
                      <w:rFonts w:eastAsia="宋体"/>
                    </w:rPr>
                  </w:pPr>
                  <w:r>
                    <w:rPr>
                      <w:rFonts w:eastAsia="宋体"/>
                      <w:kern w:val="0"/>
                    </w:rPr>
                    <w:t>根据《图集》图18博罗县资源利用上线-高污染燃料禁燃区划定情况（详见附图19），本项目不属于高污染燃料禁燃区。</w:t>
                  </w:r>
                </w:p>
              </w:tc>
              <w:tc>
                <w:tcPr>
                  <w:tcW w:w="281" w:type="pct"/>
                  <w:tcBorders>
                    <w:top w:val="single" w:color="auto" w:sz="4" w:space="0"/>
                    <w:left w:val="single" w:color="auto" w:sz="4" w:space="0"/>
                    <w:bottom w:val="single" w:color="auto" w:sz="4" w:space="0"/>
                    <w:right w:val="nil"/>
                  </w:tcBorders>
                  <w:vAlign w:val="center"/>
                </w:tcPr>
                <w:p w14:paraId="753F7FBD">
                  <w:pPr>
                    <w:pStyle w:val="149"/>
                    <w:rPr>
                      <w:rFonts w:eastAsia="宋体"/>
                    </w:rPr>
                  </w:pPr>
                  <w:r>
                    <w:rPr>
                      <w:rFonts w:eastAsia="宋体"/>
                    </w:rPr>
                    <w:t>符合</w:t>
                  </w:r>
                </w:p>
              </w:tc>
            </w:tr>
            <w:tr w14:paraId="3514B8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7" w:type="dxa"/>
                  <w:bottom w:w="18" w:type="dxa"/>
                  <w:right w:w="17" w:type="dxa"/>
                </w:tblCellMar>
              </w:tblPrEx>
              <w:trPr>
                <w:trHeight w:val="1362" w:hRule="atLeast"/>
                <w:jc w:val="center"/>
              </w:trPr>
              <w:tc>
                <w:tcPr>
                  <w:tcW w:w="0" w:type="auto"/>
                  <w:vMerge w:val="continue"/>
                  <w:tcBorders>
                    <w:top w:val="single" w:color="auto" w:sz="4" w:space="0"/>
                    <w:left w:val="nil"/>
                    <w:bottom w:val="single" w:color="auto" w:sz="4" w:space="0"/>
                    <w:right w:val="single" w:color="auto" w:sz="4" w:space="0"/>
                  </w:tcBorders>
                  <w:vAlign w:val="center"/>
                </w:tcPr>
                <w:p w14:paraId="276098A1">
                  <w:pPr>
                    <w:pStyle w:val="149"/>
                    <w:rPr>
                      <w:rFonts w:eastAsia="宋体"/>
                    </w:rPr>
                  </w:pPr>
                </w:p>
              </w:tc>
              <w:tc>
                <w:tcPr>
                  <w:tcW w:w="2902" w:type="pct"/>
                  <w:tcBorders>
                    <w:top w:val="single" w:color="auto" w:sz="4" w:space="0"/>
                    <w:left w:val="single" w:color="auto" w:sz="4" w:space="0"/>
                    <w:right w:val="single" w:color="auto" w:sz="4" w:space="0"/>
                  </w:tcBorders>
                  <w:vAlign w:val="center"/>
                </w:tcPr>
                <w:p w14:paraId="69656EA0">
                  <w:pPr>
                    <w:pStyle w:val="149"/>
                    <w:jc w:val="both"/>
                    <w:rPr>
                      <w:rFonts w:eastAsia="宋体"/>
                      <w:bCs/>
                    </w:rPr>
                  </w:pPr>
                  <w:r>
                    <w:rPr>
                      <w:rFonts w:hint="eastAsia" w:eastAsia="宋体"/>
                      <w:bCs/>
                    </w:rPr>
                    <w:t>根据《博罗县生态保护红线、环境质量底线、资源利用上线和环境准入清单研究报告》，</w:t>
                  </w:r>
                  <w:r>
                    <w:rPr>
                      <w:rFonts w:eastAsia="宋体"/>
                      <w:bCs/>
                    </w:rPr>
                    <w:t>博罗县矿产资源开采敏感区面积</w:t>
                  </w:r>
                  <w:r>
                    <w:rPr>
                      <w:rFonts w:hint="eastAsia" w:eastAsia="宋体"/>
                      <w:bCs/>
                    </w:rPr>
                    <w:t>如下：</w:t>
                  </w:r>
                </w:p>
                <w:p w14:paraId="5F09AC7E">
                  <w:pPr>
                    <w:pStyle w:val="149"/>
                    <w:rPr>
                      <w:rFonts w:eastAsia="宋体"/>
                      <w:bCs/>
                    </w:rPr>
                  </w:pPr>
                  <w:r>
                    <w:rPr>
                      <w:rFonts w:eastAsia="宋体"/>
                      <w:bCs/>
                    </w:rPr>
                    <w:t>表1-1.7博罗县矿产资源开采敏感区面积统计（面积：km</w:t>
                  </w:r>
                  <w:r>
                    <w:rPr>
                      <w:rFonts w:eastAsia="宋体"/>
                      <w:bCs/>
                      <w:vertAlign w:val="superscript"/>
                    </w:rPr>
                    <w:t>2</w:t>
                  </w:r>
                  <w:r>
                    <w:rPr>
                      <w:rFonts w:eastAsia="宋体"/>
                      <w:bCs/>
                    </w:rPr>
                    <w:t>）</w:t>
                  </w:r>
                </w:p>
                <w:tbl>
                  <w:tblPr>
                    <w:tblStyle w:val="31"/>
                    <w:tblW w:w="4164" w:type="dxa"/>
                    <w:jc w:val="center"/>
                    <w:tblLayout w:type="autofit"/>
                    <w:tblCellMar>
                      <w:top w:w="0" w:type="dxa"/>
                      <w:left w:w="108" w:type="dxa"/>
                      <w:bottom w:w="0" w:type="dxa"/>
                      <w:right w:w="108" w:type="dxa"/>
                    </w:tblCellMar>
                  </w:tblPr>
                  <w:tblGrid>
                    <w:gridCol w:w="2719"/>
                    <w:gridCol w:w="1445"/>
                  </w:tblGrid>
                  <w:tr w14:paraId="41D0C04A">
                    <w:tblPrEx>
                      <w:tblCellMar>
                        <w:top w:w="0" w:type="dxa"/>
                        <w:left w:w="108" w:type="dxa"/>
                        <w:bottom w:w="0" w:type="dxa"/>
                        <w:right w:w="108" w:type="dxa"/>
                      </w:tblCellMar>
                    </w:tblPrEx>
                    <w:trPr>
                      <w:trHeight w:val="340" w:hRule="atLeast"/>
                      <w:jc w:val="center"/>
                    </w:trPr>
                    <w:tc>
                      <w:tcPr>
                        <w:tcW w:w="2719" w:type="dxa"/>
                        <w:tcBorders>
                          <w:top w:val="single" w:color="000000" w:sz="4" w:space="0"/>
                          <w:left w:val="single" w:color="000000" w:sz="4" w:space="0"/>
                          <w:bottom w:val="single" w:color="000000" w:sz="4" w:space="0"/>
                          <w:right w:val="single" w:color="000000" w:sz="4" w:space="0"/>
                        </w:tcBorders>
                        <w:vAlign w:val="center"/>
                      </w:tcPr>
                      <w:p w14:paraId="1DEB08A1">
                        <w:pPr>
                          <w:pStyle w:val="149"/>
                        </w:pPr>
                        <w:r>
                          <w:t>矿产资源开采敏感区面积</w:t>
                        </w:r>
                      </w:p>
                    </w:tc>
                    <w:tc>
                      <w:tcPr>
                        <w:tcW w:w="1445" w:type="dxa"/>
                        <w:tcBorders>
                          <w:top w:val="single" w:color="000000" w:sz="4" w:space="0"/>
                          <w:left w:val="nil"/>
                          <w:bottom w:val="single" w:color="000000" w:sz="4" w:space="0"/>
                          <w:right w:val="single" w:color="000000" w:sz="4" w:space="0"/>
                        </w:tcBorders>
                        <w:vAlign w:val="center"/>
                      </w:tcPr>
                      <w:p w14:paraId="2B1D1614">
                        <w:pPr>
                          <w:pStyle w:val="149"/>
                        </w:pPr>
                        <w:r>
                          <w:t>633.776</w:t>
                        </w:r>
                      </w:p>
                    </w:tc>
                  </w:tr>
                  <w:tr w14:paraId="242D72F4">
                    <w:tblPrEx>
                      <w:tblCellMar>
                        <w:top w:w="0" w:type="dxa"/>
                        <w:left w:w="108" w:type="dxa"/>
                        <w:bottom w:w="0" w:type="dxa"/>
                        <w:right w:w="108" w:type="dxa"/>
                      </w:tblCellMar>
                    </w:tblPrEx>
                    <w:trPr>
                      <w:trHeight w:val="340" w:hRule="atLeast"/>
                      <w:jc w:val="center"/>
                    </w:trPr>
                    <w:tc>
                      <w:tcPr>
                        <w:tcW w:w="2719" w:type="dxa"/>
                        <w:tcBorders>
                          <w:top w:val="single" w:color="000000" w:sz="4" w:space="0"/>
                          <w:left w:val="single" w:color="000000" w:sz="4" w:space="0"/>
                          <w:bottom w:val="single" w:color="000000" w:sz="4" w:space="0"/>
                          <w:right w:val="single" w:color="000000" w:sz="4" w:space="0"/>
                        </w:tcBorders>
                        <w:vAlign w:val="center"/>
                      </w:tcPr>
                      <w:p w14:paraId="5D4942F0">
                        <w:pPr>
                          <w:pStyle w:val="149"/>
                        </w:pPr>
                        <w:r>
                          <w:t>矿产资源开采敏感区比例</w:t>
                        </w:r>
                      </w:p>
                    </w:tc>
                    <w:tc>
                      <w:tcPr>
                        <w:tcW w:w="1445" w:type="dxa"/>
                        <w:tcBorders>
                          <w:top w:val="single" w:color="000000" w:sz="4" w:space="0"/>
                          <w:left w:val="nil"/>
                          <w:bottom w:val="single" w:color="000000" w:sz="4" w:space="0"/>
                          <w:right w:val="single" w:color="000000" w:sz="4" w:space="0"/>
                        </w:tcBorders>
                        <w:vAlign w:val="center"/>
                      </w:tcPr>
                      <w:p w14:paraId="12CA9056">
                        <w:pPr>
                          <w:pStyle w:val="149"/>
                        </w:pPr>
                        <w:r>
                          <w:t>22.20%</w:t>
                        </w:r>
                      </w:p>
                    </w:tc>
                  </w:tr>
                </w:tbl>
                <w:p w14:paraId="51901353">
                  <w:pPr>
                    <w:pStyle w:val="149"/>
                    <w:rPr>
                      <w:rFonts w:eastAsia="宋体"/>
                      <w:bCs/>
                    </w:rPr>
                  </w:pPr>
                </w:p>
              </w:tc>
              <w:tc>
                <w:tcPr>
                  <w:tcW w:w="1536" w:type="pct"/>
                  <w:tcBorders>
                    <w:top w:val="single" w:color="auto" w:sz="4" w:space="0"/>
                    <w:left w:val="single" w:color="auto" w:sz="4" w:space="0"/>
                    <w:right w:val="single" w:color="auto" w:sz="4" w:space="0"/>
                  </w:tcBorders>
                  <w:vAlign w:val="center"/>
                </w:tcPr>
                <w:p w14:paraId="6C9E1364">
                  <w:pPr>
                    <w:pStyle w:val="149"/>
                    <w:jc w:val="both"/>
                    <w:rPr>
                      <w:rFonts w:eastAsia="宋体"/>
                    </w:rPr>
                  </w:pPr>
                  <w:r>
                    <w:rPr>
                      <w:rFonts w:eastAsia="宋体"/>
                      <w:kern w:val="0"/>
                    </w:rPr>
                    <w:t>根据《图集》图17博罗县资源利用上线-矿产资源开采敏感区划定情况详见附图18），本项目不属于矿产资源开采敏感区。</w:t>
                  </w:r>
                </w:p>
              </w:tc>
              <w:tc>
                <w:tcPr>
                  <w:tcW w:w="281" w:type="pct"/>
                  <w:tcBorders>
                    <w:top w:val="single" w:color="auto" w:sz="4" w:space="0"/>
                    <w:left w:val="single" w:color="auto" w:sz="4" w:space="0"/>
                    <w:right w:val="nil"/>
                  </w:tcBorders>
                  <w:vAlign w:val="center"/>
                </w:tcPr>
                <w:p w14:paraId="37573869">
                  <w:pPr>
                    <w:pStyle w:val="149"/>
                    <w:rPr>
                      <w:rFonts w:eastAsia="宋体"/>
                    </w:rPr>
                  </w:pPr>
                  <w:r>
                    <w:rPr>
                      <w:rFonts w:eastAsia="宋体"/>
                    </w:rPr>
                    <w:t>符合</w:t>
                  </w:r>
                </w:p>
              </w:tc>
            </w:tr>
          </w:tbl>
          <w:p w14:paraId="4569D27A">
            <w:pPr>
              <w:snapToGrid w:val="0"/>
              <w:spacing w:line="360" w:lineRule="auto"/>
              <w:ind w:firstLine="480" w:firstLineChars="200"/>
              <w:textAlignment w:val="baseline"/>
              <w:rPr>
                <w:sz w:val="24"/>
              </w:rPr>
            </w:pPr>
            <w:r>
              <w:rPr>
                <w:rFonts w:hint="eastAsia"/>
                <w:sz w:val="24"/>
              </w:rPr>
              <w:t>根据《博罗县“三线一单”生态环境分区管控研究报告》、《博罗县</w:t>
            </w:r>
            <w:r>
              <w:rPr>
                <w:sz w:val="24"/>
              </w:rPr>
              <w:t>“</w:t>
            </w:r>
            <w:r>
              <w:rPr>
                <w:rFonts w:hint="eastAsia"/>
                <w:sz w:val="24"/>
              </w:rPr>
              <w:t>三线一单</w:t>
            </w:r>
            <w:r>
              <w:rPr>
                <w:sz w:val="24"/>
              </w:rPr>
              <w:t>”</w:t>
            </w:r>
            <w:r>
              <w:rPr>
                <w:rFonts w:hint="eastAsia"/>
                <w:sz w:val="24"/>
              </w:rPr>
              <w:t>生态环境分区管控图集》（见附图</w:t>
            </w:r>
            <w:r>
              <w:rPr>
                <w:sz w:val="24"/>
              </w:rPr>
              <w:t>12</w:t>
            </w:r>
            <w:r>
              <w:rPr>
                <w:rFonts w:hint="eastAsia"/>
                <w:sz w:val="24"/>
              </w:rPr>
              <w:t>）管控分区划定情况，项目选址属于博罗产业转移工业园（博西片区）重点管控单元（</w:t>
            </w:r>
            <w:r>
              <w:rPr>
                <w:sz w:val="24"/>
              </w:rPr>
              <w:t>ZH44132220005</w:t>
            </w:r>
            <w:r>
              <w:rPr>
                <w:rFonts w:hint="eastAsia"/>
                <w:sz w:val="24"/>
              </w:rPr>
              <w:t>），具体相符性分析见表</w:t>
            </w:r>
            <w:r>
              <w:rPr>
                <w:sz w:val="24"/>
              </w:rPr>
              <w:t>1-4</w:t>
            </w:r>
            <w:r>
              <w:rPr>
                <w:rFonts w:hint="eastAsia"/>
                <w:sz w:val="24"/>
              </w:rPr>
              <w:t>。</w:t>
            </w:r>
          </w:p>
          <w:p w14:paraId="121E1E0A">
            <w:pPr>
              <w:pStyle w:val="147"/>
              <w:ind w:firstLine="482"/>
              <w:jc w:val="center"/>
              <w:rPr>
                <w:rFonts w:cs="Times New Roman"/>
                <w:b/>
                <w:bCs/>
                <w:sz w:val="24"/>
                <w:szCs w:val="24"/>
                <w:lang w:eastAsia="zh-CN"/>
              </w:rPr>
            </w:pPr>
            <w:r>
              <w:rPr>
                <w:rFonts w:hint="eastAsia" w:cs="Times New Roman"/>
                <w:b/>
                <w:bCs/>
                <w:sz w:val="24"/>
                <w:szCs w:val="24"/>
                <w:lang w:eastAsia="zh-CN"/>
              </w:rPr>
              <w:t>表</w:t>
            </w:r>
            <w:r>
              <w:rPr>
                <w:rFonts w:cs="Times New Roman"/>
                <w:b/>
                <w:bCs/>
                <w:sz w:val="24"/>
                <w:szCs w:val="24"/>
                <w:lang w:eastAsia="zh-CN"/>
              </w:rPr>
              <w:t>1-4</w:t>
            </w:r>
            <w:r>
              <w:rPr>
                <w:rFonts w:hint="eastAsia" w:cs="Times New Roman"/>
                <w:b/>
                <w:bCs/>
                <w:sz w:val="24"/>
                <w:szCs w:val="24"/>
                <w:lang w:eastAsia="zh-CN"/>
              </w:rPr>
              <w:t>环境管控单元相符性分析</w:t>
            </w:r>
          </w:p>
          <w:tbl>
            <w:tblPr>
              <w:tblStyle w:val="15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729"/>
              <w:gridCol w:w="3655"/>
              <w:gridCol w:w="3050"/>
              <w:gridCol w:w="761"/>
            </w:tblGrid>
            <w:tr w14:paraId="2DD84B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2675" w:type="pct"/>
                  <w:gridSpan w:val="2"/>
                  <w:vAlign w:val="center"/>
                </w:tcPr>
                <w:p w14:paraId="25D349DA">
                  <w:pPr>
                    <w:pStyle w:val="149"/>
                    <w:rPr>
                      <w:rFonts w:hint="default" w:ascii="Times New Roman" w:hAnsi="Times New Roman" w:eastAsia="宋体" w:cs="Times New Roman"/>
                      <w:b/>
                      <w:i w:val="0"/>
                    </w:rPr>
                  </w:pPr>
                  <w:r>
                    <w:rPr>
                      <w:rFonts w:hint="eastAsia" w:ascii="Times New Roman" w:hAnsi="Times New Roman" w:eastAsia="宋体" w:cs="Times New Roman"/>
                      <w:b/>
                      <w:i w:val="0"/>
                    </w:rPr>
                    <w:t>管控要求</w:t>
                  </w:r>
                </w:p>
              </w:tc>
              <w:tc>
                <w:tcPr>
                  <w:tcW w:w="1861" w:type="pct"/>
                  <w:vAlign w:val="center"/>
                </w:tcPr>
                <w:p w14:paraId="19827B97">
                  <w:pPr>
                    <w:pStyle w:val="149"/>
                    <w:rPr>
                      <w:rFonts w:hint="default" w:ascii="Times New Roman" w:hAnsi="Times New Roman" w:eastAsia="宋体" w:cs="Times New Roman"/>
                      <w:b/>
                      <w:i w:val="0"/>
                    </w:rPr>
                  </w:pPr>
                  <w:r>
                    <w:rPr>
                      <w:rFonts w:hint="eastAsia" w:ascii="Times New Roman" w:hAnsi="Times New Roman" w:eastAsia="宋体" w:cs="Times New Roman"/>
                      <w:b/>
                      <w:i w:val="0"/>
                    </w:rPr>
                    <w:t>本项目情况</w:t>
                  </w:r>
                </w:p>
              </w:tc>
              <w:tc>
                <w:tcPr>
                  <w:tcW w:w="464" w:type="pct"/>
                  <w:vAlign w:val="center"/>
                </w:tcPr>
                <w:p w14:paraId="7C3DDB36">
                  <w:pPr>
                    <w:pStyle w:val="149"/>
                    <w:jc w:val="both"/>
                    <w:rPr>
                      <w:rFonts w:hint="default" w:ascii="Times New Roman" w:hAnsi="Times New Roman" w:eastAsia="宋体" w:cs="Times New Roman"/>
                      <w:b/>
                      <w:i w:val="0"/>
                    </w:rPr>
                  </w:pPr>
                  <w:r>
                    <w:rPr>
                      <w:rFonts w:hint="eastAsia" w:ascii="Times New Roman" w:hAnsi="Times New Roman" w:eastAsia="宋体" w:cs="Times New Roman"/>
                      <w:b/>
                      <w:i w:val="0"/>
                    </w:rPr>
                    <w:t>相符性分析</w:t>
                  </w:r>
                </w:p>
              </w:tc>
            </w:tr>
            <w:tr w14:paraId="66A4A9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445" w:type="pct"/>
                  <w:vMerge w:val="restart"/>
                  <w:vAlign w:val="center"/>
                </w:tcPr>
                <w:p w14:paraId="229CA3BB">
                  <w:pPr>
                    <w:pStyle w:val="149"/>
                    <w:rPr>
                      <w:rFonts w:eastAsia="Times New Roman"/>
                    </w:rPr>
                  </w:pPr>
                  <w:r>
                    <w:rPr>
                      <w:rFonts w:hint="eastAsia" w:ascii="宋体" w:hAnsi="宋体" w:eastAsia="宋体" w:cs="宋体"/>
                    </w:rPr>
                    <w:t>区域布局管控要求</w:t>
                  </w:r>
                </w:p>
              </w:tc>
              <w:tc>
                <w:tcPr>
                  <w:tcW w:w="2230" w:type="pct"/>
                  <w:vAlign w:val="center"/>
                </w:tcPr>
                <w:p w14:paraId="46A5A6B6">
                  <w:pPr>
                    <w:pStyle w:val="149"/>
                    <w:jc w:val="both"/>
                    <w:rPr>
                      <w:rFonts w:eastAsia="Times New Roman"/>
                    </w:rPr>
                  </w:pPr>
                  <w:r>
                    <w:rPr>
                      <w:rFonts w:eastAsia="Times New Roman"/>
                    </w:rPr>
                    <w:t>1-1</w:t>
                  </w:r>
                  <w:r>
                    <w:rPr>
                      <w:rFonts w:hint="eastAsia" w:ascii="宋体" w:hAnsi="宋体" w:eastAsia="宋体" w:cs="宋体"/>
                    </w:rPr>
                    <w:t>【产业</w:t>
                  </w:r>
                  <w:r>
                    <w:rPr>
                      <w:rFonts w:eastAsia="Times New Roman"/>
                    </w:rPr>
                    <w:t>/</w:t>
                  </w:r>
                  <w:r>
                    <w:rPr>
                      <w:rFonts w:hint="eastAsia" w:ascii="宋体" w:hAnsi="宋体" w:eastAsia="宋体" w:cs="宋体"/>
                    </w:rPr>
                    <w:t>鼓励引导类】园区主导产业为电子信息、智能家电、先进材料等产业。</w:t>
                  </w:r>
                </w:p>
              </w:tc>
              <w:tc>
                <w:tcPr>
                  <w:tcW w:w="1861" w:type="pct"/>
                  <w:vAlign w:val="center"/>
                </w:tcPr>
                <w:p w14:paraId="538CD8B4">
                  <w:pPr>
                    <w:pStyle w:val="149"/>
                    <w:jc w:val="both"/>
                    <w:rPr>
                      <w:rFonts w:eastAsia="Times New Roman"/>
                    </w:rPr>
                  </w:pPr>
                  <w:r>
                    <w:rPr>
                      <w:rFonts w:eastAsia="Times New Roman"/>
                    </w:rPr>
                    <w:t>1-1</w:t>
                  </w:r>
                  <w:r>
                    <w:rPr>
                      <w:rFonts w:hint="eastAsia" w:ascii="宋体" w:hAnsi="宋体" w:eastAsia="宋体" w:cs="宋体"/>
                    </w:rPr>
                    <w:t>项目为储能电站，符合园区产业定位和国家、省产业政策。</w:t>
                  </w:r>
                </w:p>
              </w:tc>
              <w:tc>
                <w:tcPr>
                  <w:tcW w:w="464" w:type="pct"/>
                  <w:vAlign w:val="center"/>
                </w:tcPr>
                <w:p w14:paraId="5975C100">
                  <w:pPr>
                    <w:pStyle w:val="149"/>
                    <w:rPr>
                      <w:rFonts w:eastAsia="Times New Roman"/>
                    </w:rPr>
                  </w:pPr>
                  <w:r>
                    <w:rPr>
                      <w:rFonts w:hint="eastAsia" w:ascii="宋体" w:hAnsi="宋体" w:eastAsia="宋体" w:cs="宋体"/>
                    </w:rPr>
                    <w:t>符合</w:t>
                  </w:r>
                </w:p>
              </w:tc>
            </w:tr>
            <w:tr w14:paraId="43B899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45" w:type="pct"/>
                  <w:vMerge w:val="continue"/>
                  <w:vAlign w:val="center"/>
                </w:tcPr>
                <w:p w14:paraId="6CB4AE68">
                  <w:pPr>
                    <w:pStyle w:val="149"/>
                    <w:rPr>
                      <w:rFonts w:eastAsia="Times New Roman"/>
                    </w:rPr>
                  </w:pPr>
                </w:p>
              </w:tc>
              <w:tc>
                <w:tcPr>
                  <w:tcW w:w="2230" w:type="pct"/>
                  <w:vAlign w:val="center"/>
                </w:tcPr>
                <w:p w14:paraId="028ED8EF">
                  <w:pPr>
                    <w:pStyle w:val="149"/>
                    <w:jc w:val="both"/>
                    <w:rPr>
                      <w:rFonts w:eastAsia="Times New Roman"/>
                    </w:rPr>
                  </w:pPr>
                  <w:r>
                    <w:rPr>
                      <w:rFonts w:eastAsia="Times New Roman"/>
                    </w:rPr>
                    <w:t>1-2</w:t>
                  </w:r>
                  <w:r>
                    <w:rPr>
                      <w:rFonts w:hint="eastAsia" w:ascii="宋体" w:hAnsi="宋体" w:eastAsia="宋体" w:cs="宋体"/>
                    </w:rPr>
                    <w:t>【产业</w:t>
                  </w:r>
                  <w:r>
                    <w:rPr>
                      <w:rFonts w:eastAsia="Times New Roman"/>
                    </w:rPr>
                    <w:t>/</w:t>
                  </w:r>
                  <w:r>
                    <w:rPr>
                      <w:rFonts w:hint="eastAsia" w:ascii="宋体" w:hAnsi="宋体" w:eastAsia="宋体" w:cs="宋体"/>
                    </w:rPr>
                    <w:t>限制类】入园项目应符合现行有效的《产业结构调整指导目录》、《市场准入负面清单》等相关产业政策的要求以及园区产业定位。</w:t>
                  </w:r>
                </w:p>
              </w:tc>
              <w:tc>
                <w:tcPr>
                  <w:tcW w:w="1861" w:type="pct"/>
                  <w:vAlign w:val="center"/>
                </w:tcPr>
                <w:p w14:paraId="3400A50C">
                  <w:pPr>
                    <w:pStyle w:val="149"/>
                    <w:jc w:val="both"/>
                    <w:rPr>
                      <w:rFonts w:eastAsia="Times New Roman"/>
                    </w:rPr>
                  </w:pPr>
                  <w:r>
                    <w:rPr>
                      <w:rFonts w:eastAsia="Times New Roman"/>
                    </w:rPr>
                    <w:t>1-2</w:t>
                  </w:r>
                  <w:r>
                    <w:rPr>
                      <w:rFonts w:hint="eastAsia" w:ascii="宋体" w:hAnsi="宋体" w:eastAsia="宋体" w:cs="宋体"/>
                    </w:rPr>
                    <w:t>项目为储能电站，符合园区产业定位和国家、省产业政策，不在上述禁止建设项目范围内。</w:t>
                  </w:r>
                </w:p>
              </w:tc>
              <w:tc>
                <w:tcPr>
                  <w:tcW w:w="464" w:type="pct"/>
                  <w:vAlign w:val="center"/>
                </w:tcPr>
                <w:p w14:paraId="48B5E26A">
                  <w:pPr>
                    <w:pStyle w:val="149"/>
                    <w:rPr>
                      <w:rFonts w:eastAsia="Times New Roman"/>
                    </w:rPr>
                  </w:pPr>
                  <w:r>
                    <w:rPr>
                      <w:rFonts w:hint="eastAsia" w:ascii="宋体" w:hAnsi="宋体" w:eastAsia="宋体" w:cs="宋体"/>
                    </w:rPr>
                    <w:t>符合</w:t>
                  </w:r>
                </w:p>
              </w:tc>
            </w:tr>
            <w:tr w14:paraId="2B9A8A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45" w:type="pct"/>
                  <w:vMerge w:val="continue"/>
                  <w:vAlign w:val="center"/>
                </w:tcPr>
                <w:p w14:paraId="5317BFEB">
                  <w:pPr>
                    <w:pStyle w:val="149"/>
                    <w:rPr>
                      <w:rFonts w:eastAsia="Times New Roman"/>
                    </w:rPr>
                  </w:pPr>
                </w:p>
              </w:tc>
              <w:tc>
                <w:tcPr>
                  <w:tcW w:w="2230" w:type="pct"/>
                  <w:vAlign w:val="center"/>
                </w:tcPr>
                <w:p w14:paraId="0AB809C5">
                  <w:pPr>
                    <w:pStyle w:val="149"/>
                    <w:jc w:val="both"/>
                    <w:rPr>
                      <w:rFonts w:eastAsia="Times New Roman"/>
                    </w:rPr>
                  </w:pPr>
                  <w:r>
                    <w:rPr>
                      <w:rFonts w:eastAsia="Times New Roman"/>
                    </w:rPr>
                    <w:t>1-3</w:t>
                  </w:r>
                  <w:r>
                    <w:rPr>
                      <w:rFonts w:hint="eastAsia" w:ascii="宋体" w:hAnsi="宋体" w:eastAsia="宋体" w:cs="宋体"/>
                    </w:rPr>
                    <w:t>【产业</w:t>
                  </w:r>
                  <w:r>
                    <w:rPr>
                      <w:rFonts w:eastAsia="Times New Roman"/>
                    </w:rPr>
                    <w:t>/</w:t>
                  </w:r>
                  <w:r>
                    <w:rPr>
                      <w:rFonts w:hint="eastAsia" w:ascii="宋体" w:hAnsi="宋体" w:eastAsia="宋体" w:cs="宋体"/>
                    </w:rPr>
                    <w:t>禁止类】严禁引入印染、鞣革、造纸以及专业电镀等污染物排放量大或排放一类污染物、持久性有机污染物的项目。</w:t>
                  </w:r>
                </w:p>
              </w:tc>
              <w:tc>
                <w:tcPr>
                  <w:tcW w:w="1861" w:type="pct"/>
                  <w:vAlign w:val="center"/>
                </w:tcPr>
                <w:p w14:paraId="3F6702C2">
                  <w:pPr>
                    <w:pStyle w:val="149"/>
                    <w:jc w:val="both"/>
                    <w:rPr>
                      <w:rFonts w:eastAsia="Times New Roman"/>
                    </w:rPr>
                  </w:pPr>
                  <w:r>
                    <w:rPr>
                      <w:rFonts w:eastAsia="Times New Roman"/>
                    </w:rPr>
                    <w:t>1-3.</w:t>
                  </w:r>
                  <w:r>
                    <w:rPr>
                      <w:rFonts w:hint="eastAsia" w:ascii="宋体" w:hAnsi="宋体" w:eastAsia="宋体" w:cs="宋体"/>
                    </w:rPr>
                    <w:t>项目不属于禁止类项目。</w:t>
                  </w:r>
                </w:p>
              </w:tc>
              <w:tc>
                <w:tcPr>
                  <w:tcW w:w="464" w:type="pct"/>
                  <w:vAlign w:val="center"/>
                </w:tcPr>
                <w:p w14:paraId="0DA8AD12">
                  <w:pPr>
                    <w:pStyle w:val="149"/>
                    <w:rPr>
                      <w:rFonts w:eastAsia="Times New Roman"/>
                    </w:rPr>
                  </w:pPr>
                  <w:r>
                    <w:rPr>
                      <w:rFonts w:hint="eastAsia" w:ascii="宋体" w:hAnsi="宋体" w:eastAsia="宋体" w:cs="宋体"/>
                    </w:rPr>
                    <w:t>符合</w:t>
                  </w:r>
                </w:p>
              </w:tc>
            </w:tr>
            <w:tr w14:paraId="1C3990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45" w:type="pct"/>
                  <w:vMerge w:val="continue"/>
                  <w:vAlign w:val="center"/>
                </w:tcPr>
                <w:p w14:paraId="07CFAA3B">
                  <w:pPr>
                    <w:pStyle w:val="149"/>
                    <w:rPr>
                      <w:rFonts w:eastAsia="Times New Roman"/>
                    </w:rPr>
                  </w:pPr>
                </w:p>
              </w:tc>
              <w:tc>
                <w:tcPr>
                  <w:tcW w:w="2230" w:type="pct"/>
                  <w:vAlign w:val="center"/>
                </w:tcPr>
                <w:p w14:paraId="32D906E5">
                  <w:pPr>
                    <w:pStyle w:val="149"/>
                    <w:jc w:val="both"/>
                    <w:rPr>
                      <w:rFonts w:eastAsia="Times New Roman"/>
                    </w:rPr>
                  </w:pPr>
                  <w:r>
                    <w:rPr>
                      <w:rFonts w:eastAsia="Times New Roman"/>
                    </w:rPr>
                    <w:t>1-4</w:t>
                  </w:r>
                  <w:r>
                    <w:rPr>
                      <w:rFonts w:hint="eastAsia" w:ascii="宋体" w:hAnsi="宋体" w:eastAsia="宋体" w:cs="宋体"/>
                    </w:rPr>
                    <w:t>【土壤</w:t>
                  </w:r>
                  <w:r>
                    <w:rPr>
                      <w:rFonts w:eastAsia="Times New Roman"/>
                    </w:rPr>
                    <w:t>/</w:t>
                  </w:r>
                  <w:r>
                    <w:rPr>
                      <w:rFonts w:hint="eastAsia" w:ascii="宋体" w:hAnsi="宋体" w:eastAsia="宋体" w:cs="宋体"/>
                    </w:rPr>
                    <w:t>限制类】重金属污染防控非重点区新建、改扩建重金属排放项目，应落实重金属总量替代与削减要求，严格控制重点行业发展规模。强化涉重金属污染行业建设项目环评审批管理，严格执行环保</w:t>
                  </w:r>
                  <w:r>
                    <w:rPr>
                      <w:rFonts w:eastAsia="Times New Roman"/>
                    </w:rPr>
                    <w:t>“</w:t>
                  </w:r>
                  <w:r>
                    <w:rPr>
                      <w:rFonts w:hint="eastAsia" w:ascii="宋体" w:hAnsi="宋体" w:eastAsia="宋体" w:cs="宋体"/>
                    </w:rPr>
                    <w:t>三同时</w:t>
                  </w:r>
                  <w:r>
                    <w:rPr>
                      <w:rFonts w:eastAsia="Times New Roman"/>
                    </w:rPr>
                    <w:t>”</w:t>
                  </w:r>
                  <w:r>
                    <w:rPr>
                      <w:rFonts w:hint="eastAsia" w:ascii="宋体" w:hAnsi="宋体" w:eastAsia="宋体" w:cs="宋体"/>
                    </w:rPr>
                    <w:t>制度。</w:t>
                  </w:r>
                </w:p>
              </w:tc>
              <w:tc>
                <w:tcPr>
                  <w:tcW w:w="1861" w:type="pct"/>
                  <w:vAlign w:val="center"/>
                </w:tcPr>
                <w:p w14:paraId="5EBB7E85">
                  <w:pPr>
                    <w:pStyle w:val="149"/>
                    <w:jc w:val="both"/>
                    <w:rPr>
                      <w:rFonts w:eastAsia="Times New Roman"/>
                    </w:rPr>
                  </w:pPr>
                  <w:r>
                    <w:rPr>
                      <w:rFonts w:eastAsia="Times New Roman"/>
                    </w:rPr>
                    <w:t>1-4.</w:t>
                  </w:r>
                  <w:r>
                    <w:rPr>
                      <w:rFonts w:hint="eastAsia" w:ascii="宋体" w:hAnsi="宋体" w:eastAsia="宋体" w:cs="宋体"/>
                    </w:rPr>
                    <w:t>项目不在重金属重点防控区域内，不涉及重金属排放。</w:t>
                  </w:r>
                </w:p>
              </w:tc>
              <w:tc>
                <w:tcPr>
                  <w:tcW w:w="464" w:type="pct"/>
                  <w:vAlign w:val="center"/>
                </w:tcPr>
                <w:p w14:paraId="6BBA8183">
                  <w:pPr>
                    <w:pStyle w:val="149"/>
                    <w:rPr>
                      <w:rFonts w:eastAsia="Times New Roman"/>
                    </w:rPr>
                  </w:pPr>
                  <w:r>
                    <w:rPr>
                      <w:rFonts w:hint="eastAsia" w:ascii="宋体" w:hAnsi="宋体" w:eastAsia="宋体" w:cs="宋体"/>
                    </w:rPr>
                    <w:t>符合</w:t>
                  </w:r>
                </w:p>
              </w:tc>
            </w:tr>
            <w:tr w14:paraId="347FAE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45" w:type="pct"/>
                  <w:vMerge w:val="continue"/>
                  <w:vAlign w:val="center"/>
                </w:tcPr>
                <w:p w14:paraId="0B1DA9F4">
                  <w:pPr>
                    <w:pStyle w:val="149"/>
                    <w:rPr>
                      <w:rFonts w:eastAsia="Times New Roman"/>
                    </w:rPr>
                  </w:pPr>
                </w:p>
              </w:tc>
              <w:tc>
                <w:tcPr>
                  <w:tcW w:w="2230" w:type="pct"/>
                  <w:vAlign w:val="center"/>
                </w:tcPr>
                <w:p w14:paraId="7CA5B0F8">
                  <w:pPr>
                    <w:pStyle w:val="149"/>
                    <w:jc w:val="both"/>
                    <w:rPr>
                      <w:rFonts w:eastAsia="Times New Roman"/>
                      <w:lang w:bidi="ar"/>
                    </w:rPr>
                  </w:pPr>
                  <w:r>
                    <w:rPr>
                      <w:rFonts w:eastAsia="Times New Roman"/>
                    </w:rPr>
                    <w:t>1-5</w:t>
                  </w:r>
                  <w:r>
                    <w:rPr>
                      <w:rFonts w:hint="eastAsia" w:ascii="宋体" w:hAnsi="宋体" w:eastAsia="宋体" w:cs="宋体"/>
                    </w:rPr>
                    <w:t>【其他</w:t>
                  </w:r>
                  <w:r>
                    <w:rPr>
                      <w:rFonts w:eastAsia="Times New Roman"/>
                    </w:rPr>
                    <w:t>/</w:t>
                  </w:r>
                  <w:r>
                    <w:rPr>
                      <w:rFonts w:hint="eastAsia" w:ascii="宋体" w:hAnsi="宋体" w:eastAsia="宋体" w:cs="宋体"/>
                    </w:rPr>
                    <w:t>综合类】严格生产空间和生活空间管控。工业企业禁止选址生活空间，生产空间禁止建设居民住宅等敏感建筑；与村庄临近的区域应合理设置控制开发区域（产业控制带），产业控制带内优先引进无污染的生产性服务业，或可适当布置废气排放量小、工业噪声影响小的产业。</w:t>
                  </w:r>
                </w:p>
              </w:tc>
              <w:tc>
                <w:tcPr>
                  <w:tcW w:w="1861" w:type="pct"/>
                  <w:vAlign w:val="center"/>
                </w:tcPr>
                <w:p w14:paraId="6B01CF34">
                  <w:pPr>
                    <w:pStyle w:val="149"/>
                    <w:jc w:val="both"/>
                    <w:rPr>
                      <w:rFonts w:eastAsia="Times New Roman"/>
                    </w:rPr>
                  </w:pPr>
                  <w:r>
                    <w:rPr>
                      <w:rFonts w:eastAsia="Times New Roman"/>
                    </w:rPr>
                    <w:t>1-5.</w:t>
                  </w:r>
                  <w:r>
                    <w:rPr>
                      <w:rFonts w:hint="eastAsia" w:ascii="宋体" w:hAnsi="宋体" w:eastAsia="宋体" w:cs="宋体"/>
                    </w:rPr>
                    <w:t>项目属于储能电站，位于石湾镇智能装备产业园区内，不涉及居民住宅等敏感建筑的建设，不临近村庄。</w:t>
                  </w:r>
                </w:p>
              </w:tc>
              <w:tc>
                <w:tcPr>
                  <w:tcW w:w="464" w:type="pct"/>
                  <w:vAlign w:val="center"/>
                </w:tcPr>
                <w:p w14:paraId="62ED925E">
                  <w:pPr>
                    <w:pStyle w:val="149"/>
                    <w:rPr>
                      <w:rFonts w:eastAsia="Times New Roman"/>
                    </w:rPr>
                  </w:pPr>
                  <w:r>
                    <w:rPr>
                      <w:rFonts w:hint="eastAsia" w:ascii="宋体" w:hAnsi="宋体" w:eastAsia="宋体" w:cs="宋体"/>
                    </w:rPr>
                    <w:t>符合</w:t>
                  </w:r>
                </w:p>
              </w:tc>
            </w:tr>
            <w:tr w14:paraId="7732F1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95" w:hRule="atLeast"/>
              </w:trPr>
              <w:tc>
                <w:tcPr>
                  <w:tcW w:w="445" w:type="pct"/>
                  <w:vAlign w:val="center"/>
                </w:tcPr>
                <w:p w14:paraId="56919492">
                  <w:pPr>
                    <w:pStyle w:val="149"/>
                    <w:jc w:val="both"/>
                    <w:rPr>
                      <w:rFonts w:eastAsia="Times New Roman"/>
                    </w:rPr>
                  </w:pPr>
                  <w:r>
                    <w:rPr>
                      <w:rFonts w:hint="eastAsia" w:ascii="宋体" w:hAnsi="宋体" w:eastAsia="宋体" w:cs="宋体"/>
                    </w:rPr>
                    <w:t>能源资源利用要求</w:t>
                  </w:r>
                </w:p>
              </w:tc>
              <w:tc>
                <w:tcPr>
                  <w:tcW w:w="2230" w:type="pct"/>
                  <w:vAlign w:val="center"/>
                </w:tcPr>
                <w:p w14:paraId="3FAF54A0">
                  <w:pPr>
                    <w:pStyle w:val="149"/>
                    <w:jc w:val="both"/>
                    <w:rPr>
                      <w:rFonts w:eastAsia="Times New Roman"/>
                    </w:rPr>
                  </w:pPr>
                  <w:r>
                    <w:rPr>
                      <w:rFonts w:eastAsia="Times New Roman"/>
                      <w:lang w:bidi="ar"/>
                    </w:rPr>
                    <w:t>2-1</w:t>
                  </w:r>
                  <w:r>
                    <w:rPr>
                      <w:rFonts w:hint="eastAsia" w:ascii="宋体" w:hAnsi="宋体" w:eastAsia="宋体" w:cs="宋体"/>
                      <w:lang w:bidi="ar"/>
                    </w:rPr>
                    <w:t>【其他</w:t>
                  </w:r>
                  <w:r>
                    <w:rPr>
                      <w:rFonts w:eastAsia="Times New Roman"/>
                      <w:lang w:bidi="ar"/>
                    </w:rPr>
                    <w:t>/</w:t>
                  </w:r>
                  <w:r>
                    <w:rPr>
                      <w:rFonts w:hint="eastAsia" w:ascii="宋体" w:hAnsi="宋体" w:eastAsia="宋体" w:cs="宋体"/>
                      <w:lang w:bidi="ar"/>
                    </w:rPr>
                    <w:t>综合类】有行业清洁生产标准的新引进项目清洁生产水平须达到本行业国内先进水平。</w:t>
                  </w:r>
                </w:p>
              </w:tc>
              <w:tc>
                <w:tcPr>
                  <w:tcW w:w="1861" w:type="pct"/>
                  <w:vAlign w:val="center"/>
                </w:tcPr>
                <w:p w14:paraId="18138B92">
                  <w:pPr>
                    <w:pStyle w:val="149"/>
                    <w:jc w:val="both"/>
                    <w:rPr>
                      <w:rFonts w:eastAsia="Times New Roman"/>
                    </w:rPr>
                  </w:pPr>
                  <w:r>
                    <w:rPr>
                      <w:rFonts w:eastAsia="Times New Roman"/>
                    </w:rPr>
                    <w:t>2-1.</w:t>
                  </w:r>
                  <w:r>
                    <w:rPr>
                      <w:rFonts w:hint="eastAsia" w:ascii="宋体" w:hAnsi="宋体" w:eastAsia="宋体" w:cs="宋体"/>
                    </w:rPr>
                    <w:t>本项目属于储能电站，项目在用电低峰期进行储电，在用电高峰期进行供电，起到用电调峰作用，所属行业无清洁生产标准。</w:t>
                  </w:r>
                </w:p>
              </w:tc>
              <w:tc>
                <w:tcPr>
                  <w:tcW w:w="464" w:type="pct"/>
                  <w:vAlign w:val="center"/>
                </w:tcPr>
                <w:p w14:paraId="23AB8A49">
                  <w:pPr>
                    <w:pStyle w:val="149"/>
                    <w:rPr>
                      <w:rFonts w:eastAsia="Times New Roman"/>
                    </w:rPr>
                  </w:pPr>
                  <w:r>
                    <w:rPr>
                      <w:rFonts w:hint="eastAsia" w:ascii="宋体" w:hAnsi="宋体" w:eastAsia="宋体" w:cs="宋体"/>
                    </w:rPr>
                    <w:t>符合</w:t>
                  </w:r>
                </w:p>
              </w:tc>
            </w:tr>
            <w:tr w14:paraId="7DB351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45" w:type="pct"/>
                  <w:vMerge w:val="restart"/>
                  <w:vAlign w:val="center"/>
                </w:tcPr>
                <w:p w14:paraId="29B48626">
                  <w:pPr>
                    <w:pStyle w:val="149"/>
                    <w:rPr>
                      <w:rFonts w:eastAsia="Times New Roman"/>
                    </w:rPr>
                  </w:pPr>
                  <w:r>
                    <w:rPr>
                      <w:rFonts w:hint="eastAsia" w:ascii="宋体" w:hAnsi="宋体" w:eastAsia="宋体" w:cs="宋体"/>
                    </w:rPr>
                    <w:t>污染物排放管控要求</w:t>
                  </w:r>
                </w:p>
              </w:tc>
              <w:tc>
                <w:tcPr>
                  <w:tcW w:w="2230" w:type="pct"/>
                  <w:vAlign w:val="center"/>
                </w:tcPr>
                <w:p w14:paraId="6A08A2B9">
                  <w:pPr>
                    <w:pStyle w:val="149"/>
                    <w:jc w:val="both"/>
                    <w:rPr>
                      <w:rFonts w:eastAsia="Times New Roman"/>
                    </w:rPr>
                  </w:pPr>
                  <w:r>
                    <w:rPr>
                      <w:rFonts w:eastAsia="Times New Roman"/>
                    </w:rPr>
                    <w:t>3-1</w:t>
                  </w:r>
                  <w:r>
                    <w:rPr>
                      <w:rFonts w:hint="eastAsia" w:ascii="宋体" w:hAnsi="宋体" w:eastAsia="宋体" w:cs="宋体"/>
                    </w:rPr>
                    <w:t>【水</w:t>
                  </w:r>
                  <w:r>
                    <w:rPr>
                      <w:rFonts w:eastAsia="Times New Roman"/>
                    </w:rPr>
                    <w:t>/</w:t>
                  </w:r>
                  <w:r>
                    <w:rPr>
                      <w:rFonts w:hint="eastAsia" w:ascii="宋体" w:hAnsi="宋体" w:eastAsia="宋体" w:cs="宋体"/>
                    </w:rPr>
                    <w:t>综合类】地方政府需加快落实纳污水体石湾中心排渠的水污染物削减措施，改善其水环境质量。</w:t>
                  </w:r>
                </w:p>
              </w:tc>
              <w:tc>
                <w:tcPr>
                  <w:tcW w:w="1861" w:type="pct"/>
                  <w:vAlign w:val="center"/>
                </w:tcPr>
                <w:p w14:paraId="08FCFE6C">
                  <w:pPr>
                    <w:pStyle w:val="149"/>
                    <w:jc w:val="both"/>
                    <w:rPr>
                      <w:rFonts w:eastAsia="Times New Roman"/>
                    </w:rPr>
                  </w:pPr>
                  <w:r>
                    <w:rPr>
                      <w:rFonts w:eastAsia="Times New Roman"/>
                    </w:rPr>
                    <w:t>3-1.</w:t>
                  </w:r>
                  <w:r>
                    <w:rPr>
                      <w:rFonts w:hint="eastAsia" w:asciiTheme="minorEastAsia" w:hAnsiTheme="minorEastAsia" w:eastAsiaTheme="minorEastAsia"/>
                    </w:rPr>
                    <w:t>本项目</w:t>
                  </w:r>
                  <w:r>
                    <w:rPr>
                      <w:rFonts w:hint="eastAsia" w:ascii="宋体" w:hAnsi="宋体" w:eastAsia="宋体" w:cs="宋体"/>
                    </w:rPr>
                    <w:t>不涉及。</w:t>
                  </w:r>
                </w:p>
              </w:tc>
              <w:tc>
                <w:tcPr>
                  <w:tcW w:w="464" w:type="pct"/>
                  <w:vAlign w:val="center"/>
                </w:tcPr>
                <w:p w14:paraId="680EAE5D">
                  <w:pPr>
                    <w:pStyle w:val="149"/>
                    <w:rPr>
                      <w:rFonts w:eastAsia="Times New Roman"/>
                    </w:rPr>
                  </w:pPr>
                  <w:r>
                    <w:rPr>
                      <w:rFonts w:hint="eastAsia" w:ascii="宋体" w:hAnsi="宋体" w:eastAsia="宋体" w:cs="宋体"/>
                    </w:rPr>
                    <w:t>符合</w:t>
                  </w:r>
                </w:p>
              </w:tc>
            </w:tr>
            <w:tr w14:paraId="518CDF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45" w:type="pct"/>
                  <w:vMerge w:val="continue"/>
                  <w:vAlign w:val="center"/>
                </w:tcPr>
                <w:p w14:paraId="34DBA6C5">
                  <w:pPr>
                    <w:pStyle w:val="149"/>
                    <w:rPr>
                      <w:rFonts w:eastAsia="Times New Roman"/>
                    </w:rPr>
                  </w:pPr>
                </w:p>
              </w:tc>
              <w:tc>
                <w:tcPr>
                  <w:tcW w:w="2230" w:type="pct"/>
                  <w:vAlign w:val="center"/>
                </w:tcPr>
                <w:p w14:paraId="18D3E88B">
                  <w:pPr>
                    <w:pStyle w:val="149"/>
                    <w:jc w:val="both"/>
                    <w:rPr>
                      <w:rFonts w:eastAsia="Times New Roman"/>
                    </w:rPr>
                  </w:pPr>
                  <w:r>
                    <w:rPr>
                      <w:rFonts w:eastAsia="Times New Roman"/>
                    </w:rPr>
                    <w:t>3-2</w:t>
                  </w:r>
                  <w:r>
                    <w:rPr>
                      <w:rFonts w:hint="eastAsia" w:ascii="宋体" w:hAnsi="宋体" w:eastAsia="宋体" w:cs="宋体"/>
                    </w:rPr>
                    <w:t>【大气</w:t>
                  </w:r>
                  <w:r>
                    <w:rPr>
                      <w:rFonts w:eastAsia="Times New Roman"/>
                    </w:rPr>
                    <w:t>/</w:t>
                  </w:r>
                  <w:r>
                    <w:rPr>
                      <w:rFonts w:hint="eastAsia" w:ascii="宋体" w:hAnsi="宋体" w:eastAsia="宋体" w:cs="宋体"/>
                    </w:rPr>
                    <w:t>综合类】强化</w:t>
                  </w:r>
                  <w:r>
                    <w:rPr>
                      <w:rFonts w:eastAsia="Times New Roman"/>
                    </w:rPr>
                    <w:t>VOCs</w:t>
                  </w:r>
                  <w:r>
                    <w:rPr>
                      <w:rFonts w:hint="eastAsia" w:ascii="宋体" w:hAnsi="宋体" w:eastAsia="宋体" w:cs="宋体"/>
                    </w:rPr>
                    <w:t>的排放控制，新引进排放</w:t>
                  </w:r>
                  <w:r>
                    <w:rPr>
                      <w:rFonts w:eastAsia="Times New Roman"/>
                    </w:rPr>
                    <w:t>VOCs</w:t>
                  </w:r>
                  <w:r>
                    <w:rPr>
                      <w:rFonts w:hint="eastAsia" w:ascii="宋体" w:hAnsi="宋体" w:eastAsia="宋体" w:cs="宋体"/>
                    </w:rPr>
                    <w:t>项目须实行倍量替代。</w:t>
                  </w:r>
                </w:p>
              </w:tc>
              <w:tc>
                <w:tcPr>
                  <w:tcW w:w="1861" w:type="pct"/>
                  <w:vAlign w:val="center"/>
                </w:tcPr>
                <w:p w14:paraId="5A447B79">
                  <w:pPr>
                    <w:pStyle w:val="149"/>
                    <w:jc w:val="both"/>
                    <w:rPr>
                      <w:rFonts w:eastAsia="Times New Roman"/>
                    </w:rPr>
                  </w:pPr>
                  <w:r>
                    <w:rPr>
                      <w:rFonts w:eastAsia="Times New Roman"/>
                    </w:rPr>
                    <w:t>3-2</w:t>
                  </w:r>
                  <w:r>
                    <w:rPr>
                      <w:rFonts w:hint="eastAsia" w:ascii="宋体" w:hAnsi="宋体" w:eastAsia="宋体" w:cs="宋体"/>
                    </w:rPr>
                    <w:t>项目不涉及</w:t>
                  </w:r>
                  <w:r>
                    <w:rPr>
                      <w:rFonts w:eastAsia="Times New Roman"/>
                    </w:rPr>
                    <w:t>VOCs</w:t>
                  </w:r>
                  <w:r>
                    <w:rPr>
                      <w:rFonts w:hint="eastAsia" w:ascii="宋体" w:hAnsi="宋体" w:eastAsia="宋体" w:cs="宋体"/>
                    </w:rPr>
                    <w:t>排放。</w:t>
                  </w:r>
                </w:p>
              </w:tc>
              <w:tc>
                <w:tcPr>
                  <w:tcW w:w="464" w:type="pct"/>
                  <w:vAlign w:val="center"/>
                </w:tcPr>
                <w:p w14:paraId="7EEDC38F">
                  <w:pPr>
                    <w:pStyle w:val="149"/>
                    <w:rPr>
                      <w:rFonts w:eastAsia="Times New Roman"/>
                    </w:rPr>
                  </w:pPr>
                  <w:r>
                    <w:rPr>
                      <w:rFonts w:hint="eastAsia" w:ascii="宋体" w:hAnsi="宋体" w:eastAsia="宋体" w:cs="宋体"/>
                    </w:rPr>
                    <w:t>符合</w:t>
                  </w:r>
                </w:p>
              </w:tc>
            </w:tr>
            <w:tr w14:paraId="67DCC4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45" w:type="pct"/>
                  <w:vMerge w:val="continue"/>
                  <w:vAlign w:val="center"/>
                </w:tcPr>
                <w:p w14:paraId="527318E8">
                  <w:pPr>
                    <w:pStyle w:val="149"/>
                    <w:rPr>
                      <w:rFonts w:eastAsia="Times New Roman"/>
                    </w:rPr>
                  </w:pPr>
                </w:p>
              </w:tc>
              <w:tc>
                <w:tcPr>
                  <w:tcW w:w="2230" w:type="pct"/>
                  <w:vAlign w:val="center"/>
                </w:tcPr>
                <w:p w14:paraId="78FD0FBC">
                  <w:pPr>
                    <w:pStyle w:val="149"/>
                    <w:jc w:val="both"/>
                    <w:rPr>
                      <w:rFonts w:eastAsia="Times New Roman"/>
                    </w:rPr>
                  </w:pPr>
                  <w:r>
                    <w:rPr>
                      <w:rFonts w:eastAsia="Times New Roman"/>
                    </w:rPr>
                    <w:t>3-3</w:t>
                  </w:r>
                  <w:r>
                    <w:rPr>
                      <w:rFonts w:hint="eastAsia" w:ascii="宋体" w:hAnsi="宋体" w:eastAsia="宋体" w:cs="宋体"/>
                    </w:rPr>
                    <w:t>【固废</w:t>
                  </w:r>
                  <w:r>
                    <w:rPr>
                      <w:rFonts w:eastAsia="Times New Roman"/>
                    </w:rPr>
                    <w:t>/</w:t>
                  </w:r>
                  <w:r>
                    <w:rPr>
                      <w:rFonts w:hint="eastAsia" w:ascii="宋体" w:hAnsi="宋体" w:eastAsia="宋体" w:cs="宋体"/>
                    </w:rPr>
                    <w:t>综合类】产生、利用或处置固体废物（含危险废物）的入园企业在贮存、转移、利用、处置固体废物（含危险废物）过程中，应配套防扬散、防流失、防渗漏及其它防止污染环境的措施。</w:t>
                  </w:r>
                </w:p>
              </w:tc>
              <w:tc>
                <w:tcPr>
                  <w:tcW w:w="1861" w:type="pct"/>
                  <w:vAlign w:val="center"/>
                </w:tcPr>
                <w:p w14:paraId="20B1960F">
                  <w:pPr>
                    <w:pStyle w:val="149"/>
                    <w:jc w:val="both"/>
                    <w:rPr>
                      <w:rFonts w:eastAsia="Times New Roman"/>
                    </w:rPr>
                  </w:pPr>
                  <w:r>
                    <w:rPr>
                      <w:rFonts w:eastAsia="Times New Roman"/>
                    </w:rPr>
                    <w:t>3-3</w:t>
                  </w:r>
                  <w:r>
                    <w:rPr>
                      <w:rFonts w:hint="eastAsia" w:ascii="宋体" w:hAnsi="宋体" w:eastAsia="宋体" w:cs="宋体"/>
                    </w:rPr>
                    <w:t>项</w:t>
                  </w:r>
                  <w:r>
                    <w:rPr>
                      <w:rFonts w:hint="eastAsia" w:ascii="宋体" w:hAnsi="宋体" w:eastAsia="宋体" w:cs="宋体"/>
                      <w:kern w:val="1"/>
                    </w:rPr>
                    <w:t>目涉及固体废物（含危险废物）产生，项目一般工业固体废物贮存在一般固废暂存间，定期交由由专业回收公司回收利用，危险废物贮存在危险废物贮存库，定期交由有危险废物处理资质单位进行无害化处理，生活垃圾委托环卫部门清运处理，各固体废物均妥善处置，不外排。</w:t>
                  </w:r>
                </w:p>
              </w:tc>
              <w:tc>
                <w:tcPr>
                  <w:tcW w:w="464" w:type="pct"/>
                  <w:vAlign w:val="center"/>
                </w:tcPr>
                <w:p w14:paraId="26D8C8DF">
                  <w:pPr>
                    <w:pStyle w:val="149"/>
                    <w:rPr>
                      <w:rFonts w:eastAsia="Times New Roman"/>
                    </w:rPr>
                  </w:pPr>
                  <w:r>
                    <w:rPr>
                      <w:rFonts w:hint="eastAsia" w:ascii="宋体" w:hAnsi="宋体" w:eastAsia="宋体" w:cs="宋体"/>
                    </w:rPr>
                    <w:t>符合</w:t>
                  </w:r>
                </w:p>
              </w:tc>
            </w:tr>
            <w:tr w14:paraId="400C8E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45" w:type="pct"/>
                  <w:vMerge w:val="restart"/>
                  <w:vAlign w:val="center"/>
                </w:tcPr>
                <w:p w14:paraId="31C1CDF4">
                  <w:pPr>
                    <w:pStyle w:val="149"/>
                    <w:rPr>
                      <w:rFonts w:eastAsia="Times New Roman"/>
                    </w:rPr>
                  </w:pPr>
                  <w:r>
                    <w:rPr>
                      <w:rFonts w:hint="eastAsia" w:ascii="宋体" w:hAnsi="宋体" w:eastAsia="宋体" w:cs="宋体"/>
                    </w:rPr>
                    <w:t>环境风险防控要求</w:t>
                  </w:r>
                </w:p>
              </w:tc>
              <w:tc>
                <w:tcPr>
                  <w:tcW w:w="2230" w:type="pct"/>
                  <w:vAlign w:val="center"/>
                </w:tcPr>
                <w:p w14:paraId="3E889E34">
                  <w:pPr>
                    <w:pStyle w:val="149"/>
                    <w:jc w:val="both"/>
                    <w:rPr>
                      <w:rFonts w:eastAsia="Times New Roman"/>
                    </w:rPr>
                  </w:pPr>
                  <w:r>
                    <w:rPr>
                      <w:rFonts w:eastAsia="Times New Roman"/>
                    </w:rPr>
                    <w:t>4-1</w:t>
                  </w:r>
                  <w:r>
                    <w:rPr>
                      <w:rFonts w:hint="eastAsia" w:ascii="宋体" w:hAnsi="宋体" w:eastAsia="宋体" w:cs="宋体"/>
                    </w:rPr>
                    <w:t>【风险</w:t>
                  </w:r>
                  <w:r>
                    <w:rPr>
                      <w:rFonts w:eastAsia="Times New Roman"/>
                    </w:rPr>
                    <w:t>/</w:t>
                  </w:r>
                  <w:r>
                    <w:rPr>
                      <w:rFonts w:hint="eastAsia" w:ascii="宋体" w:hAnsi="宋体" w:eastAsia="宋体" w:cs="宋体"/>
                    </w:rPr>
                    <w:t>综合类】园区应建立企业、园区、区域三级环境风险防控体系，加强园区及入园企业环境应急设施整合共享，建立有效的拦截、降污、导流、暂存等工程措施，防止泄漏物、消防废水等进入园区外环境。强化园区风险防控。</w:t>
                  </w:r>
                </w:p>
              </w:tc>
              <w:tc>
                <w:tcPr>
                  <w:tcW w:w="1861" w:type="pct"/>
                  <w:vAlign w:val="center"/>
                </w:tcPr>
                <w:p w14:paraId="0FFC5E15">
                  <w:pPr>
                    <w:pStyle w:val="149"/>
                    <w:jc w:val="both"/>
                    <w:rPr>
                      <w:rFonts w:eastAsia="Times New Roman"/>
                    </w:rPr>
                  </w:pPr>
                  <w:r>
                    <w:rPr>
                      <w:rFonts w:eastAsia="Times New Roman"/>
                    </w:rPr>
                    <w:t>4-1.</w:t>
                  </w:r>
                  <w:r>
                    <w:rPr>
                      <w:rFonts w:hint="eastAsia" w:asciiTheme="minorEastAsia" w:hAnsiTheme="minorEastAsia" w:eastAsiaTheme="minorEastAsia"/>
                    </w:rPr>
                    <w:t>本项目</w:t>
                  </w:r>
                  <w:r>
                    <w:rPr>
                      <w:rFonts w:hint="eastAsia" w:ascii="宋体" w:hAnsi="宋体" w:eastAsia="宋体" w:cs="宋体"/>
                    </w:rPr>
                    <w:t>不涉及。</w:t>
                  </w:r>
                </w:p>
              </w:tc>
              <w:tc>
                <w:tcPr>
                  <w:tcW w:w="464" w:type="pct"/>
                  <w:vAlign w:val="center"/>
                </w:tcPr>
                <w:p w14:paraId="3265ADD3">
                  <w:pPr>
                    <w:pStyle w:val="149"/>
                    <w:rPr>
                      <w:rFonts w:eastAsia="Times New Roman"/>
                    </w:rPr>
                  </w:pPr>
                  <w:r>
                    <w:rPr>
                      <w:rFonts w:hint="eastAsia" w:ascii="宋体" w:hAnsi="宋体" w:eastAsia="宋体" w:cs="宋体"/>
                    </w:rPr>
                    <w:t>符合</w:t>
                  </w:r>
                </w:p>
              </w:tc>
            </w:tr>
            <w:tr w14:paraId="689742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45" w:type="pct"/>
                  <w:vMerge w:val="continue"/>
                  <w:vAlign w:val="center"/>
                </w:tcPr>
                <w:p w14:paraId="4A35805A">
                  <w:pPr>
                    <w:pStyle w:val="149"/>
                    <w:rPr>
                      <w:rFonts w:eastAsia="Times New Roman"/>
                    </w:rPr>
                  </w:pPr>
                </w:p>
              </w:tc>
              <w:tc>
                <w:tcPr>
                  <w:tcW w:w="2230" w:type="pct"/>
                  <w:vAlign w:val="center"/>
                </w:tcPr>
                <w:p w14:paraId="21B83155">
                  <w:pPr>
                    <w:pStyle w:val="149"/>
                    <w:jc w:val="both"/>
                    <w:rPr>
                      <w:rFonts w:eastAsia="Times New Roman"/>
                    </w:rPr>
                  </w:pPr>
                  <w:r>
                    <w:rPr>
                      <w:rFonts w:eastAsia="Times New Roman"/>
                    </w:rPr>
                    <w:t>4-2</w:t>
                  </w:r>
                  <w:r>
                    <w:rPr>
                      <w:rFonts w:hint="eastAsia" w:ascii="宋体" w:hAnsi="宋体" w:eastAsia="宋体" w:cs="宋体"/>
                    </w:rPr>
                    <w:t>【风险</w:t>
                  </w:r>
                  <w:r>
                    <w:rPr>
                      <w:rFonts w:eastAsia="Times New Roman"/>
                    </w:rPr>
                    <w:t>/</w:t>
                  </w:r>
                  <w:r>
                    <w:rPr>
                      <w:rFonts w:hint="eastAsia" w:ascii="宋体" w:hAnsi="宋体" w:eastAsia="宋体" w:cs="宋体"/>
                    </w:rPr>
                    <w:t>综合类】生产、使用、储存危险化学品或其他存在环境风险的入园项目应配套有效的风险防范措施，并根据国家环境应急预案管理的要求编制突发环境事件应急预案，防止因渗漏污染地下水、土壤，以及因事故废水直排污染地表水体。</w:t>
                  </w:r>
                </w:p>
              </w:tc>
              <w:tc>
                <w:tcPr>
                  <w:tcW w:w="1861" w:type="pct"/>
                  <w:vAlign w:val="center"/>
                </w:tcPr>
                <w:p w14:paraId="0E1082C9">
                  <w:pPr>
                    <w:pStyle w:val="149"/>
                    <w:jc w:val="both"/>
                    <w:rPr>
                      <w:rFonts w:eastAsia="Times New Roman"/>
                    </w:rPr>
                  </w:pPr>
                  <w:r>
                    <w:rPr>
                      <w:rFonts w:eastAsia="Times New Roman"/>
                    </w:rPr>
                    <w:t>4-2</w:t>
                  </w:r>
                  <w:r>
                    <w:rPr>
                      <w:rFonts w:hint="eastAsia" w:ascii="宋体" w:hAnsi="宋体" w:eastAsia="宋体" w:cs="宋体"/>
                    </w:rPr>
                    <w:t>项目升压站内设置有事故油池，变压器发生泄露、火灾、爆炸时，变压器油可通过变压器下的油坑及油管，汇入变压器区事故油池，油污水经隔油处理后，废交由有资质的单位立即进行回收处理。</w:t>
                  </w:r>
                </w:p>
              </w:tc>
              <w:tc>
                <w:tcPr>
                  <w:tcW w:w="464" w:type="pct"/>
                  <w:vAlign w:val="center"/>
                </w:tcPr>
                <w:p w14:paraId="7E3B7D5E">
                  <w:pPr>
                    <w:pStyle w:val="149"/>
                    <w:rPr>
                      <w:rFonts w:eastAsia="Times New Roman"/>
                    </w:rPr>
                  </w:pPr>
                  <w:r>
                    <w:rPr>
                      <w:rFonts w:hint="eastAsia" w:ascii="宋体" w:hAnsi="宋体" w:eastAsia="宋体" w:cs="宋体"/>
                    </w:rPr>
                    <w:t>符合</w:t>
                  </w:r>
                </w:p>
              </w:tc>
            </w:tr>
          </w:tbl>
          <w:p w14:paraId="678EA388">
            <w:pPr>
              <w:pStyle w:val="147"/>
              <w:spacing w:before="120" w:beforeLines="50" w:line="360" w:lineRule="auto"/>
              <w:ind w:firstLine="482"/>
              <w:rPr>
                <w:rFonts w:cs="Times New Roman"/>
                <w:b/>
                <w:bCs/>
                <w:sz w:val="24"/>
                <w:szCs w:val="32"/>
                <w:lang w:eastAsia="zh-CN"/>
              </w:rPr>
            </w:pPr>
            <w:r>
              <w:rPr>
                <w:rFonts w:cs="Times New Roman"/>
                <w:b/>
                <w:bCs/>
                <w:sz w:val="24"/>
                <w:szCs w:val="32"/>
                <w:lang w:eastAsia="zh-CN"/>
              </w:rPr>
              <w:t>2</w:t>
            </w:r>
            <w:r>
              <w:rPr>
                <w:rFonts w:hint="eastAsia" w:cs="Times New Roman"/>
                <w:b/>
                <w:bCs/>
                <w:sz w:val="24"/>
                <w:szCs w:val="32"/>
                <w:lang w:eastAsia="zh-CN"/>
              </w:rPr>
              <w:t>、产业政策相符性分析</w:t>
            </w:r>
          </w:p>
          <w:p w14:paraId="4074C7D8">
            <w:pPr>
              <w:pStyle w:val="148"/>
              <w:ind w:firstLine="480" w:firstLineChars="200"/>
              <w:rPr>
                <w:rFonts w:ascii="Times New Roman" w:cs="Times New Roman"/>
                <w:bCs w:val="0"/>
                <w:spacing w:val="-5"/>
                <w:kern w:val="1"/>
                <w:szCs w:val="24"/>
              </w:rPr>
            </w:pPr>
            <w:r>
              <w:rPr>
                <w:rFonts w:hint="eastAsia" w:ascii="Times New Roman" w:cs="Times New Roman"/>
              </w:rPr>
              <w:t>本项目主要为储能电站建设项目，属于《国民经济行业分类》(GB/T4754-2017)（按第1号修改单修订）中的D4420电力供应，项目属于国家《产业结构调整指导目录（2024年本）》（中华人民共和国国家发展和改革委员会令第7号）中“第一类鼓励类”-“四、电力”-“1、电化学储能”项目。符合《产业结构调整指导目录（2024年本）》相关要求</w:t>
            </w:r>
            <w:r>
              <w:rPr>
                <w:rFonts w:hint="eastAsia" w:ascii="Times New Roman" w:cs="Times New Roman"/>
                <w:bCs w:val="0"/>
                <w:spacing w:val="-5"/>
                <w:kern w:val="1"/>
                <w:szCs w:val="24"/>
              </w:rPr>
              <w:t>。</w:t>
            </w:r>
          </w:p>
          <w:p w14:paraId="1C3EAD56">
            <w:pPr>
              <w:pStyle w:val="148"/>
              <w:ind w:firstLine="482" w:firstLineChars="200"/>
              <w:rPr>
                <w:rFonts w:ascii="Times New Roman" w:cs="Times New Roman"/>
                <w:bCs w:val="0"/>
                <w:spacing w:val="-5"/>
                <w:kern w:val="1"/>
                <w:szCs w:val="24"/>
              </w:rPr>
            </w:pPr>
            <w:r>
              <w:rPr>
                <w:rFonts w:ascii="Times New Roman" w:cs="Times New Roman"/>
                <w:b/>
                <w:bCs w:val="0"/>
              </w:rPr>
              <w:t>3</w:t>
            </w:r>
            <w:r>
              <w:rPr>
                <w:rFonts w:hint="eastAsia"/>
                <w:b/>
                <w:bCs w:val="0"/>
              </w:rPr>
              <w:t>、市场准入负面清单相符性分析</w:t>
            </w:r>
          </w:p>
          <w:p w14:paraId="2D2D5D82">
            <w:pPr>
              <w:pStyle w:val="148"/>
              <w:ind w:firstLine="460" w:firstLineChars="200"/>
              <w:rPr>
                <w:rFonts w:ascii="Times New Roman" w:cs="Times New Roman"/>
                <w:bCs w:val="0"/>
                <w:spacing w:val="-5"/>
                <w:kern w:val="1"/>
                <w:szCs w:val="24"/>
              </w:rPr>
            </w:pPr>
            <w:r>
              <w:rPr>
                <w:rFonts w:hint="eastAsia" w:ascii="Times New Roman" w:cs="Times New Roman"/>
                <w:bCs w:val="0"/>
                <w:spacing w:val="-5"/>
                <w:kern w:val="1"/>
                <w:szCs w:val="24"/>
              </w:rPr>
              <w:t>国家发展改革委商务部市场监管总局关于印发的《市场准入负面清单（</w:t>
            </w:r>
            <w:r>
              <w:rPr>
                <w:rFonts w:ascii="Times New Roman" w:cs="Times New Roman"/>
                <w:bCs w:val="0"/>
                <w:spacing w:val="-5"/>
                <w:kern w:val="1"/>
                <w:szCs w:val="24"/>
              </w:rPr>
              <w:t>2025</w:t>
            </w:r>
            <w:r>
              <w:rPr>
                <w:rFonts w:hint="eastAsia" w:ascii="Times New Roman" w:cs="Times New Roman"/>
                <w:bCs w:val="0"/>
                <w:spacing w:val="-5"/>
                <w:kern w:val="1"/>
                <w:szCs w:val="24"/>
              </w:rPr>
              <w:t>年版）》（发改体改规〔</w:t>
            </w:r>
            <w:r>
              <w:rPr>
                <w:rFonts w:ascii="Times New Roman" w:cs="Times New Roman"/>
                <w:bCs w:val="0"/>
                <w:spacing w:val="-5"/>
                <w:kern w:val="1"/>
                <w:szCs w:val="24"/>
              </w:rPr>
              <w:t>2025</w:t>
            </w:r>
            <w:r>
              <w:rPr>
                <w:rFonts w:hint="eastAsia" w:ascii="Times New Roman" w:cs="Times New Roman"/>
                <w:bCs w:val="0"/>
                <w:spacing w:val="-5"/>
                <w:kern w:val="1"/>
                <w:szCs w:val="24"/>
              </w:rPr>
              <w:t>〕</w:t>
            </w:r>
            <w:r>
              <w:rPr>
                <w:rFonts w:ascii="Times New Roman" w:cs="Times New Roman"/>
                <w:bCs w:val="0"/>
                <w:spacing w:val="-5"/>
                <w:kern w:val="1"/>
                <w:szCs w:val="24"/>
              </w:rPr>
              <w:t>466</w:t>
            </w:r>
            <w:r>
              <w:rPr>
                <w:rFonts w:hint="eastAsia" w:ascii="Times New Roman" w:cs="Times New Roman"/>
                <w:bCs w:val="0"/>
                <w:spacing w:val="-5"/>
                <w:kern w:val="1"/>
                <w:szCs w:val="24"/>
              </w:rPr>
              <w:t>号）包含禁止和许可两类事项，对市场准入负面清单以外的行业、领域、业务等，各类市场主体皆可依法平等进入。项目不属于《市场准入负面清单（</w:t>
            </w:r>
            <w:r>
              <w:rPr>
                <w:rFonts w:ascii="Times New Roman" w:cs="Times New Roman"/>
                <w:bCs w:val="0"/>
                <w:spacing w:val="-5"/>
                <w:kern w:val="1"/>
                <w:szCs w:val="24"/>
              </w:rPr>
              <w:t>2025</w:t>
            </w:r>
            <w:r>
              <w:rPr>
                <w:rFonts w:hint="eastAsia" w:ascii="Times New Roman" w:cs="Times New Roman"/>
                <w:bCs w:val="0"/>
                <w:spacing w:val="-5"/>
                <w:kern w:val="1"/>
                <w:szCs w:val="24"/>
              </w:rPr>
              <w:t>年版）》（发改体改规〔</w:t>
            </w:r>
            <w:r>
              <w:rPr>
                <w:rFonts w:ascii="Times New Roman" w:cs="Times New Roman"/>
                <w:bCs w:val="0"/>
                <w:spacing w:val="-5"/>
                <w:kern w:val="1"/>
                <w:szCs w:val="24"/>
              </w:rPr>
              <w:t>2025</w:t>
            </w:r>
            <w:r>
              <w:rPr>
                <w:rFonts w:hint="eastAsia" w:ascii="Times New Roman" w:cs="Times New Roman"/>
                <w:bCs w:val="0"/>
                <w:spacing w:val="-5"/>
                <w:kern w:val="1"/>
                <w:szCs w:val="24"/>
              </w:rPr>
              <w:t>〕</w:t>
            </w:r>
            <w:r>
              <w:rPr>
                <w:rFonts w:ascii="Times New Roman" w:cs="Times New Roman"/>
                <w:bCs w:val="0"/>
                <w:spacing w:val="-5"/>
                <w:kern w:val="1"/>
                <w:szCs w:val="24"/>
              </w:rPr>
              <w:t>466</w:t>
            </w:r>
            <w:r>
              <w:rPr>
                <w:rFonts w:hint="eastAsia" w:ascii="Times New Roman" w:cs="Times New Roman"/>
                <w:bCs w:val="0"/>
                <w:spacing w:val="-5"/>
                <w:kern w:val="1"/>
                <w:szCs w:val="24"/>
              </w:rPr>
              <w:t>号）中的禁止准入类，本项目符合《市场准入负面清单（</w:t>
            </w:r>
            <w:r>
              <w:rPr>
                <w:rFonts w:ascii="Times New Roman" w:cs="Times New Roman"/>
                <w:bCs w:val="0"/>
                <w:spacing w:val="-5"/>
                <w:kern w:val="1"/>
                <w:szCs w:val="24"/>
              </w:rPr>
              <w:t>2025</w:t>
            </w:r>
            <w:r>
              <w:rPr>
                <w:rFonts w:hint="eastAsia" w:ascii="Times New Roman" w:cs="Times New Roman"/>
                <w:bCs w:val="0"/>
                <w:spacing w:val="-5"/>
                <w:kern w:val="1"/>
                <w:szCs w:val="24"/>
              </w:rPr>
              <w:t>年版）》的相关要求。</w:t>
            </w:r>
          </w:p>
          <w:p w14:paraId="517831FE">
            <w:pPr>
              <w:snapToGrid w:val="0"/>
              <w:spacing w:line="360" w:lineRule="auto"/>
              <w:ind w:firstLine="482" w:firstLineChars="200"/>
              <w:textAlignment w:val="baseline"/>
              <w:rPr>
                <w:sz w:val="24"/>
              </w:rPr>
            </w:pPr>
            <w:r>
              <w:rPr>
                <w:b/>
                <w:bCs/>
                <w:sz w:val="24"/>
              </w:rPr>
              <w:t>4</w:t>
            </w:r>
            <w:r>
              <w:rPr>
                <w:rFonts w:hint="eastAsia"/>
                <w:b/>
                <w:bCs/>
                <w:sz w:val="24"/>
              </w:rPr>
              <w:t>、项目用地性质相符性分析</w:t>
            </w:r>
          </w:p>
          <w:p w14:paraId="14856FEA">
            <w:pPr>
              <w:snapToGrid w:val="0"/>
              <w:spacing w:line="360" w:lineRule="auto"/>
              <w:ind w:firstLine="480" w:firstLineChars="200"/>
              <w:textAlignment w:val="baseline"/>
              <w:rPr>
                <w:sz w:val="24"/>
              </w:rPr>
            </w:pPr>
            <w:bookmarkStart w:id="0" w:name="OLE_LINK59"/>
            <w:r>
              <w:rPr>
                <w:rFonts w:hint="eastAsia"/>
                <w:sz w:val="24"/>
              </w:rPr>
              <w:t>本项目选址位于惠州市博罗智能装备产业园石湾片区内，根据博罗产业转移工业园管理委员会出具的《关于核查惠州欣城新能源有限公司</w:t>
            </w:r>
            <w:r>
              <w:rPr>
                <w:sz w:val="24"/>
              </w:rPr>
              <w:t>200MW/400MWh</w:t>
            </w:r>
            <w:r>
              <w:rPr>
                <w:rFonts w:hint="eastAsia"/>
                <w:sz w:val="24"/>
              </w:rPr>
              <w:t>独立储能电站新建项目选址用地情况的复函》（见附件</w:t>
            </w:r>
            <w:r>
              <w:rPr>
                <w:sz w:val="24"/>
              </w:rPr>
              <w:t>5</w:t>
            </w:r>
            <w:r>
              <w:rPr>
                <w:rFonts w:hint="eastAsia"/>
                <w:sz w:val="24"/>
              </w:rPr>
              <w:t>），用地性质为工业用地，同时根据《博罗县石湾镇国土空间总体规划（</w:t>
            </w:r>
            <w:r>
              <w:rPr>
                <w:sz w:val="24"/>
              </w:rPr>
              <w:t>2021-2035</w:t>
            </w:r>
            <w:r>
              <w:rPr>
                <w:rFonts w:hint="eastAsia"/>
                <w:sz w:val="24"/>
              </w:rPr>
              <w:t>年）》、《博罗智能装备产业园起步区地块控制性详细规划调整》（附图</w:t>
            </w:r>
            <w:r>
              <w:rPr>
                <w:sz w:val="24"/>
              </w:rPr>
              <w:t>4</w:t>
            </w:r>
            <w:r>
              <w:rPr>
                <w:rFonts w:hint="eastAsia"/>
                <w:sz w:val="24"/>
              </w:rPr>
              <w:t>），可知项目地块属于一类工业用地，符合土地利用规划的要求。</w:t>
            </w:r>
          </w:p>
          <w:bookmarkEnd w:id="0"/>
          <w:p w14:paraId="71FDD1AF">
            <w:pPr>
              <w:snapToGrid w:val="0"/>
              <w:spacing w:line="360" w:lineRule="auto"/>
              <w:ind w:firstLine="482" w:firstLineChars="200"/>
              <w:textAlignment w:val="baseline"/>
              <w:rPr>
                <w:b/>
                <w:bCs/>
                <w:sz w:val="24"/>
              </w:rPr>
            </w:pPr>
            <w:r>
              <w:rPr>
                <w:b/>
                <w:bCs/>
                <w:sz w:val="24"/>
              </w:rPr>
              <w:t>5</w:t>
            </w:r>
            <w:r>
              <w:rPr>
                <w:rFonts w:hint="eastAsia"/>
                <w:b/>
                <w:bCs/>
                <w:sz w:val="24"/>
              </w:rPr>
              <w:t>、与环境功能区相符性分析</w:t>
            </w:r>
            <w:r>
              <w:rPr>
                <w:b/>
                <w:bCs/>
                <w:sz w:val="24"/>
              </w:rPr>
              <w:t xml:space="preserve"> </w:t>
            </w:r>
          </w:p>
          <w:p w14:paraId="2C725551">
            <w:pPr>
              <w:snapToGrid w:val="0"/>
              <w:spacing w:line="360" w:lineRule="auto"/>
              <w:ind w:firstLine="480"/>
              <w:rPr>
                <w:rFonts w:ascii="宋体" w:hAnsi="宋体"/>
                <w:sz w:val="24"/>
              </w:rPr>
            </w:pPr>
            <w:r>
              <w:rPr>
                <w:rFonts w:hint="eastAsia" w:ascii="宋体" w:hAnsi="宋体"/>
                <w:sz w:val="24"/>
              </w:rPr>
              <w:t>◆水环境功能区划</w:t>
            </w:r>
          </w:p>
          <w:p w14:paraId="25BB54DD">
            <w:pPr>
              <w:snapToGrid w:val="0"/>
              <w:spacing w:line="360" w:lineRule="auto"/>
              <w:ind w:firstLine="480" w:firstLineChars="200"/>
              <w:textAlignment w:val="baseline"/>
              <w:rPr>
                <w:sz w:val="24"/>
              </w:rPr>
            </w:pPr>
            <w:r>
              <w:rPr>
                <w:rFonts w:hint="eastAsia"/>
                <w:sz w:val="24"/>
              </w:rPr>
              <w:t>根据《广东省人民政府关于调整惠州市部分饮用水水源保护区的批复》（粤府函〔</w:t>
            </w:r>
            <w:r>
              <w:rPr>
                <w:sz w:val="24"/>
              </w:rPr>
              <w:t>2019</w:t>
            </w:r>
            <w:r>
              <w:rPr>
                <w:rFonts w:hint="eastAsia"/>
                <w:sz w:val="24"/>
              </w:rPr>
              <w:t>〕</w:t>
            </w:r>
            <w:r>
              <w:rPr>
                <w:sz w:val="24"/>
              </w:rPr>
              <w:t>270</w:t>
            </w:r>
            <w:r>
              <w:rPr>
                <w:rFonts w:hint="eastAsia"/>
                <w:sz w:val="24"/>
              </w:rPr>
              <w:t>号）、《惠州市饮用水源保护区划调整方案》（粤府函</w:t>
            </w:r>
            <w:r>
              <w:rPr>
                <w:sz w:val="24"/>
              </w:rPr>
              <w:t>[2014]188</w:t>
            </w:r>
            <w:r>
              <w:rPr>
                <w:rFonts w:hint="eastAsia"/>
                <w:sz w:val="24"/>
              </w:rPr>
              <w:t>号）及《惠州市人民政府关于《惠州市乡镇级及以下集中式饮用水水源保护区划定（调整）方案》的批复》（惠府函</w:t>
            </w:r>
            <w:r>
              <w:rPr>
                <w:sz w:val="24"/>
              </w:rPr>
              <w:t>[2020]317</w:t>
            </w:r>
            <w:r>
              <w:rPr>
                <w:rFonts w:hint="eastAsia"/>
                <w:sz w:val="24"/>
              </w:rPr>
              <w:t>号），项目所在地不属于饮用水水源保护区。</w:t>
            </w:r>
          </w:p>
          <w:p w14:paraId="7CC7CA22">
            <w:pPr>
              <w:snapToGrid w:val="0"/>
              <w:spacing w:line="360" w:lineRule="auto"/>
              <w:ind w:firstLine="480" w:firstLineChars="200"/>
              <w:textAlignment w:val="baseline"/>
            </w:pPr>
            <w:r>
              <w:rPr>
                <w:rFonts w:hint="eastAsia"/>
                <w:sz w:val="24"/>
              </w:rPr>
              <w:t>项目无生产废水外排，主要为员工办公过程产生的生活污水，生活污水经三级化粪池预处理后排入博罗县石湾镇大牛垒生活污水处理厂处理，后排入石湾中心排渠。根据《惠州市</w:t>
            </w:r>
            <w:r>
              <w:rPr>
                <w:sz w:val="24"/>
              </w:rPr>
              <w:t>2023</w:t>
            </w:r>
            <w:r>
              <w:rPr>
                <w:rFonts w:hint="eastAsia"/>
                <w:sz w:val="24"/>
              </w:rPr>
              <w:t>年水污染防治攻坚工作方案》（惠市环</w:t>
            </w:r>
            <w:r>
              <w:rPr>
                <w:sz w:val="24"/>
              </w:rPr>
              <w:t>[2023]17</w:t>
            </w:r>
            <w:r>
              <w:rPr>
                <w:rFonts w:hint="eastAsia"/>
                <w:sz w:val="24"/>
              </w:rPr>
              <w:t>号），石湾中心排渠水质目标为《地表水环境质量标准》（</w:t>
            </w:r>
            <w:r>
              <w:rPr>
                <w:sz w:val="24"/>
              </w:rPr>
              <w:t>GB3838-2002</w:t>
            </w:r>
            <w:r>
              <w:rPr>
                <w:rFonts w:hint="eastAsia"/>
                <w:sz w:val="24"/>
              </w:rPr>
              <w:t>）Ⅴ类标准。</w:t>
            </w:r>
          </w:p>
          <w:p w14:paraId="61620BF1">
            <w:pPr>
              <w:snapToGrid w:val="0"/>
              <w:spacing w:line="360" w:lineRule="auto"/>
              <w:ind w:firstLine="480"/>
              <w:rPr>
                <w:rFonts w:ascii="宋体" w:hAnsi="宋体"/>
                <w:sz w:val="24"/>
              </w:rPr>
            </w:pPr>
            <w:r>
              <w:rPr>
                <w:rFonts w:hint="eastAsia" w:ascii="宋体" w:hAnsi="宋体"/>
                <w:sz w:val="24"/>
              </w:rPr>
              <w:t>◆大气环境功能区划</w:t>
            </w:r>
          </w:p>
          <w:p w14:paraId="208E4F83">
            <w:pPr>
              <w:snapToGrid w:val="0"/>
              <w:spacing w:line="360" w:lineRule="auto"/>
              <w:ind w:firstLine="480" w:firstLineChars="200"/>
              <w:textAlignment w:val="baseline"/>
              <w:rPr>
                <w:sz w:val="24"/>
              </w:rPr>
            </w:pPr>
            <w:r>
              <w:rPr>
                <w:rFonts w:hint="eastAsia"/>
                <w:sz w:val="24"/>
              </w:rPr>
              <w:t>根据《关于印发</w:t>
            </w:r>
            <w:r>
              <w:rPr>
                <w:sz w:val="24"/>
              </w:rPr>
              <w:t>&lt;</w:t>
            </w:r>
            <w:r>
              <w:rPr>
                <w:rFonts w:hint="eastAsia"/>
                <w:sz w:val="24"/>
              </w:rPr>
              <w:t>惠州市环境空气质量功能区划（</w:t>
            </w:r>
            <w:r>
              <w:rPr>
                <w:sz w:val="24"/>
              </w:rPr>
              <w:t>2024</w:t>
            </w:r>
            <w:r>
              <w:rPr>
                <w:rFonts w:hint="eastAsia"/>
                <w:sz w:val="24"/>
              </w:rPr>
              <w:t>年修订）</w:t>
            </w:r>
            <w:r>
              <w:rPr>
                <w:sz w:val="24"/>
              </w:rPr>
              <w:t>&gt;</w:t>
            </w:r>
            <w:r>
              <w:rPr>
                <w:rFonts w:hint="eastAsia"/>
                <w:sz w:val="24"/>
              </w:rPr>
              <w:t>的通知》（惠市环〔</w:t>
            </w:r>
            <w:r>
              <w:rPr>
                <w:sz w:val="24"/>
              </w:rPr>
              <w:t>2024</w:t>
            </w:r>
            <w:r>
              <w:rPr>
                <w:rFonts w:hint="eastAsia"/>
                <w:sz w:val="24"/>
              </w:rPr>
              <w:t>〕</w:t>
            </w:r>
            <w:r>
              <w:rPr>
                <w:sz w:val="24"/>
              </w:rPr>
              <w:t>16</w:t>
            </w:r>
            <w:r>
              <w:rPr>
                <w:rFonts w:hint="eastAsia"/>
                <w:sz w:val="24"/>
              </w:rPr>
              <w:t>号），项目所在区域为环境空气质量二类功能区，不属于环境空气质量一类功能区。</w:t>
            </w:r>
          </w:p>
          <w:p w14:paraId="344E4E60">
            <w:pPr>
              <w:snapToGrid w:val="0"/>
              <w:spacing w:line="360" w:lineRule="auto"/>
              <w:ind w:firstLine="480"/>
              <w:rPr>
                <w:rFonts w:ascii="宋体" w:hAnsi="宋体"/>
                <w:sz w:val="24"/>
              </w:rPr>
            </w:pPr>
            <w:r>
              <w:rPr>
                <w:rFonts w:hint="eastAsia" w:ascii="宋体" w:hAnsi="宋体"/>
                <w:sz w:val="24"/>
              </w:rPr>
              <w:t>◆声环境功能区划</w:t>
            </w:r>
          </w:p>
          <w:p w14:paraId="0BAB978E">
            <w:pPr>
              <w:tabs>
                <w:tab w:val="left" w:pos="1081"/>
              </w:tabs>
              <w:spacing w:line="360" w:lineRule="auto"/>
              <w:ind w:firstLine="480" w:firstLineChars="200"/>
              <w:rPr>
                <w:sz w:val="24"/>
                <w:lang w:bidi="ar"/>
              </w:rPr>
            </w:pPr>
            <w:r>
              <w:rPr>
                <w:rFonts w:hint="eastAsia"/>
                <w:sz w:val="24"/>
                <w:lang w:bidi="ar"/>
              </w:rPr>
              <w:t>项目选址范围涉及未划定声环境功能区，根据《惠州市生态环境局关于印发&lt;惠州市声环境功能区划分方案（2022年）&gt;的通知》:“（二）划分范围以外的区域执行以下标准：4．独立于村庄、集镇之外的工业、仓储集中区执行3类声环境功能区要求”。项目位于博罗智能装备产业园，属于工业集中区，因此项目所在区域执行《声环境质量标准》（GB3096-2008）3类标准，即昼间≤65dB(A)，夜间≤55dB(A)。</w:t>
            </w:r>
          </w:p>
          <w:p w14:paraId="4EAD1801">
            <w:pPr>
              <w:snapToGrid w:val="0"/>
              <w:spacing w:line="360" w:lineRule="auto"/>
              <w:ind w:firstLine="480" w:firstLineChars="200"/>
              <w:textAlignment w:val="baseline"/>
              <w:rPr>
                <w:sz w:val="24"/>
              </w:rPr>
            </w:pPr>
            <w:r>
              <w:rPr>
                <w:rFonts w:hint="eastAsia"/>
                <w:sz w:val="24"/>
              </w:rPr>
              <w:t>项目所在地为工业用地，不占用基本农业用地和林地，符合博罗县石湾镇城市建设和环境功能区规划的要求，且具有水、电等供应有保障，交通便利等条件。项目所在区域无自然保护区、风景名胜区、饮用水源保护区、生态脆弱带等生态环境敏感区，项目选址符合环境功能区划的要求。该项目废（污）水、废气、噪声和固体废物通过采取评价中提出的治理措施进行有效治理后，不会改变区域环境功能。则该项目的运营与环境功能区划相符合。因此，项目选址符合环境功能区划的要求。</w:t>
            </w:r>
          </w:p>
          <w:p w14:paraId="06B85A2D">
            <w:pPr>
              <w:snapToGrid w:val="0"/>
              <w:spacing w:line="360" w:lineRule="auto"/>
              <w:ind w:firstLine="482" w:firstLineChars="200"/>
              <w:textAlignment w:val="baseline"/>
              <w:rPr>
                <w:b/>
                <w:bCs/>
                <w:sz w:val="24"/>
              </w:rPr>
            </w:pPr>
            <w:r>
              <w:rPr>
                <w:b/>
                <w:bCs/>
                <w:sz w:val="24"/>
              </w:rPr>
              <w:t>6</w:t>
            </w:r>
            <w:r>
              <w:rPr>
                <w:rFonts w:hint="eastAsia"/>
                <w:b/>
                <w:bCs/>
                <w:sz w:val="24"/>
              </w:rPr>
              <w:t>、与《广东省人民政府关于严格限制东江流域水污染项目建设进一步做好东江水质保护工作的通知》（粤府函</w:t>
            </w:r>
            <w:r>
              <w:rPr>
                <w:b/>
                <w:bCs/>
                <w:sz w:val="24"/>
              </w:rPr>
              <w:t>[2011]339</w:t>
            </w:r>
            <w:r>
              <w:rPr>
                <w:rFonts w:hint="eastAsia"/>
                <w:b/>
                <w:bCs/>
                <w:sz w:val="24"/>
              </w:rPr>
              <w:t>号）、《广东省人民政府关于严格限制东江流域水污染项目建设进一步做好东江水质保护工作的补充通知》（粤府函〔</w:t>
            </w:r>
            <w:r>
              <w:rPr>
                <w:b/>
                <w:bCs/>
                <w:sz w:val="24"/>
              </w:rPr>
              <w:t>2013</w:t>
            </w:r>
            <w:r>
              <w:rPr>
                <w:rFonts w:hint="eastAsia"/>
                <w:b/>
                <w:bCs/>
                <w:sz w:val="24"/>
              </w:rPr>
              <w:t>〕</w:t>
            </w:r>
            <w:r>
              <w:rPr>
                <w:b/>
                <w:bCs/>
                <w:sz w:val="24"/>
              </w:rPr>
              <w:t>231</w:t>
            </w:r>
            <w:r>
              <w:rPr>
                <w:rFonts w:hint="eastAsia"/>
                <w:b/>
                <w:bCs/>
                <w:sz w:val="24"/>
              </w:rPr>
              <w:t>号）的相符性分析</w:t>
            </w:r>
          </w:p>
          <w:p w14:paraId="0AA9D552">
            <w:pPr>
              <w:snapToGrid w:val="0"/>
              <w:spacing w:line="360" w:lineRule="auto"/>
              <w:ind w:firstLine="480" w:firstLineChars="200"/>
              <w:textAlignment w:val="baseline"/>
              <w:rPr>
                <w:sz w:val="24"/>
              </w:rPr>
            </w:pPr>
            <w:r>
              <w:rPr>
                <w:sz w:val="24"/>
              </w:rPr>
              <w:t>1</w:t>
            </w:r>
            <w:r>
              <w:rPr>
                <w:rFonts w:hint="eastAsia"/>
                <w:sz w:val="24"/>
              </w:rPr>
              <w:t>）严格控制重污染项目建设，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14:paraId="592BDF45">
            <w:pPr>
              <w:snapToGrid w:val="0"/>
              <w:spacing w:line="360" w:lineRule="auto"/>
              <w:ind w:firstLine="480" w:firstLineChars="200"/>
              <w:textAlignment w:val="baseline"/>
              <w:rPr>
                <w:sz w:val="24"/>
              </w:rPr>
            </w:pPr>
            <w:r>
              <w:rPr>
                <w:sz w:val="24"/>
              </w:rPr>
              <w:t>2</w:t>
            </w:r>
            <w:r>
              <w:rPr>
                <w:rFonts w:hint="eastAsia"/>
                <w:sz w:val="24"/>
              </w:rPr>
              <w:t>）强化涉重金属污染项目管理，重金属污染防治重点区域禁止新（改、扩）建增加重金属污染排放的项目，禁止在重要生态功能区和因重金属污染导致环境质量不能稳定达标的区域建设涉重金属污染项目。</w:t>
            </w:r>
          </w:p>
          <w:p w14:paraId="4636503C">
            <w:pPr>
              <w:snapToGrid w:val="0"/>
              <w:spacing w:line="360" w:lineRule="auto"/>
              <w:ind w:firstLine="480" w:firstLineChars="200"/>
              <w:textAlignment w:val="baseline"/>
              <w:rPr>
                <w:sz w:val="24"/>
              </w:rPr>
            </w:pPr>
            <w:r>
              <w:rPr>
                <w:sz w:val="24"/>
              </w:rPr>
              <w:t>3</w:t>
            </w:r>
            <w:r>
              <w:rPr>
                <w:rFonts w:hint="eastAsia"/>
                <w:sz w:val="24"/>
              </w:rPr>
              <w:t>）严格控制矿产资源开发利用项目建设，严格控制东江流域内矿产资源开发利用项目建设，严禁在饮用水源保护区、生态严格控制区、自然保护区、重要生态功能区等环境敏感地区内规划建设矿产资源开发利用项目（矿泉水和地热项目除外）。</w:t>
            </w:r>
          </w:p>
          <w:p w14:paraId="6DBBDEBF">
            <w:pPr>
              <w:snapToGrid w:val="0"/>
              <w:spacing w:line="360" w:lineRule="auto"/>
              <w:ind w:firstLine="480" w:firstLineChars="200"/>
              <w:textAlignment w:val="baseline"/>
              <w:rPr>
                <w:sz w:val="24"/>
              </w:rPr>
            </w:pPr>
            <w:r>
              <w:rPr>
                <w:sz w:val="24"/>
              </w:rPr>
              <w:t>4</w:t>
            </w:r>
            <w:r>
              <w:rPr>
                <w:rFonts w:hint="eastAsia"/>
                <w:sz w:val="24"/>
              </w:rPr>
              <w:t>）合理布局规模化禽畜养殖项目，东江流域内建设大中型畜禽养殖场（区）要科学规划、合理布局。</w:t>
            </w:r>
          </w:p>
          <w:p w14:paraId="1B435018">
            <w:pPr>
              <w:snapToGrid w:val="0"/>
              <w:spacing w:line="360" w:lineRule="auto"/>
              <w:ind w:firstLine="480" w:firstLineChars="200"/>
              <w:textAlignment w:val="baseline"/>
              <w:rPr>
                <w:sz w:val="24"/>
              </w:rPr>
            </w:pPr>
            <w:r>
              <w:rPr>
                <w:sz w:val="24"/>
              </w:rPr>
              <w:t>5</w:t>
            </w:r>
            <w:r>
              <w:rPr>
                <w:rFonts w:hint="eastAsia"/>
                <w:sz w:val="24"/>
              </w:rPr>
              <w:t>）严格控制支流污染增量，在淡水河（含龙岗河、坪山河等支流）、石马河（含观澜河、潼湖水等支流）、紧水河、稿树下水、东江（龙溪水）等支流和东江惠州博罗段江东、榕溪沥（罗阳）、廖洞、合竹洲、永平等</w:t>
            </w:r>
            <w:r>
              <w:rPr>
                <w:sz w:val="24"/>
              </w:rPr>
              <w:t>5</w:t>
            </w:r>
            <w:r>
              <w:rPr>
                <w:rFonts w:hint="eastAsia"/>
                <w:sz w:val="24"/>
              </w:rPr>
              <w:t>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27D15102">
            <w:pPr>
              <w:snapToGrid w:val="0"/>
              <w:spacing w:line="360" w:lineRule="auto"/>
              <w:ind w:firstLine="480" w:firstLineChars="200"/>
              <w:textAlignment w:val="baseline"/>
              <w:rPr>
                <w:sz w:val="24"/>
              </w:rPr>
            </w:pPr>
            <w:r>
              <w:rPr>
                <w:rFonts w:hint="eastAsia"/>
                <w:sz w:val="24"/>
              </w:rPr>
              <w:t>符合下列条件之一的建设项目，不列入禁止建设和暂停审批范围：</w:t>
            </w:r>
          </w:p>
          <w:p w14:paraId="7B617F04">
            <w:pPr>
              <w:snapToGrid w:val="0"/>
              <w:spacing w:line="360" w:lineRule="auto"/>
              <w:ind w:firstLine="480" w:firstLineChars="200"/>
              <w:textAlignment w:val="baseline"/>
              <w:rPr>
                <w:sz w:val="24"/>
              </w:rPr>
            </w:pPr>
            <w:r>
              <w:rPr>
                <w:sz w:val="24"/>
              </w:rPr>
              <w:t>1</w:t>
            </w:r>
            <w:r>
              <w:rPr>
                <w:rFonts w:hint="eastAsia"/>
                <w:sz w:val="24"/>
              </w:rPr>
              <w:t>）建设地点位于东江流域，但不排放废水或废水不排入东江及其支流，不会对东江水质和水环境安全构成影响的项目；</w:t>
            </w:r>
          </w:p>
          <w:p w14:paraId="2EB1D421">
            <w:pPr>
              <w:snapToGrid w:val="0"/>
              <w:spacing w:line="360" w:lineRule="auto"/>
              <w:ind w:firstLine="480" w:firstLineChars="200"/>
              <w:textAlignment w:val="baseline"/>
              <w:rPr>
                <w:sz w:val="24"/>
              </w:rPr>
            </w:pPr>
            <w:r>
              <w:rPr>
                <w:sz w:val="24"/>
              </w:rPr>
              <w:t>2</w:t>
            </w:r>
            <w:r>
              <w:rPr>
                <w:rFonts w:hint="eastAsia"/>
                <w:sz w:val="24"/>
              </w:rPr>
              <w:t>）通过提高清洁生产和污染防治水平，能够做到增产不增污、增产减污、技改减污的改（扩）建项目及同流域内迁建减污项目；</w:t>
            </w:r>
          </w:p>
          <w:p w14:paraId="48BA78ED">
            <w:pPr>
              <w:snapToGrid w:val="0"/>
              <w:spacing w:line="360" w:lineRule="auto"/>
              <w:ind w:firstLine="480" w:firstLineChars="200"/>
              <w:textAlignment w:val="baseline"/>
              <w:rPr>
                <w:sz w:val="24"/>
              </w:rPr>
            </w:pPr>
            <w:r>
              <w:rPr>
                <w:sz w:val="24"/>
              </w:rPr>
              <w:t>3</w:t>
            </w:r>
            <w:r>
              <w:rPr>
                <w:rFonts w:hint="eastAsia"/>
                <w:sz w:val="24"/>
              </w:rPr>
              <w:t>）流域内拟迁入重污染行业统一规划、统一定点基地，且符合基地规划环评审查意见的建设项目。</w:t>
            </w:r>
          </w:p>
          <w:p w14:paraId="74E3E8F6">
            <w:pPr>
              <w:snapToGrid w:val="0"/>
              <w:spacing w:line="360" w:lineRule="auto"/>
              <w:ind w:firstLine="480" w:firstLineChars="200"/>
              <w:textAlignment w:val="baseline"/>
              <w:rPr>
                <w:sz w:val="24"/>
              </w:rPr>
            </w:pPr>
            <w:r>
              <w:rPr>
                <w:rFonts w:hint="eastAsia"/>
                <w:sz w:val="24"/>
              </w:rPr>
              <w:t>根据《广东省人民政府关于严格限制东江流域水污染项目建设进一步做好东江水质保护工作的补充通知》（粤府函〔</w:t>
            </w:r>
            <w:r>
              <w:rPr>
                <w:sz w:val="24"/>
              </w:rPr>
              <w:t>2013</w:t>
            </w:r>
            <w:r>
              <w:rPr>
                <w:rFonts w:hint="eastAsia"/>
                <w:sz w:val="24"/>
              </w:rPr>
              <w:t>〕</w:t>
            </w:r>
            <w:r>
              <w:rPr>
                <w:sz w:val="24"/>
              </w:rPr>
              <w:t>231</w:t>
            </w:r>
            <w:r>
              <w:rPr>
                <w:rFonts w:hint="eastAsia"/>
                <w:sz w:val="24"/>
              </w:rPr>
              <w:t>号），建设地点位于东江流域，但不排放废水或废水不排入东江及其支流，不会对东江水质和水环境安全构成影响的项目不列入禁止建设和暂停审批范围。</w:t>
            </w:r>
          </w:p>
          <w:p w14:paraId="467E346F">
            <w:pPr>
              <w:snapToGrid w:val="0"/>
              <w:spacing w:line="360" w:lineRule="auto"/>
              <w:ind w:firstLine="482" w:firstLineChars="200"/>
              <w:textAlignment w:val="baseline"/>
              <w:rPr>
                <w:sz w:val="24"/>
              </w:rPr>
            </w:pPr>
            <w:r>
              <w:rPr>
                <w:rFonts w:hint="eastAsia"/>
                <w:b/>
                <w:bCs/>
                <w:sz w:val="24"/>
              </w:rPr>
              <w:t>相符性分析：</w:t>
            </w:r>
            <w:r>
              <w:rPr>
                <w:rFonts w:hint="eastAsia"/>
                <w:sz w:val="24"/>
              </w:rPr>
              <w:t>本项目属于储能电站建设项目，不属于制浆造纸、电镀（含配套电镀和线路板）、印染、制革、发酵酿造、规模化养殖和危险废物综合利用或处置等重污染项目，生产工艺中不涉及电氧化、化工和含酸洗、磷化、表面处理工艺以及其他新增超标或超总量污染物的项目。项目无生产废水排放；项目生活污水经三级化粪池处理达到广东省《水污染物排放限值》（</w:t>
            </w:r>
            <w:r>
              <w:rPr>
                <w:sz w:val="24"/>
              </w:rPr>
              <w:t>DB44/26-2001</w:t>
            </w:r>
            <w:r>
              <w:rPr>
                <w:rFonts w:hint="eastAsia"/>
                <w:sz w:val="24"/>
              </w:rPr>
              <w:t>）第二时段三级标准后排入市政污水管网，纳入博罗县石湾镇大牛垒生活污水处理厂处理，尾水排放达标后排入石湾中心排渠。项目不属于新增超标或超总量污染物的项目，不会对东江水质和水环境安全构成影响。因此，项目选址符合《广东省人民政府关于严格限制东江流域水污染项目建设进一步做好东江水质保护工作的通知》（粤府函</w:t>
            </w:r>
            <w:r>
              <w:rPr>
                <w:sz w:val="24"/>
              </w:rPr>
              <w:t>[2011]339</w:t>
            </w:r>
            <w:r>
              <w:rPr>
                <w:rFonts w:hint="eastAsia"/>
                <w:sz w:val="24"/>
              </w:rPr>
              <w:t>号）、《广东省人民政府关于严格限制东江流域水污染项目建设进一步做好东江水质保护工作的补充通知》（粤府函〔</w:t>
            </w:r>
            <w:r>
              <w:rPr>
                <w:sz w:val="24"/>
              </w:rPr>
              <w:t>2013</w:t>
            </w:r>
            <w:r>
              <w:rPr>
                <w:rFonts w:hint="eastAsia"/>
                <w:sz w:val="24"/>
              </w:rPr>
              <w:t>〕</w:t>
            </w:r>
            <w:r>
              <w:rPr>
                <w:sz w:val="24"/>
              </w:rPr>
              <w:t>231</w:t>
            </w:r>
            <w:r>
              <w:rPr>
                <w:rFonts w:hint="eastAsia"/>
                <w:sz w:val="24"/>
              </w:rPr>
              <w:t>号）的政策要求。</w:t>
            </w:r>
          </w:p>
          <w:p w14:paraId="2648DC5B">
            <w:pPr>
              <w:snapToGrid w:val="0"/>
              <w:spacing w:line="360" w:lineRule="auto"/>
              <w:ind w:firstLine="482" w:firstLineChars="200"/>
              <w:textAlignment w:val="baseline"/>
              <w:rPr>
                <w:b/>
                <w:bCs/>
                <w:sz w:val="24"/>
              </w:rPr>
            </w:pPr>
            <w:r>
              <w:rPr>
                <w:b/>
                <w:bCs/>
                <w:sz w:val="24"/>
              </w:rPr>
              <w:t>7</w:t>
            </w:r>
            <w:r>
              <w:rPr>
                <w:rFonts w:hint="eastAsia"/>
                <w:b/>
                <w:bCs/>
                <w:sz w:val="24"/>
              </w:rPr>
              <w:t>、与《广东省水污染防治条例》（</w:t>
            </w:r>
            <w:r>
              <w:rPr>
                <w:b/>
                <w:bCs/>
                <w:sz w:val="24"/>
              </w:rPr>
              <w:t>2021</w:t>
            </w:r>
            <w:r>
              <w:rPr>
                <w:rFonts w:hint="eastAsia"/>
                <w:b/>
                <w:bCs/>
                <w:sz w:val="24"/>
              </w:rPr>
              <w:t>年</w:t>
            </w:r>
            <w:r>
              <w:rPr>
                <w:b/>
                <w:bCs/>
                <w:sz w:val="24"/>
              </w:rPr>
              <w:t>1</w:t>
            </w:r>
            <w:r>
              <w:rPr>
                <w:rFonts w:hint="eastAsia"/>
                <w:b/>
                <w:bCs/>
                <w:sz w:val="24"/>
              </w:rPr>
              <w:t>月</w:t>
            </w:r>
            <w:r>
              <w:rPr>
                <w:b/>
                <w:bCs/>
                <w:sz w:val="24"/>
              </w:rPr>
              <w:t>1</w:t>
            </w:r>
            <w:r>
              <w:rPr>
                <w:rFonts w:hint="eastAsia"/>
                <w:b/>
                <w:bCs/>
                <w:sz w:val="24"/>
              </w:rPr>
              <w:t>日起施行）的相符性分析</w:t>
            </w:r>
          </w:p>
          <w:p w14:paraId="7E4F19CE">
            <w:pPr>
              <w:snapToGrid w:val="0"/>
              <w:spacing w:line="360" w:lineRule="auto"/>
              <w:ind w:firstLine="480" w:firstLineChars="200"/>
              <w:textAlignment w:val="baseline"/>
              <w:rPr>
                <w:sz w:val="24"/>
              </w:rPr>
            </w:pPr>
            <w:r>
              <w:rPr>
                <w:rFonts w:hint="eastAsia"/>
                <w:sz w:val="24"/>
              </w:rPr>
              <w:t>根据《广东省水污染防治条例》：</w:t>
            </w:r>
          </w:p>
          <w:p w14:paraId="1926D77B">
            <w:pPr>
              <w:snapToGrid w:val="0"/>
              <w:spacing w:line="360" w:lineRule="auto"/>
              <w:ind w:firstLine="480" w:firstLineChars="200"/>
              <w:textAlignment w:val="baseline"/>
              <w:rPr>
                <w:sz w:val="24"/>
              </w:rPr>
            </w:pPr>
            <w:r>
              <w:rPr>
                <w:rFonts w:hint="eastAsia"/>
                <w:sz w:val="24"/>
              </w:rPr>
              <w:t>第十七条：新建、改建、扩建直接或者间接向水体排放污染物的建设项目和其他水上设施，应当符合生态环境准入清单要求，并依法进行环境影响评价。</w:t>
            </w:r>
            <w:r>
              <w:rPr>
                <w:sz w:val="24"/>
              </w:rPr>
              <w:t xml:space="preserve"> </w:t>
            </w:r>
          </w:p>
          <w:p w14:paraId="1351F04C">
            <w:pPr>
              <w:snapToGrid w:val="0"/>
              <w:spacing w:line="360" w:lineRule="auto"/>
              <w:ind w:firstLine="480" w:firstLineChars="200"/>
              <w:textAlignment w:val="baseline"/>
              <w:rPr>
                <w:sz w:val="24"/>
              </w:rPr>
            </w:pPr>
            <w:r>
              <w:rPr>
                <w:rFonts w:hint="eastAsia"/>
                <w:sz w:val="24"/>
              </w:rPr>
              <w:t>第二十二条：排污单位应当按照经批准或者备案的环境影响评价文件要求建设水污染防治设施。水污染防治设施应当与主体工程同时设计、同时施工、同时投入使用。</w:t>
            </w:r>
          </w:p>
          <w:p w14:paraId="1B12A393">
            <w:pPr>
              <w:snapToGrid w:val="0"/>
              <w:spacing w:line="360" w:lineRule="auto"/>
              <w:ind w:firstLine="480" w:firstLineChars="200"/>
              <w:textAlignment w:val="baseline"/>
              <w:rPr>
                <w:sz w:val="24"/>
              </w:rPr>
            </w:pPr>
            <w:r>
              <w:rPr>
                <w:rFonts w:hint="eastAsia"/>
                <w:sz w:val="24"/>
              </w:rPr>
              <w:t>第二十八条：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14:paraId="20FE21EF">
            <w:pPr>
              <w:snapToGrid w:val="0"/>
              <w:spacing w:line="360" w:lineRule="auto"/>
              <w:ind w:firstLine="480" w:firstLineChars="200"/>
              <w:textAlignment w:val="baseline"/>
              <w:rPr>
                <w:sz w:val="24"/>
              </w:rPr>
            </w:pPr>
            <w:r>
              <w:rPr>
                <w:rFonts w:hint="eastAsia"/>
                <w:sz w:val="24"/>
              </w:rPr>
              <w:t>第四十三条：在饮用水水源保护区内禁止下列行为：</w:t>
            </w:r>
          </w:p>
          <w:p w14:paraId="57993626">
            <w:pPr>
              <w:snapToGrid w:val="0"/>
              <w:spacing w:line="360" w:lineRule="auto"/>
              <w:ind w:firstLine="480" w:firstLineChars="200"/>
              <w:textAlignment w:val="baseline"/>
              <w:rPr>
                <w:sz w:val="24"/>
              </w:rPr>
            </w:pPr>
            <w:r>
              <w:rPr>
                <w:rFonts w:hint="eastAsia"/>
                <w:sz w:val="24"/>
              </w:rPr>
              <w:t>（一）设置排污口；（二）设置油类及其他有毒有害物品的储存罐、仓库、堆栈和废弃物回收场、加工场；（三）排放、倾倒、堆放、处置剧毒物品、放射性物质以及油类、酸碱类物质、工业废渣、生活垃圾、医疗废物及其他废弃物；（四）从事船舶制造、修理、拆解作业；（五）利用码头等设施或者船舶装卸油类、垃圾、粪便、煤、有毒有害物品；（六）利用船舶运输剧毒物品、危险废物以及国家规定禁止运输的其他危险化学品；（七）运输剧毒物品的车辆通行；（八）其他污染饮用水水源的行为。除前款规定外，饮用水水源一级保护区内还不得停泊与保护水源无关的船舶、木排、竹排，不得从事网箱养殖、旅游、游泳、垂钓、放养畜禽活动或者其他可能污染饮用水水体的活动。在饮用水水源二级保护区内从事网箱养殖、旅游等活动的，应当按照规定采取措施，防止污染饮用水水体。</w:t>
            </w:r>
          </w:p>
          <w:p w14:paraId="3C8140CE">
            <w:pPr>
              <w:pStyle w:val="147"/>
              <w:spacing w:line="360" w:lineRule="auto"/>
              <w:ind w:firstLine="480"/>
              <w:rPr>
                <w:rFonts w:cs="Times New Roman" w:eastAsiaTheme="minorEastAsia"/>
                <w:sz w:val="24"/>
                <w:szCs w:val="24"/>
                <w:lang w:eastAsia="zh-CN"/>
              </w:rPr>
            </w:pPr>
            <w:r>
              <w:rPr>
                <w:rFonts w:hint="eastAsia" w:cs="Times New Roman" w:eastAsiaTheme="minorEastAsia"/>
                <w:sz w:val="24"/>
                <w:szCs w:val="24"/>
                <w:lang w:eastAsia="zh-CN"/>
              </w:rPr>
              <w:t>第四十四条：禁止在饮用水水源一级保护区内新建、改建、扩建与供水设施和保护水源无关的建设项目；已建成的与供水设施和保护水源无关的建设项目由县级以上人民政府责令拆除或者关闭。</w:t>
            </w:r>
          </w:p>
          <w:p w14:paraId="4A2FE5A6">
            <w:pPr>
              <w:snapToGrid w:val="0"/>
              <w:spacing w:line="360" w:lineRule="auto"/>
              <w:ind w:firstLine="480" w:firstLineChars="200"/>
              <w:textAlignment w:val="baseline"/>
              <w:rPr>
                <w:rFonts w:eastAsiaTheme="minorEastAsia"/>
                <w:sz w:val="24"/>
              </w:rPr>
            </w:pPr>
            <w:r>
              <w:rPr>
                <w:rFonts w:hint="eastAsia" w:eastAsiaTheme="minorEastAsia"/>
                <w:sz w:val="24"/>
              </w:rPr>
              <w:t>禁止在饮用水水源二级保护区内新建、改建、扩建排放污染物的建设项目。</w:t>
            </w:r>
          </w:p>
          <w:p w14:paraId="7E968E97">
            <w:pPr>
              <w:pStyle w:val="147"/>
              <w:spacing w:line="360" w:lineRule="auto"/>
              <w:ind w:firstLine="480"/>
              <w:rPr>
                <w:rFonts w:cs="Times New Roman" w:eastAsiaTheme="minorEastAsia"/>
                <w:sz w:val="24"/>
                <w:szCs w:val="24"/>
                <w:lang w:eastAsia="zh-CN"/>
              </w:rPr>
            </w:pPr>
            <w:r>
              <w:rPr>
                <w:rFonts w:hint="eastAsia" w:cs="Times New Roman" w:eastAsiaTheme="minorEastAsia"/>
                <w:sz w:val="24"/>
                <w:szCs w:val="24"/>
                <w:lang w:eastAsia="zh-CN"/>
              </w:rPr>
              <w:t>第五十条新建、改建、扩建的项目应当符合国家产业政策规定。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北江流域实行重金属污染物排放总量控制，严格控制新建涉重金属排放的项目，新建、改建、扩建的项目严格实行重金属等特征污染物排放减量置换。</w:t>
            </w:r>
          </w:p>
          <w:p w14:paraId="092EF9B8">
            <w:pPr>
              <w:pStyle w:val="147"/>
              <w:spacing w:line="360" w:lineRule="auto"/>
              <w:ind w:firstLine="482"/>
              <w:rPr>
                <w:rFonts w:cs="Times New Roman" w:eastAsiaTheme="minorEastAsia"/>
                <w:sz w:val="24"/>
                <w:szCs w:val="24"/>
                <w:lang w:eastAsia="zh-CN"/>
              </w:rPr>
            </w:pPr>
            <w:r>
              <w:rPr>
                <w:rFonts w:hint="eastAsia" w:cs="Times New Roman" w:eastAsiaTheme="minorEastAsia"/>
                <w:b/>
                <w:bCs/>
                <w:sz w:val="24"/>
                <w:szCs w:val="24"/>
                <w:lang w:eastAsia="zh-CN"/>
              </w:rPr>
              <w:t>相符性分析：</w:t>
            </w:r>
            <w:r>
              <w:rPr>
                <w:rFonts w:hint="eastAsia" w:cs="Times New Roman" w:eastAsiaTheme="minorEastAsia"/>
                <w:sz w:val="24"/>
                <w:szCs w:val="24"/>
                <w:lang w:eastAsia="zh-CN"/>
              </w:rPr>
              <w:t>项目主要为</w:t>
            </w:r>
            <w:r>
              <w:rPr>
                <w:rFonts w:hint="eastAsia"/>
                <w:sz w:val="24"/>
              </w:rPr>
              <w:t>储能电站建设项目</w:t>
            </w:r>
            <w:bookmarkStart w:id="1" w:name="OLE_LINK29"/>
            <w:r>
              <w:rPr>
                <w:rFonts w:hint="eastAsia" w:cs="Times New Roman" w:eastAsiaTheme="minorEastAsia"/>
                <w:sz w:val="24"/>
                <w:szCs w:val="24"/>
                <w:lang w:eastAsia="zh-CN"/>
              </w:rPr>
              <w:t>，</w:t>
            </w:r>
            <w:bookmarkEnd w:id="1"/>
            <w:r>
              <w:rPr>
                <w:rFonts w:hint="eastAsia" w:cs="Times New Roman" w:eastAsiaTheme="minorEastAsia"/>
                <w:sz w:val="24"/>
                <w:szCs w:val="24"/>
                <w:lang w:eastAsia="zh-CN"/>
              </w:rPr>
              <w:t>无生产废水排放，生活污水经三级化粪池处理后排入博罗县石湾镇大牛垒生活污水处理厂处理后排放。本项目不属于以上禁批或限批行业，不在饮用水源保护区范围内。因此，项目与《广东省水污染防治条例》（</w:t>
            </w:r>
            <w:r>
              <w:rPr>
                <w:rFonts w:cs="Times New Roman" w:eastAsiaTheme="minorEastAsia"/>
                <w:sz w:val="24"/>
                <w:szCs w:val="24"/>
                <w:lang w:eastAsia="zh-CN"/>
              </w:rPr>
              <w:t>2021</w:t>
            </w:r>
            <w:r>
              <w:rPr>
                <w:rFonts w:hint="eastAsia" w:cs="Times New Roman" w:eastAsiaTheme="minorEastAsia"/>
                <w:sz w:val="24"/>
                <w:szCs w:val="24"/>
                <w:lang w:eastAsia="zh-CN"/>
              </w:rPr>
              <w:t>年</w:t>
            </w:r>
            <w:r>
              <w:rPr>
                <w:rFonts w:cs="Times New Roman" w:eastAsiaTheme="minorEastAsia"/>
                <w:sz w:val="24"/>
                <w:szCs w:val="24"/>
                <w:lang w:eastAsia="zh-CN"/>
              </w:rPr>
              <w:t>1</w:t>
            </w:r>
            <w:r>
              <w:rPr>
                <w:rFonts w:hint="eastAsia" w:cs="Times New Roman" w:eastAsiaTheme="minorEastAsia"/>
                <w:sz w:val="24"/>
                <w:szCs w:val="24"/>
                <w:lang w:eastAsia="zh-CN"/>
              </w:rPr>
              <w:t>月</w:t>
            </w:r>
            <w:r>
              <w:rPr>
                <w:rFonts w:cs="Times New Roman" w:eastAsiaTheme="minorEastAsia"/>
                <w:sz w:val="24"/>
                <w:szCs w:val="24"/>
                <w:lang w:eastAsia="zh-CN"/>
              </w:rPr>
              <w:t>1</w:t>
            </w:r>
            <w:r>
              <w:rPr>
                <w:rFonts w:hint="eastAsia" w:cs="Times New Roman" w:eastAsiaTheme="minorEastAsia"/>
                <w:sz w:val="24"/>
                <w:szCs w:val="24"/>
                <w:lang w:eastAsia="zh-CN"/>
              </w:rPr>
              <w:t>日起施行）相符。</w:t>
            </w:r>
          </w:p>
          <w:p w14:paraId="08234ED7">
            <w:pPr>
              <w:pStyle w:val="10"/>
              <w:ind w:firstLine="482"/>
              <w:rPr>
                <w:rFonts w:eastAsiaTheme="minorEastAsia"/>
                <w:b/>
                <w:bCs/>
                <w:kern w:val="1"/>
                <w:szCs w:val="24"/>
              </w:rPr>
            </w:pPr>
            <w:r>
              <w:rPr>
                <w:rFonts w:eastAsiaTheme="minorEastAsia"/>
                <w:b/>
                <w:bCs/>
                <w:kern w:val="1"/>
                <w:szCs w:val="24"/>
              </w:rPr>
              <w:t>8</w:t>
            </w:r>
            <w:r>
              <w:rPr>
                <w:rFonts w:hint="eastAsia" w:eastAsiaTheme="minorEastAsia"/>
                <w:b/>
                <w:bCs/>
                <w:kern w:val="1"/>
                <w:szCs w:val="24"/>
              </w:rPr>
              <w:t>、与《广东省气污染防治条例》相符性分析</w:t>
            </w:r>
          </w:p>
          <w:p w14:paraId="67D4254E">
            <w:pPr>
              <w:spacing w:line="360" w:lineRule="auto"/>
              <w:ind w:firstLine="480" w:firstLineChars="200"/>
              <w:rPr>
                <w:rFonts w:eastAsiaTheme="minorEastAsia"/>
                <w:kern w:val="1"/>
                <w:sz w:val="24"/>
              </w:rPr>
            </w:pPr>
            <w:r>
              <w:rPr>
                <w:rFonts w:hint="eastAsia" w:eastAsiaTheme="minorEastAsia"/>
                <w:kern w:val="1"/>
                <w:sz w:val="24"/>
              </w:rPr>
              <w:t>第十三条：新建、改建、扩建新增排放重点大气污染物的建设项目，建设单位应当在报批环境影响评价文件前按照规定向生态环境主管部门申请取得重点大气污染物排放总量控制指标。</w:t>
            </w:r>
          </w:p>
          <w:p w14:paraId="46482056">
            <w:pPr>
              <w:spacing w:line="360" w:lineRule="auto"/>
              <w:ind w:firstLine="480" w:firstLineChars="200"/>
              <w:rPr>
                <w:rFonts w:eastAsiaTheme="minorEastAsia"/>
                <w:kern w:val="1"/>
                <w:sz w:val="24"/>
              </w:rPr>
            </w:pPr>
            <w:r>
              <w:rPr>
                <w:rFonts w:hint="eastAsia" w:eastAsiaTheme="minorEastAsia"/>
                <w:kern w:val="1"/>
                <w:sz w:val="24"/>
              </w:rPr>
              <w:t>生态环境主管部门按照等量或者减量替代的原则核定重点大气污染物排放总量控制指标。</w:t>
            </w:r>
          </w:p>
          <w:p w14:paraId="75A95ACF">
            <w:pPr>
              <w:spacing w:line="360" w:lineRule="auto"/>
              <w:ind w:firstLine="480" w:firstLineChars="200"/>
              <w:rPr>
                <w:rFonts w:eastAsiaTheme="minorEastAsia"/>
                <w:kern w:val="1"/>
                <w:sz w:val="24"/>
              </w:rPr>
            </w:pPr>
            <w:r>
              <w:rPr>
                <w:rFonts w:hint="eastAsia" w:eastAsiaTheme="minorEastAsia"/>
                <w:kern w:val="1"/>
                <w:sz w:val="24"/>
              </w:rPr>
              <w:t>新增重点大气污染物排放总量控制指标可以通过实施工程治理减排、结构调整减排项目或者排污权交易等方式取得。</w:t>
            </w:r>
          </w:p>
          <w:p w14:paraId="3A4B46B6">
            <w:pPr>
              <w:spacing w:line="360" w:lineRule="auto"/>
              <w:ind w:firstLine="480" w:firstLineChars="200"/>
              <w:rPr>
                <w:rFonts w:eastAsiaTheme="minorEastAsia"/>
                <w:kern w:val="1"/>
                <w:sz w:val="24"/>
              </w:rPr>
            </w:pPr>
            <w:r>
              <w:rPr>
                <w:rFonts w:hint="eastAsia" w:eastAsiaTheme="minorEastAsia"/>
                <w:kern w:val="1"/>
                <w:sz w:val="24"/>
              </w:rPr>
              <w:t>第十七条：珠江三角洲区域禁止新建、扩建燃煤燃油火电机组或者企业燃煤燃油自备电站。</w:t>
            </w:r>
          </w:p>
          <w:p w14:paraId="1992BBF6">
            <w:pPr>
              <w:spacing w:line="360" w:lineRule="auto"/>
              <w:ind w:firstLine="480" w:firstLineChars="200"/>
              <w:rPr>
                <w:rFonts w:eastAsiaTheme="minorEastAsia"/>
                <w:kern w:val="1"/>
                <w:sz w:val="24"/>
              </w:rPr>
            </w:pPr>
            <w:r>
              <w:rPr>
                <w:rFonts w:hint="eastAsia" w:eastAsiaTheme="minorEastAsia"/>
                <w:kern w:val="1"/>
                <w:sz w:val="24"/>
              </w:rPr>
              <w:t>珠江三角洲区域禁止新建、扩建国家规划外的钢铁、原油加工、乙烯生产、造纸、水泥、平板玻璃、除特种陶瓷以外的陶瓷、有色金属冶炼等大气重污染项目......</w:t>
            </w:r>
          </w:p>
          <w:p w14:paraId="67083576">
            <w:pPr>
              <w:spacing w:line="360" w:lineRule="auto"/>
              <w:ind w:firstLine="480" w:firstLineChars="200"/>
              <w:rPr>
                <w:rFonts w:eastAsiaTheme="minorEastAsia"/>
                <w:kern w:val="1"/>
                <w:sz w:val="24"/>
              </w:rPr>
            </w:pPr>
            <w:r>
              <w:rPr>
                <w:rFonts w:hint="eastAsia" w:eastAsiaTheme="minorEastAsia"/>
                <w:kern w:val="1"/>
                <w:sz w:val="24"/>
              </w:rPr>
              <w:t>第二十六条：新建、改建、扩建排放挥发性有机物的建设项目，应当使用污染防治先进可行技术。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14:paraId="512DF7E3">
            <w:pPr>
              <w:spacing w:line="360" w:lineRule="auto"/>
              <w:ind w:firstLine="480" w:firstLineChars="200"/>
              <w:rPr>
                <w:rFonts w:eastAsiaTheme="minorEastAsia"/>
                <w:kern w:val="1"/>
                <w:sz w:val="24"/>
              </w:rPr>
            </w:pPr>
            <w:r>
              <w:rPr>
                <w:rFonts w:hint="eastAsia" w:eastAsiaTheme="minorEastAsia"/>
                <w:kern w:val="1"/>
                <w:sz w:val="24"/>
              </w:rPr>
              <w:t>（一）石油、化工、煤炭加工与转化等含挥发性有机物原料的生产；</w:t>
            </w:r>
          </w:p>
          <w:p w14:paraId="16FD35C0">
            <w:pPr>
              <w:spacing w:line="360" w:lineRule="auto"/>
              <w:ind w:firstLine="480" w:firstLineChars="200"/>
              <w:rPr>
                <w:rFonts w:eastAsiaTheme="minorEastAsia"/>
                <w:kern w:val="1"/>
                <w:sz w:val="24"/>
              </w:rPr>
            </w:pPr>
            <w:r>
              <w:rPr>
                <w:rFonts w:hint="eastAsia" w:eastAsiaTheme="minorEastAsia"/>
                <w:kern w:val="1"/>
                <w:sz w:val="24"/>
              </w:rPr>
              <w:t>（二）燃油、溶剂的储存、运输和销售；</w:t>
            </w:r>
          </w:p>
          <w:p w14:paraId="79548069">
            <w:pPr>
              <w:spacing w:line="360" w:lineRule="auto"/>
              <w:ind w:firstLine="480" w:firstLineChars="200"/>
              <w:rPr>
                <w:rFonts w:eastAsiaTheme="minorEastAsia"/>
                <w:kern w:val="1"/>
                <w:sz w:val="24"/>
              </w:rPr>
            </w:pPr>
            <w:r>
              <w:rPr>
                <w:rFonts w:hint="eastAsia" w:eastAsiaTheme="minorEastAsia"/>
                <w:kern w:val="1"/>
                <w:sz w:val="24"/>
              </w:rPr>
              <w:t>（三）涂料、油墨、胶粘剂、农药等以挥发性有机物为原料的生产；</w:t>
            </w:r>
          </w:p>
          <w:p w14:paraId="438A8BE3">
            <w:pPr>
              <w:spacing w:line="360" w:lineRule="auto"/>
              <w:ind w:firstLine="480" w:firstLineChars="200"/>
              <w:rPr>
                <w:rFonts w:eastAsiaTheme="minorEastAsia"/>
                <w:kern w:val="1"/>
                <w:sz w:val="24"/>
              </w:rPr>
            </w:pPr>
            <w:r>
              <w:rPr>
                <w:rFonts w:hint="eastAsia" w:eastAsiaTheme="minorEastAsia"/>
                <w:kern w:val="1"/>
                <w:sz w:val="24"/>
              </w:rPr>
              <w:t>（四）涂装、印刷、粘合、工业清洗等使用含挥发性有机物产品的生产活动；</w:t>
            </w:r>
          </w:p>
          <w:p w14:paraId="08DF4FFB">
            <w:pPr>
              <w:spacing w:line="360" w:lineRule="auto"/>
              <w:ind w:firstLine="480" w:firstLineChars="200"/>
              <w:rPr>
                <w:rFonts w:eastAsiaTheme="minorEastAsia"/>
                <w:kern w:val="1"/>
                <w:sz w:val="24"/>
              </w:rPr>
            </w:pPr>
            <w:r>
              <w:rPr>
                <w:rFonts w:hint="eastAsia" w:eastAsiaTheme="minorEastAsia"/>
                <w:kern w:val="1"/>
                <w:sz w:val="24"/>
              </w:rPr>
              <w:t>（五）其他产生挥发性有机物的生产和服务活动......</w:t>
            </w:r>
          </w:p>
          <w:p w14:paraId="127F2E46">
            <w:pPr>
              <w:spacing w:line="360" w:lineRule="auto"/>
              <w:ind w:firstLine="482" w:firstLineChars="200"/>
              <w:rPr>
                <w:sz w:val="24"/>
              </w:rPr>
            </w:pPr>
            <w:r>
              <w:rPr>
                <w:rFonts w:hint="eastAsia" w:eastAsiaTheme="minorEastAsia"/>
                <w:b/>
                <w:kern w:val="1"/>
                <w:sz w:val="24"/>
              </w:rPr>
              <w:t>相符性分析：</w:t>
            </w:r>
            <w:r>
              <w:rPr>
                <w:rFonts w:hint="eastAsia" w:eastAsiaTheme="minorEastAsia"/>
                <w:kern w:val="1"/>
                <w:sz w:val="24"/>
              </w:rPr>
              <w:t>项目无废气总量要求；项目不属于以上禁止类项目；项目无生产废气产生。因此，项目符合《广东省大气污染防治条例》的相关要求。</w:t>
            </w:r>
          </w:p>
          <w:p w14:paraId="39EA8F90">
            <w:pPr>
              <w:pStyle w:val="10"/>
              <w:ind w:firstLine="482"/>
              <w:rPr>
                <w:rFonts w:eastAsiaTheme="minorEastAsia"/>
                <w:b/>
                <w:bCs/>
                <w:kern w:val="1"/>
                <w:szCs w:val="24"/>
              </w:rPr>
            </w:pPr>
            <w:r>
              <w:rPr>
                <w:rFonts w:eastAsiaTheme="minorEastAsia"/>
                <w:b/>
                <w:bCs/>
                <w:kern w:val="1"/>
                <w:szCs w:val="24"/>
              </w:rPr>
              <w:t>9</w:t>
            </w:r>
            <w:r>
              <w:rPr>
                <w:rFonts w:hint="eastAsia" w:eastAsiaTheme="minorEastAsia"/>
                <w:b/>
                <w:bCs/>
                <w:kern w:val="1"/>
                <w:szCs w:val="24"/>
              </w:rPr>
              <w:t>、与《广东省能源发展</w:t>
            </w:r>
            <w:r>
              <w:rPr>
                <w:rFonts w:eastAsiaTheme="minorEastAsia"/>
                <w:b/>
                <w:bCs/>
                <w:kern w:val="1"/>
                <w:szCs w:val="24"/>
              </w:rPr>
              <w:t>“</w:t>
            </w:r>
            <w:r>
              <w:rPr>
                <w:rFonts w:hint="eastAsia" w:eastAsiaTheme="minorEastAsia"/>
                <w:b/>
                <w:bCs/>
                <w:kern w:val="1"/>
                <w:szCs w:val="24"/>
              </w:rPr>
              <w:t>十四五</w:t>
            </w:r>
            <w:r>
              <w:rPr>
                <w:rFonts w:eastAsiaTheme="minorEastAsia"/>
                <w:b/>
                <w:bCs/>
                <w:kern w:val="1"/>
                <w:szCs w:val="24"/>
              </w:rPr>
              <w:t>”</w:t>
            </w:r>
            <w:r>
              <w:rPr>
                <w:rFonts w:hint="eastAsia" w:eastAsiaTheme="minorEastAsia"/>
                <w:b/>
                <w:bCs/>
                <w:kern w:val="1"/>
                <w:szCs w:val="24"/>
              </w:rPr>
              <w:t>规划》相符性分析</w:t>
            </w:r>
          </w:p>
          <w:p w14:paraId="1D39A31A">
            <w:pPr>
              <w:pStyle w:val="10"/>
              <w:rPr>
                <w:rFonts w:eastAsiaTheme="minorEastAsia"/>
                <w:kern w:val="1"/>
                <w:szCs w:val="24"/>
              </w:rPr>
            </w:pPr>
            <w:r>
              <w:rPr>
                <w:rFonts w:hint="eastAsia" w:eastAsiaTheme="minorEastAsia"/>
                <w:kern w:val="1"/>
                <w:szCs w:val="24"/>
              </w:rPr>
              <w:t>培育能源消费新业态、新模式。加快推进源网荷储一体化，优先利用可再生能源，充分发挥负荷侧调节能力，推动能源就地清洁生产和就近消纳，提高源网荷储协调互济能力，促进能源清洁高效利用。在城市商业区、综合体、居民区依托光伏发电、微电网和充电基础设施等，开展园区（居民区）级源网荷储一体化建设。在工业负荷大、新能源条件好的地区，支持分布式电源开发建设和就近接入消纳，开展源网荷储一体化绿色供电园区建设。</w:t>
            </w:r>
          </w:p>
          <w:p w14:paraId="6341C4C0">
            <w:pPr>
              <w:pStyle w:val="10"/>
              <w:ind w:firstLine="482"/>
              <w:rPr>
                <w:rFonts w:eastAsiaTheme="minorEastAsia"/>
                <w:kern w:val="1"/>
                <w:szCs w:val="24"/>
              </w:rPr>
            </w:pPr>
            <w:r>
              <w:rPr>
                <w:rFonts w:hint="eastAsia" w:eastAsiaTheme="minorEastAsia"/>
                <w:b/>
                <w:bCs/>
                <w:szCs w:val="24"/>
              </w:rPr>
              <w:t>相符性分析：</w:t>
            </w:r>
            <w:r>
              <w:rPr>
                <w:rFonts w:hint="eastAsia" w:eastAsiaTheme="minorEastAsia"/>
                <w:kern w:val="1"/>
                <w:szCs w:val="24"/>
              </w:rPr>
              <w:t>项目</w:t>
            </w:r>
            <w:r>
              <w:rPr>
                <w:rFonts w:hint="eastAsia"/>
              </w:rPr>
              <w:t>为储能电站项目</w:t>
            </w:r>
            <w:r>
              <w:rPr>
                <w:rFonts w:hint="eastAsia" w:eastAsiaTheme="minorEastAsia"/>
                <w:kern w:val="1"/>
                <w:szCs w:val="24"/>
              </w:rPr>
              <w:t>，发挥储能消纳新能源、削峰填谷、增强电网稳定性和应急供电等多重作用，是园区企业实现清洁能源结构的有力保障。综上可知，项目建设符合《广东省能源发展“十四五”规划》的要求。</w:t>
            </w:r>
          </w:p>
          <w:p w14:paraId="4C5BA6F6">
            <w:pPr>
              <w:pStyle w:val="10"/>
              <w:ind w:firstLine="482"/>
              <w:rPr>
                <w:rFonts w:eastAsiaTheme="minorEastAsia"/>
                <w:b/>
                <w:bCs/>
                <w:kern w:val="1"/>
                <w:szCs w:val="24"/>
              </w:rPr>
            </w:pPr>
            <w:r>
              <w:rPr>
                <w:rFonts w:eastAsiaTheme="minorEastAsia"/>
                <w:b/>
                <w:bCs/>
                <w:kern w:val="1"/>
                <w:szCs w:val="24"/>
              </w:rPr>
              <w:t>10</w:t>
            </w:r>
            <w:r>
              <w:rPr>
                <w:rFonts w:hint="eastAsia" w:eastAsiaTheme="minorEastAsia"/>
                <w:b/>
                <w:bCs/>
                <w:kern w:val="1"/>
                <w:szCs w:val="24"/>
              </w:rPr>
              <w:t>、与《广东省生态环境保护“十四五”规划》（粤环[2021]10号）的相符性分析</w:t>
            </w:r>
          </w:p>
          <w:p w14:paraId="69F9666D">
            <w:pPr>
              <w:pStyle w:val="10"/>
              <w:rPr>
                <w:rFonts w:eastAsiaTheme="minorEastAsia"/>
                <w:kern w:val="1"/>
                <w:szCs w:val="24"/>
              </w:rPr>
            </w:pPr>
            <w:r>
              <w:rPr>
                <w:rFonts w:hint="eastAsia" w:eastAsiaTheme="minorEastAsia"/>
                <w:kern w:val="1"/>
                <w:szCs w:val="24"/>
              </w:rPr>
              <w:t>根据《广东省生态环境保护“十四五”规划》文件中：持续优化能源结构。推进能源革命，安全高效发展核电，规模化开发海上风电，因地制宜发展陆上风电，提高天然气利用水平，大力推进太阳能发电和集热，加快培育氢能、储能、智慧能源等，加快建立清洁低碳、安全高效、智能创新的现代化能源体系。</w:t>
            </w:r>
          </w:p>
          <w:p w14:paraId="03BF6A03">
            <w:pPr>
              <w:pStyle w:val="10"/>
              <w:ind w:firstLine="482"/>
              <w:rPr>
                <w:rFonts w:eastAsiaTheme="minorEastAsia"/>
                <w:kern w:val="1"/>
                <w:szCs w:val="24"/>
              </w:rPr>
            </w:pPr>
            <w:r>
              <w:rPr>
                <w:rFonts w:hint="eastAsia" w:eastAsiaTheme="minorEastAsia"/>
                <w:b/>
                <w:bCs/>
                <w:szCs w:val="24"/>
              </w:rPr>
              <w:t>相符性分析：</w:t>
            </w:r>
            <w:r>
              <w:rPr>
                <w:rFonts w:hint="eastAsia" w:eastAsiaTheme="minorEastAsia"/>
                <w:kern w:val="1"/>
                <w:szCs w:val="24"/>
              </w:rPr>
              <w:t>项目属于</w:t>
            </w:r>
            <w:r>
              <w:rPr>
                <w:rFonts w:hint="eastAsia"/>
              </w:rPr>
              <w:t>储能电站</w:t>
            </w:r>
            <w:r>
              <w:rPr>
                <w:rFonts w:hint="eastAsia" w:eastAsiaTheme="minorEastAsia"/>
                <w:kern w:val="1"/>
                <w:szCs w:val="24"/>
              </w:rPr>
              <w:t>，发挥储能消纳新能源、削峰填谷、增强电网稳定性和应急供电等多重作用，是园区企业实现清洁能源结构的有力保障。因此，本项目与《广东省生态环境保护“十四五”规划》的要求相符。</w:t>
            </w:r>
          </w:p>
          <w:p w14:paraId="2C5811D9">
            <w:pPr>
              <w:pStyle w:val="10"/>
              <w:ind w:firstLine="482"/>
            </w:pPr>
            <w:r>
              <w:rPr>
                <w:b/>
                <w:bCs/>
              </w:rPr>
              <w:t>11</w:t>
            </w:r>
            <w:r>
              <w:rPr>
                <w:rFonts w:hint="eastAsia"/>
                <w:b/>
                <w:bCs/>
              </w:rPr>
              <w:t>、与《惠州市生态环境保护</w:t>
            </w:r>
            <w:r>
              <w:rPr>
                <w:b/>
                <w:bCs/>
              </w:rPr>
              <w:t>“十四五”</w:t>
            </w:r>
            <w:r>
              <w:rPr>
                <w:rFonts w:hint="eastAsia"/>
                <w:b/>
                <w:bCs/>
              </w:rPr>
              <w:t>规划》（惠府[2022]11号）的相符性分析</w:t>
            </w:r>
          </w:p>
          <w:p w14:paraId="7C48DC7F">
            <w:pPr>
              <w:pStyle w:val="10"/>
            </w:pPr>
            <w:r>
              <w:rPr>
                <w:rFonts w:hint="eastAsia"/>
              </w:rPr>
              <w:t>惠州市人民政府于</w:t>
            </w:r>
            <w:r>
              <w:t>2022</w:t>
            </w:r>
            <w:r>
              <w:rPr>
                <w:rFonts w:hint="eastAsia"/>
              </w:rPr>
              <w:t>年</w:t>
            </w:r>
            <w:r>
              <w:t>2</w:t>
            </w:r>
            <w:r>
              <w:rPr>
                <w:rFonts w:hint="eastAsia"/>
              </w:rPr>
              <w:t>月</w:t>
            </w:r>
            <w:r>
              <w:t>20</w:t>
            </w:r>
            <w:r>
              <w:rPr>
                <w:rFonts w:hint="eastAsia"/>
              </w:rPr>
              <w:t>日以惠府</w:t>
            </w:r>
            <w:r>
              <w:t>[2022]11</w:t>
            </w:r>
            <w:r>
              <w:rPr>
                <w:rFonts w:hint="eastAsia"/>
              </w:rPr>
              <w:t>号文印发了《惠州市生态环境保护“十四五”规划》，该规划的主要目标为：到</w:t>
            </w:r>
            <w:r>
              <w:t>2025</w:t>
            </w:r>
            <w:r>
              <w:rPr>
                <w:rFonts w:hint="eastAsia"/>
              </w:rPr>
              <w:t>年，生态环境质量持续改善，空气质量稳居在全国重点城市前列，城乡人居环境品质显着提升，碳排放控制取得成效，应对气候变化能力持续提升，生态环境治理效能明显提升，现代品质城市建设取得实质性进展，生态文明建设迈入新境界。展望到</w:t>
            </w:r>
            <w:r>
              <w:t>2035</w:t>
            </w:r>
            <w:r>
              <w:rPr>
                <w:rFonts w:hint="eastAsia"/>
              </w:rPr>
              <w:t>年，生态环境实现根本好转，空气质量达到或接近国际一流水平，水功能区全面稳定达标，生态系统健康稳定，碳排放达峰后稳中有降，广泛形成绿色生产生活方式，生态环境保护与经济社会发展实现良性循环，基本建成美丽惠州，打造成为美丽中国和美丽广东建设新典范。</w:t>
            </w:r>
          </w:p>
          <w:p w14:paraId="3D9920AA">
            <w:pPr>
              <w:pStyle w:val="10"/>
              <w:ind w:firstLine="482"/>
            </w:pPr>
            <w:r>
              <w:rPr>
                <w:rFonts w:hint="eastAsia" w:eastAsiaTheme="minorEastAsia"/>
                <w:b/>
                <w:bCs/>
                <w:szCs w:val="24"/>
              </w:rPr>
              <w:t>相符性分析：</w:t>
            </w:r>
            <w:r>
              <w:rPr>
                <w:rFonts w:hint="eastAsia"/>
              </w:rPr>
              <w:t>本项目属于储能电站，运营期不产生大气污染物，</w:t>
            </w:r>
            <w:r>
              <w:rPr>
                <w:rFonts w:hint="eastAsia" w:eastAsiaTheme="minorEastAsia"/>
                <w:szCs w:val="24"/>
              </w:rPr>
              <w:t>本项目无生产废水排放，生活污水经三级化粪池处理后排入博罗县石湾镇大牛垒生活污水处理厂处理后排放</w:t>
            </w:r>
            <w:r>
              <w:rPr>
                <w:rFonts w:hint="eastAsia"/>
              </w:rPr>
              <w:t>，不会对地表水环境造成不良影响；产生的危险废物采取相应措施并与有关单位签订处置协议，确保危险废物不会泄露至外环境；产生的电磁环境、声环境影响在采取措施后满足相关国家标准限值要求。</w:t>
            </w:r>
          </w:p>
          <w:p w14:paraId="385F73F1">
            <w:pPr>
              <w:pStyle w:val="10"/>
              <w:ind w:firstLine="482"/>
            </w:pPr>
            <w:r>
              <w:rPr>
                <w:b/>
                <w:bCs/>
              </w:rPr>
              <w:t>12</w:t>
            </w:r>
            <w:r>
              <w:rPr>
                <w:rFonts w:hint="eastAsia"/>
                <w:b/>
                <w:bCs/>
              </w:rPr>
              <w:t>、与《博罗县能源发展</w:t>
            </w:r>
            <w:r>
              <w:rPr>
                <w:b/>
                <w:bCs/>
              </w:rPr>
              <w:t>“</w:t>
            </w:r>
            <w:r>
              <w:rPr>
                <w:rFonts w:hint="eastAsia"/>
                <w:b/>
                <w:bCs/>
              </w:rPr>
              <w:t>十四五</w:t>
            </w:r>
            <w:r>
              <w:rPr>
                <w:b/>
                <w:bCs/>
              </w:rPr>
              <w:t>”</w:t>
            </w:r>
            <w:r>
              <w:rPr>
                <w:rFonts w:hint="eastAsia"/>
                <w:b/>
                <w:bCs/>
              </w:rPr>
              <w:t>规划》（2</w:t>
            </w:r>
            <w:r>
              <w:rPr>
                <w:b/>
                <w:bCs/>
              </w:rPr>
              <w:t>022</w:t>
            </w:r>
            <w:r>
              <w:rPr>
                <w:rFonts w:hint="eastAsia"/>
                <w:b/>
                <w:bCs/>
              </w:rPr>
              <w:t>年1</w:t>
            </w:r>
            <w:r>
              <w:rPr>
                <w:b/>
                <w:bCs/>
              </w:rPr>
              <w:t>0</w:t>
            </w:r>
            <w:r>
              <w:rPr>
                <w:rFonts w:hint="eastAsia"/>
                <w:b/>
                <w:bCs/>
              </w:rPr>
              <w:t>月）相符性分析</w:t>
            </w:r>
          </w:p>
          <w:p w14:paraId="4FC14595">
            <w:pPr>
              <w:spacing w:line="360" w:lineRule="auto"/>
              <w:ind w:firstLine="480" w:firstLineChars="200"/>
              <w:rPr>
                <w:sz w:val="24"/>
              </w:rPr>
            </w:pPr>
            <w:r>
              <w:rPr>
                <w:rFonts w:hint="eastAsia"/>
                <w:sz w:val="24"/>
              </w:rPr>
              <w:t>《博罗县能源发展“十四五”规划》第一章第二节中的1有利条件：</w:t>
            </w:r>
          </w:p>
          <w:p w14:paraId="5E19956B">
            <w:pPr>
              <w:spacing w:line="360" w:lineRule="auto"/>
              <w:ind w:firstLine="480" w:firstLineChars="200"/>
              <w:rPr>
                <w:sz w:val="24"/>
              </w:rPr>
            </w:pPr>
            <w:r>
              <w:rPr>
                <w:rFonts w:hint="eastAsia"/>
                <w:sz w:val="24"/>
              </w:rPr>
              <w:t>——绿色低碳转型全面推进。我国承诺二氧化碳排放力争于2030年前达到峰值，博罗正在全面加快构建“一带一圈一区”差异化高质量发展新格局，打造先进制造业聚集发展带，推动罗浮山“三生”融合产业经济圈建设，有利于我县扩大利用天然气和加快发展光伏等清洁能源，发展壮大新能源新材料产业，推动能源绿色低碳转型迈上新台阶。</w:t>
            </w:r>
          </w:p>
          <w:p w14:paraId="3D86740D">
            <w:pPr>
              <w:spacing w:line="360" w:lineRule="auto"/>
              <w:ind w:firstLine="480" w:firstLineChars="200"/>
              <w:rPr>
                <w:sz w:val="24"/>
              </w:rPr>
            </w:pPr>
            <w:r>
              <w:rPr>
                <w:rFonts w:hint="eastAsia"/>
                <w:sz w:val="24"/>
              </w:rPr>
              <w:t>——能源技术创新步伐加快。围绕新能源、新材料等能源技术创新进入高度活跃期，新能源发电、先进储能、氢能利用、能源互联网等具有重大产业变革前景的技术应运而生。以智能化、分布式为特征的能源利用新模式、新业态不断涌现，有利于推动我县能源高质量发展。</w:t>
            </w:r>
          </w:p>
          <w:p w14:paraId="286D4467">
            <w:pPr>
              <w:spacing w:line="360" w:lineRule="auto"/>
              <w:ind w:firstLine="482" w:firstLineChars="200"/>
            </w:pPr>
            <w:r>
              <w:rPr>
                <w:rFonts w:hint="eastAsia"/>
                <w:b/>
                <w:sz w:val="24"/>
              </w:rPr>
              <w:t>相符性分析：</w:t>
            </w:r>
            <w:r>
              <w:rPr>
                <w:rFonts w:hint="eastAsia"/>
                <w:sz w:val="24"/>
              </w:rPr>
              <w:t>本项目为储能电站项目，项目的建设有利于优化能源结构，符合博罗县能源发展“十四五”规划要求。</w:t>
            </w:r>
          </w:p>
        </w:tc>
      </w:tr>
    </w:tbl>
    <w:p w14:paraId="7A867063">
      <w:pPr>
        <w:spacing w:line="360" w:lineRule="auto"/>
        <w:outlineLvl w:val="0"/>
        <w:rPr>
          <w:rFonts w:eastAsia="黑体"/>
          <w:sz w:val="30"/>
        </w:rPr>
        <w:sectPr>
          <w:footerReference r:id="rId5" w:type="default"/>
          <w:pgSz w:w="11906" w:h="16838"/>
          <w:pgMar w:top="1701" w:right="1531" w:bottom="1701" w:left="1531" w:header="851" w:footer="1077" w:gutter="0"/>
          <w:pgNumType w:start="1"/>
          <w:cols w:space="720" w:num="1"/>
          <w:docGrid w:linePitch="312" w:charSpace="0"/>
        </w:sectPr>
      </w:pPr>
    </w:p>
    <w:p w14:paraId="595D4A01">
      <w:pPr>
        <w:pStyle w:val="27"/>
        <w:jc w:val="center"/>
        <w:outlineLvl w:val="0"/>
        <w:rPr>
          <w:rFonts w:ascii="Times New Roman" w:hAnsi="Times New Roman" w:eastAsia="黑体"/>
          <w:snapToGrid w:val="0"/>
          <w:sz w:val="30"/>
          <w:szCs w:val="30"/>
        </w:rPr>
      </w:pPr>
      <w:r>
        <w:rPr>
          <w:rFonts w:hint="eastAsia" w:ascii="Times New Roman" w:hAnsi="Times New Roman" w:eastAsia="黑体"/>
          <w:snapToGrid w:val="0"/>
          <w:sz w:val="30"/>
          <w:szCs w:val="30"/>
        </w:rPr>
        <w:t>二、建设内容</w:t>
      </w:r>
    </w:p>
    <w:tbl>
      <w:tblPr>
        <w:tblStyle w:val="31"/>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3"/>
      </w:tblGrid>
      <w:tr w14:paraId="278A5C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249" w:type="pct"/>
            <w:vAlign w:val="center"/>
          </w:tcPr>
          <w:p w14:paraId="46F5DA49">
            <w:pPr>
              <w:pStyle w:val="27"/>
              <w:adjustRightInd w:val="0"/>
              <w:snapToGrid w:val="0"/>
              <w:spacing w:before="0" w:beforeAutospacing="0" w:after="0" w:afterAutospacing="0"/>
              <w:jc w:val="center"/>
              <w:rPr>
                <w:rFonts w:ascii="Times New Roman" w:hAnsi="Times New Roman"/>
                <w:szCs w:val="24"/>
              </w:rPr>
            </w:pPr>
            <w:r>
              <w:rPr>
                <w:rFonts w:hint="eastAsia" w:ascii="Times New Roman" w:hAnsi="Times New Roman"/>
                <w:szCs w:val="24"/>
              </w:rPr>
              <w:t>地理位置</w:t>
            </w:r>
          </w:p>
        </w:tc>
        <w:tc>
          <w:tcPr>
            <w:tcW w:w="4751" w:type="pct"/>
          </w:tcPr>
          <w:p w14:paraId="30BEE0C8">
            <w:pPr>
              <w:spacing w:line="360" w:lineRule="auto"/>
              <w:ind w:firstLine="480" w:firstLineChars="200"/>
            </w:pPr>
            <w:r>
              <w:rPr>
                <w:rFonts w:hint="eastAsia"/>
                <w:bCs/>
                <w:sz w:val="24"/>
              </w:rPr>
              <w:t>惠州欣城新能源有限公司</w:t>
            </w:r>
            <w:r>
              <w:rPr>
                <w:bCs/>
                <w:sz w:val="24"/>
              </w:rPr>
              <w:t>200MW/400MWh</w:t>
            </w:r>
            <w:r>
              <w:rPr>
                <w:rFonts w:hint="eastAsia"/>
                <w:bCs/>
                <w:sz w:val="24"/>
              </w:rPr>
              <w:t>独立储能电站新建项目选址于惠州市博罗县石湾镇智能装备产业园区内，中心点坐标为东经</w:t>
            </w:r>
            <w:r>
              <w:rPr>
                <w:bCs/>
                <w:sz w:val="24"/>
              </w:rPr>
              <w:t>113°56</w:t>
            </w:r>
            <w:r>
              <w:rPr>
                <w:rFonts w:hint="eastAsia"/>
                <w:bCs/>
                <w:sz w:val="24"/>
              </w:rPr>
              <w:t>′</w:t>
            </w:r>
            <w:r>
              <w:rPr>
                <w:bCs/>
                <w:sz w:val="24"/>
              </w:rPr>
              <w:t>58.666</w:t>
            </w:r>
            <w:r>
              <w:rPr>
                <w:rFonts w:hint="eastAsia"/>
                <w:bCs/>
                <w:sz w:val="24"/>
              </w:rPr>
              <w:t>″，北纬</w:t>
            </w:r>
            <w:r>
              <w:rPr>
                <w:bCs/>
                <w:sz w:val="24"/>
              </w:rPr>
              <w:t>23°9</w:t>
            </w:r>
            <w:r>
              <w:rPr>
                <w:rFonts w:hint="eastAsia"/>
                <w:bCs/>
                <w:sz w:val="24"/>
              </w:rPr>
              <w:t>′</w:t>
            </w:r>
            <w:r>
              <w:rPr>
                <w:bCs/>
                <w:sz w:val="24"/>
              </w:rPr>
              <w:t>53.643</w:t>
            </w:r>
            <w:r>
              <w:rPr>
                <w:rFonts w:hint="eastAsia"/>
                <w:bCs/>
                <w:sz w:val="24"/>
              </w:rPr>
              <w:t>″（</w:t>
            </w:r>
            <w:r>
              <w:rPr>
                <w:bCs/>
                <w:sz w:val="24"/>
              </w:rPr>
              <w:t>E113.949629°</w:t>
            </w:r>
            <w:r>
              <w:rPr>
                <w:rFonts w:hint="eastAsia"/>
                <w:bCs/>
                <w:sz w:val="24"/>
              </w:rPr>
              <w:t>，</w:t>
            </w:r>
            <w:r>
              <w:rPr>
                <w:bCs/>
                <w:sz w:val="24"/>
              </w:rPr>
              <w:t>N23.164901°</w:t>
            </w:r>
            <w:r>
              <w:rPr>
                <w:rFonts w:hint="eastAsia"/>
                <w:bCs/>
                <w:sz w:val="24"/>
              </w:rPr>
              <w:t>），地理位置详见附图1。</w:t>
            </w:r>
          </w:p>
        </w:tc>
      </w:tr>
      <w:tr w14:paraId="00538F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49" w:type="pct"/>
            <w:vAlign w:val="center"/>
          </w:tcPr>
          <w:p w14:paraId="14F5B860">
            <w:pPr>
              <w:pStyle w:val="27"/>
              <w:adjustRightInd w:val="0"/>
              <w:snapToGrid w:val="0"/>
              <w:spacing w:before="0" w:beforeAutospacing="0" w:after="0" w:afterAutospacing="0"/>
              <w:jc w:val="center"/>
              <w:rPr>
                <w:rFonts w:ascii="Times New Roman" w:hAnsi="Times New Roman"/>
                <w:szCs w:val="24"/>
              </w:rPr>
            </w:pPr>
            <w:r>
              <w:rPr>
                <w:rFonts w:hint="eastAsia" w:ascii="Times New Roman" w:hAnsi="Times New Roman"/>
                <w:szCs w:val="24"/>
              </w:rPr>
              <w:t>项目组成及规模</w:t>
            </w:r>
          </w:p>
        </w:tc>
        <w:tc>
          <w:tcPr>
            <w:tcW w:w="4751" w:type="pct"/>
          </w:tcPr>
          <w:p w14:paraId="25091B75">
            <w:pPr>
              <w:pStyle w:val="10"/>
              <w:ind w:firstLine="482"/>
              <w:rPr>
                <w:b/>
                <w:bCs/>
              </w:rPr>
            </w:pPr>
            <w:r>
              <w:rPr>
                <w:rFonts w:hint="eastAsia"/>
                <w:b/>
                <w:bCs/>
              </w:rPr>
              <w:t>1、项目概况</w:t>
            </w:r>
          </w:p>
          <w:p w14:paraId="4C784141">
            <w:pPr>
              <w:pStyle w:val="10"/>
              <w:ind w:firstLine="482"/>
              <w:rPr>
                <w:b/>
                <w:bCs/>
              </w:rPr>
            </w:pPr>
            <w:r>
              <w:rPr>
                <w:rFonts w:hint="eastAsia"/>
                <w:b/>
                <w:bCs/>
              </w:rPr>
              <w:t>（1）项目由来</w:t>
            </w:r>
          </w:p>
          <w:p w14:paraId="79B259F4">
            <w:pPr>
              <w:pStyle w:val="10"/>
            </w:pPr>
            <w:r>
              <w:rPr>
                <w:rFonts w:hint="eastAsia"/>
              </w:rPr>
              <w:t>“十四五”时期是贯彻落实碳达峰碳中和目标攻坚期、窗口期，是构建以新能源为主体的新型电力系统的关键时期，也是新型储能发展的重要战略机遇期。在构建新型电力系统、优化能源结构、推动电源清洁化的过程中，储能是其中非常重要的一个环节。</w:t>
            </w:r>
          </w:p>
          <w:p w14:paraId="5E894813">
            <w:pPr>
              <w:pStyle w:val="10"/>
            </w:pPr>
            <w:r>
              <w:rPr>
                <w:rFonts w:hint="eastAsia"/>
              </w:rPr>
              <w:t>在可再生能源取得良好发展成绩，并呈现良好发展势头的背景下，保障并网和消纳是推动行业高质量发展的重要措施之一，</w:t>
            </w:r>
            <w:r>
              <w:rPr>
                <w:rFonts w:hint="eastAsia"/>
                <w:spacing w:val="-3"/>
                <w:szCs w:val="24"/>
              </w:rPr>
              <w:t>《</w:t>
            </w:r>
            <w:r>
              <w:rPr>
                <w:spacing w:val="-3"/>
                <w:szCs w:val="24"/>
              </w:rPr>
              <w:t>“</w:t>
            </w:r>
            <w:r>
              <w:rPr>
                <w:rFonts w:hint="eastAsia"/>
                <w:spacing w:val="-3"/>
                <w:szCs w:val="24"/>
              </w:rPr>
              <w:t>十四五</w:t>
            </w:r>
            <w:r>
              <w:rPr>
                <w:spacing w:val="-3"/>
                <w:szCs w:val="24"/>
              </w:rPr>
              <w:t>”</w:t>
            </w:r>
            <w:r>
              <w:rPr>
                <w:rFonts w:hint="eastAsia"/>
                <w:spacing w:val="-3"/>
                <w:szCs w:val="24"/>
              </w:rPr>
              <w:t>新</w:t>
            </w:r>
            <w:r>
              <w:rPr>
                <w:rFonts w:hint="eastAsia"/>
                <w:spacing w:val="-4"/>
                <w:szCs w:val="24"/>
              </w:rPr>
              <w:t>型储能发展实</w:t>
            </w:r>
            <w:r>
              <w:rPr>
                <w:rFonts w:hint="eastAsia"/>
                <w:spacing w:val="1"/>
                <w:szCs w:val="24"/>
              </w:rPr>
              <w:t>施方案》</w:t>
            </w:r>
            <w:r>
              <w:rPr>
                <w:rFonts w:hint="eastAsia"/>
              </w:rPr>
              <w:t>明确提出了鼓励可再生能源发电企业自建合建、购买调峰资源等方式，以及增加并网规模的政策措施和运行管理要求，有利于发挥政府、企业、市场多方能动性，引导市场主体多渠道促进可再生能源发展，有效推动双碳目标顺利实现。随着电力系统对调节能力需求提升、新能源开发消纳规模不断加大，新型储能建设周期短、选址简单灵活、调节能力强，与新能源开发消纳的匹配性更好，优势逐渐凸显，加快推进先进储能技术规模化应用势在必行。</w:t>
            </w:r>
          </w:p>
          <w:p w14:paraId="7B8AADEA">
            <w:pPr>
              <w:pStyle w:val="10"/>
              <w:rPr>
                <w:b/>
                <w:bCs/>
              </w:rPr>
            </w:pPr>
            <w:r>
              <w:rPr>
                <w:rFonts w:hint="eastAsia"/>
              </w:rPr>
              <w:t>储能电站运行灵活、启动快、动态效益显着，一般几秒种内即可由零功率达到满载，爬峰能力远优于煤电机组、燃气机组以及抽蓄机组。它投运后可承担电网的调频、调相运行、黑启动、紧急事故备用等任务，对优化电网的电源结构、改善电网电压水平提供电质量，保证电网的安全稳定运行有很大作用。储能系统作为智能电网重要组成部分和关键支撑技术必不可少。</w:t>
            </w:r>
          </w:p>
          <w:p w14:paraId="6416AD60">
            <w:pPr>
              <w:pStyle w:val="10"/>
              <w:ind w:firstLine="482"/>
              <w:rPr>
                <w:b/>
                <w:bCs/>
              </w:rPr>
            </w:pPr>
            <w:r>
              <w:rPr>
                <w:rFonts w:hint="eastAsia"/>
                <w:b/>
                <w:bCs/>
              </w:rPr>
              <w:t>（2）建设规模</w:t>
            </w:r>
          </w:p>
          <w:p w14:paraId="61376836">
            <w:pPr>
              <w:pStyle w:val="10"/>
            </w:pPr>
            <w:r>
              <w:rPr>
                <w:rFonts w:hint="eastAsia"/>
              </w:rPr>
              <w:t>项目位于惠州市博罗县石湾镇智能装备产业园区内，为电化学储能电站，采用磷酸铁锂电池，根据现场场地情况以及考虑到运维便捷，采用户外集装箱式总平布置。项目占地面积</w:t>
            </w:r>
            <w:r>
              <w:t>18406</w:t>
            </w:r>
            <w:r>
              <w:rPr>
                <w:rFonts w:hint="eastAsia"/>
              </w:rPr>
              <w:t>平方米，建筑面积</w:t>
            </w:r>
            <w:r>
              <w:t>3461.33</w:t>
            </w:r>
            <w:r>
              <w:rPr>
                <w:rFonts w:hint="eastAsia"/>
              </w:rPr>
              <w:t>平方米。项目在同一地块分为两部分，储能区和升压站。储能区位于规划区域东侧，分为</w:t>
            </w:r>
            <w:r>
              <w:t>3</w:t>
            </w:r>
            <w:r>
              <w:rPr>
                <w:rFonts w:hint="eastAsia"/>
              </w:rPr>
              <w:t>个储能区域，共由4</w:t>
            </w:r>
            <w:r>
              <w:t>2</w:t>
            </w:r>
            <w:r>
              <w:rPr>
                <w:rFonts w:hint="eastAsia"/>
              </w:rPr>
              <w:t>个5MW/10MWh储能单元组成（正常运行40个储能单元，2个储能单元备用），每个储能单元之间采用防火墙分隔，有</w:t>
            </w:r>
            <w:r>
              <w:t>42</w:t>
            </w:r>
            <w:r>
              <w:rPr>
                <w:rFonts w:hint="eastAsia"/>
              </w:rPr>
              <w:t>组防火墙。项目储能电站规划容量</w:t>
            </w:r>
            <w:r>
              <w:t>200MW/400MWh</w:t>
            </w:r>
            <w:r>
              <w:rPr>
                <w:rFonts w:hint="eastAsia"/>
              </w:rPr>
              <w:t>，共设计</w:t>
            </w:r>
            <w:r>
              <w:t>8</w:t>
            </w:r>
            <w:r>
              <w:rPr>
                <w:rFonts w:hint="eastAsia"/>
              </w:rPr>
              <w:t>个子区域系统，</w:t>
            </w:r>
            <w:r>
              <w:t>25MW/50MWh</w:t>
            </w:r>
            <w:r>
              <w:rPr>
                <w:rFonts w:hint="eastAsia"/>
              </w:rPr>
              <w:t>子区域系统；每个子区域储能系统采用</w:t>
            </w:r>
            <w:r>
              <w:t>T</w:t>
            </w:r>
            <w:r>
              <w:rPr>
                <w:rFonts w:hint="eastAsia"/>
              </w:rPr>
              <w:t>接方式组成一条集电线路，本工程共计</w:t>
            </w:r>
            <w:r>
              <w:t>8</w:t>
            </w:r>
            <w:r>
              <w:rPr>
                <w:rFonts w:hint="eastAsia"/>
              </w:rPr>
              <w:t>条集电线路，</w:t>
            </w:r>
            <w:r>
              <w:t>35kV</w:t>
            </w:r>
            <w:r>
              <w:rPr>
                <w:rFonts w:hint="eastAsia"/>
              </w:rPr>
              <w:t>采用电缆直埋敷设出线，接至新建</w:t>
            </w:r>
            <w:r>
              <w:t>220kV</w:t>
            </w:r>
            <w:r>
              <w:rPr>
                <w:rFonts w:hint="eastAsia"/>
              </w:rPr>
              <w:t>升压站</w:t>
            </w:r>
            <w:r>
              <w:t>35kV</w:t>
            </w:r>
            <w:r>
              <w:rPr>
                <w:rFonts w:hint="eastAsia"/>
              </w:rPr>
              <w:t>侧储能开关柜。本项目于规划区域西侧，新建</w:t>
            </w:r>
            <w:r>
              <w:t>1</w:t>
            </w:r>
            <w:r>
              <w:rPr>
                <w:rFonts w:hint="eastAsia"/>
              </w:rPr>
              <w:t>座</w:t>
            </w:r>
            <w:r>
              <w:t>220kV</w:t>
            </w:r>
            <w:r>
              <w:rPr>
                <w:rFonts w:hint="eastAsia"/>
              </w:rPr>
              <w:t>升压站，主变采用户外布置，配电装置采用户外</w:t>
            </w:r>
            <w:r>
              <w:t>GIS</w:t>
            </w:r>
            <w:r>
              <w:rPr>
                <w:rFonts w:hint="eastAsia"/>
              </w:rPr>
              <w:t>布置，主变容量</w:t>
            </w:r>
            <w:r>
              <w:t>1</w:t>
            </w:r>
            <w:r>
              <w:rPr>
                <w:rFonts w:hint="eastAsia"/>
              </w:rPr>
              <w:t>×</w:t>
            </w:r>
            <w:r>
              <w:t>240MVA</w:t>
            </w:r>
            <w:r>
              <w:rPr>
                <w:rFonts w:hint="eastAsia"/>
              </w:rPr>
              <w:t>；升压站通过</w:t>
            </w:r>
            <w:r>
              <w:t>1</w:t>
            </w:r>
            <w:r>
              <w:rPr>
                <w:rFonts w:hint="eastAsia"/>
              </w:rPr>
              <w:t>回</w:t>
            </w:r>
            <w:r>
              <w:t>220kV</w:t>
            </w:r>
            <w:r>
              <w:rPr>
                <w:rFonts w:hint="eastAsia"/>
              </w:rPr>
              <w:t>线路接入</w:t>
            </w:r>
            <w:r>
              <w:t>220kV</w:t>
            </w:r>
            <w:r>
              <w:rPr>
                <w:rFonts w:hint="eastAsia"/>
              </w:rPr>
              <w:t>格物站</w:t>
            </w:r>
            <w:r>
              <w:t>220kV</w:t>
            </w:r>
            <w:r>
              <w:rPr>
                <w:rFonts w:hint="eastAsia"/>
              </w:rPr>
              <w:t>出线间隔。</w:t>
            </w:r>
          </w:p>
          <w:p w14:paraId="5564EA43">
            <w:pPr>
              <w:spacing w:line="360" w:lineRule="auto"/>
              <w:ind w:firstLine="480"/>
              <w:rPr>
                <w:b/>
                <w:bCs/>
              </w:rPr>
            </w:pPr>
            <w:r>
              <w:rPr>
                <w:rFonts w:hint="eastAsia"/>
                <w:sz w:val="24"/>
              </w:rPr>
              <w:t>本期主要工程建设内容包括：</w:t>
            </w:r>
            <w:r>
              <w:rPr>
                <w:sz w:val="24"/>
              </w:rPr>
              <w:t>200MW/400MWh</w:t>
            </w:r>
            <w:r>
              <w:rPr>
                <w:rFonts w:hint="eastAsia"/>
                <w:sz w:val="24"/>
              </w:rPr>
              <w:t>储能场区建设，</w:t>
            </w:r>
            <w:r>
              <w:rPr>
                <w:sz w:val="24"/>
              </w:rPr>
              <w:t>220kV</w:t>
            </w:r>
            <w:r>
              <w:rPr>
                <w:rFonts w:hint="eastAsia"/>
                <w:sz w:val="24"/>
              </w:rPr>
              <w:t>升压站场区建设，再由升压站新建</w:t>
            </w:r>
            <w:r>
              <w:rPr>
                <w:sz w:val="24"/>
              </w:rPr>
              <w:t>1</w:t>
            </w:r>
            <w:r>
              <w:rPr>
                <w:rFonts w:hint="eastAsia"/>
                <w:sz w:val="24"/>
              </w:rPr>
              <w:t>回</w:t>
            </w:r>
            <w:r>
              <w:rPr>
                <w:sz w:val="24"/>
              </w:rPr>
              <w:t>220kV</w:t>
            </w:r>
            <w:r>
              <w:rPr>
                <w:rFonts w:hint="eastAsia"/>
                <w:sz w:val="24"/>
              </w:rPr>
              <w:t>线路接入到</w:t>
            </w:r>
            <w:r>
              <w:rPr>
                <w:sz w:val="24"/>
              </w:rPr>
              <w:t>220kV</w:t>
            </w:r>
            <w:r>
              <w:rPr>
                <w:rFonts w:hint="eastAsia"/>
                <w:sz w:val="24"/>
              </w:rPr>
              <w:t>格物站</w:t>
            </w:r>
            <w:r>
              <w:rPr>
                <w:sz w:val="24"/>
              </w:rPr>
              <w:t>220kV</w:t>
            </w:r>
            <w:r>
              <w:rPr>
                <w:rFonts w:hint="eastAsia"/>
                <w:sz w:val="24"/>
              </w:rPr>
              <w:t>出线间隔。</w:t>
            </w:r>
            <w:r>
              <w:rPr>
                <w:rFonts w:hint="eastAsia"/>
                <w:b/>
                <w:bCs/>
                <w:sz w:val="24"/>
              </w:rPr>
              <w:t>本次评价只针对储能区及升压站区域建设内容进行评价，</w:t>
            </w:r>
            <w:r>
              <w:rPr>
                <w:b/>
                <w:bCs/>
                <w:sz w:val="24"/>
              </w:rPr>
              <w:t>220kV</w:t>
            </w:r>
            <w:r>
              <w:rPr>
                <w:rFonts w:hint="eastAsia"/>
                <w:b/>
                <w:bCs/>
                <w:sz w:val="24"/>
              </w:rPr>
              <w:t>送出线路工程及间隔扩建工程不在本次评价范围内，另行编制环评。</w:t>
            </w:r>
            <w:bookmarkStart w:id="2" w:name="OLE_LINK14"/>
          </w:p>
          <w:p w14:paraId="1FB88BB6">
            <w:pPr>
              <w:pStyle w:val="10"/>
              <w:ind w:firstLine="482"/>
              <w:rPr>
                <w:b/>
                <w:bCs/>
              </w:rPr>
            </w:pPr>
            <w:r>
              <w:rPr>
                <w:b/>
                <w:bCs/>
              </w:rPr>
              <w:t>2</w:t>
            </w:r>
            <w:r>
              <w:rPr>
                <w:rFonts w:hint="eastAsia"/>
                <w:b/>
                <w:bCs/>
              </w:rPr>
              <w:t>、项目组成和建设内容</w:t>
            </w:r>
          </w:p>
          <w:p w14:paraId="40592CA2">
            <w:pPr>
              <w:tabs>
                <w:tab w:val="left" w:pos="284"/>
              </w:tabs>
              <w:adjustRightInd w:val="0"/>
              <w:snapToGrid w:val="0"/>
              <w:spacing w:line="360" w:lineRule="auto"/>
              <w:ind w:firstLine="480" w:firstLineChars="200"/>
              <w:jc w:val="left"/>
              <w:rPr>
                <w:bCs/>
                <w:sz w:val="24"/>
              </w:rPr>
            </w:pPr>
            <w:r>
              <w:rPr>
                <w:rFonts w:hint="eastAsia"/>
                <w:sz w:val="24"/>
              </w:rPr>
              <w:t>本项目主要建设内容一览表见表</w:t>
            </w:r>
            <w:r>
              <w:rPr>
                <w:sz w:val="24"/>
              </w:rPr>
              <w:t>2-1</w:t>
            </w:r>
            <w:r>
              <w:rPr>
                <w:rFonts w:hint="eastAsia"/>
                <w:sz w:val="24"/>
              </w:rPr>
              <w:t>，</w:t>
            </w:r>
            <w:r>
              <w:rPr>
                <w:rFonts w:hint="eastAsia"/>
                <w:bCs/>
                <w:sz w:val="24"/>
              </w:rPr>
              <w:t>本项目工程组成详见下表</w:t>
            </w:r>
            <w:r>
              <w:rPr>
                <w:bCs/>
                <w:sz w:val="24"/>
              </w:rPr>
              <w:t>2-2</w:t>
            </w:r>
            <w:r>
              <w:rPr>
                <w:rFonts w:hint="eastAsia"/>
                <w:bCs/>
                <w:sz w:val="24"/>
              </w:rPr>
              <w:t>：</w:t>
            </w:r>
          </w:p>
          <w:p w14:paraId="7F8E655F">
            <w:pPr>
              <w:pStyle w:val="7"/>
              <w:ind w:firstLine="482"/>
              <w:jc w:val="center"/>
              <w:rPr>
                <w:b/>
                <w:bCs/>
                <w:sz w:val="24"/>
              </w:rPr>
            </w:pPr>
            <w:r>
              <w:rPr>
                <w:rFonts w:hint="eastAsia"/>
                <w:b/>
                <w:bCs/>
                <w:sz w:val="24"/>
              </w:rPr>
              <w:t>表</w:t>
            </w:r>
            <w:r>
              <w:rPr>
                <w:b/>
                <w:bCs/>
                <w:sz w:val="24"/>
              </w:rPr>
              <w:t>2-1</w:t>
            </w:r>
            <w:r>
              <w:rPr>
                <w:rFonts w:hint="eastAsia"/>
                <w:b/>
                <w:bCs/>
                <w:sz w:val="24"/>
              </w:rPr>
              <w:t>项目建设内容一览表</w:t>
            </w:r>
          </w:p>
          <w:bookmarkEnd w:id="2"/>
          <w:tbl>
            <w:tblPr>
              <w:tblStyle w:val="150"/>
              <w:tblW w:w="4936"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1888"/>
              <w:gridCol w:w="1138"/>
              <w:gridCol w:w="1514"/>
              <w:gridCol w:w="2978"/>
            </w:tblGrid>
            <w:tr w14:paraId="46EA31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785B3B0C">
                  <w:pPr>
                    <w:pStyle w:val="149"/>
                    <w:rPr>
                      <w:rFonts w:hint="default" w:ascii="Times New Roman" w:hAnsi="Times New Roman" w:eastAsia="宋体" w:cs="Times New Roman"/>
                      <w:b/>
                      <w:i w:val="0"/>
                    </w:rPr>
                  </w:pPr>
                  <w:r>
                    <w:rPr>
                      <w:rFonts w:hint="default" w:ascii="Times New Roman" w:hAnsi="Times New Roman" w:eastAsia="宋体" w:cs="Times New Roman"/>
                      <w:b/>
                      <w:i w:val="0"/>
                    </w:rPr>
                    <w:t>序号</w:t>
                  </w:r>
                </w:p>
              </w:tc>
              <w:tc>
                <w:tcPr>
                  <w:tcW w:w="1140" w:type="pct"/>
                  <w:vAlign w:val="center"/>
                </w:tcPr>
                <w:p w14:paraId="7FC21398">
                  <w:pPr>
                    <w:pStyle w:val="149"/>
                    <w:rPr>
                      <w:rFonts w:hint="default" w:ascii="Times New Roman" w:hAnsi="Times New Roman" w:eastAsia="宋体" w:cs="Times New Roman"/>
                      <w:b/>
                      <w:i w:val="0"/>
                    </w:rPr>
                  </w:pPr>
                  <w:r>
                    <w:rPr>
                      <w:rFonts w:hint="default" w:ascii="Times New Roman" w:hAnsi="Times New Roman" w:eastAsia="宋体" w:cs="Times New Roman"/>
                      <w:b/>
                      <w:i w:val="0"/>
                    </w:rPr>
                    <w:t>名称</w:t>
                  </w:r>
                </w:p>
              </w:tc>
              <w:tc>
                <w:tcPr>
                  <w:tcW w:w="687" w:type="pct"/>
                  <w:vAlign w:val="center"/>
                </w:tcPr>
                <w:p w14:paraId="5B018FAC">
                  <w:pPr>
                    <w:pStyle w:val="149"/>
                    <w:rPr>
                      <w:rFonts w:hint="default" w:ascii="Times New Roman" w:hAnsi="Times New Roman" w:eastAsia="宋体" w:cs="Times New Roman"/>
                      <w:b/>
                      <w:i w:val="0"/>
                    </w:rPr>
                  </w:pPr>
                  <w:r>
                    <w:rPr>
                      <w:rFonts w:hint="default" w:ascii="Times New Roman" w:hAnsi="Times New Roman" w:eastAsia="宋体" w:cs="Times New Roman"/>
                      <w:b/>
                      <w:i w:val="0"/>
                    </w:rPr>
                    <w:t>单位</w:t>
                  </w:r>
                </w:p>
              </w:tc>
              <w:tc>
                <w:tcPr>
                  <w:tcW w:w="914" w:type="pct"/>
                  <w:vAlign w:val="center"/>
                </w:tcPr>
                <w:p w14:paraId="4AF5EA38">
                  <w:pPr>
                    <w:pStyle w:val="149"/>
                    <w:rPr>
                      <w:rFonts w:hint="default" w:ascii="Times New Roman" w:hAnsi="Times New Roman" w:eastAsia="宋体" w:cs="Times New Roman"/>
                      <w:b/>
                      <w:i w:val="0"/>
                    </w:rPr>
                  </w:pPr>
                  <w:r>
                    <w:rPr>
                      <w:rFonts w:hint="default" w:ascii="Times New Roman" w:hAnsi="Times New Roman" w:eastAsia="宋体" w:cs="Times New Roman"/>
                      <w:b/>
                      <w:i w:val="0"/>
                    </w:rPr>
                    <w:t>数量</w:t>
                  </w:r>
                </w:p>
              </w:tc>
              <w:tc>
                <w:tcPr>
                  <w:tcW w:w="1798" w:type="pct"/>
                  <w:vAlign w:val="center"/>
                </w:tcPr>
                <w:p w14:paraId="431BBF11">
                  <w:pPr>
                    <w:pStyle w:val="149"/>
                    <w:rPr>
                      <w:rFonts w:hint="default" w:ascii="Times New Roman" w:hAnsi="Times New Roman" w:eastAsia="宋体" w:cs="Times New Roman"/>
                      <w:b/>
                      <w:i w:val="0"/>
                    </w:rPr>
                  </w:pPr>
                  <w:r>
                    <w:rPr>
                      <w:rFonts w:hint="default" w:ascii="Times New Roman" w:hAnsi="Times New Roman" w:eastAsia="宋体" w:cs="Times New Roman"/>
                      <w:b/>
                      <w:i w:val="0"/>
                    </w:rPr>
                    <w:t>备注</w:t>
                  </w:r>
                </w:p>
              </w:tc>
            </w:tr>
            <w:tr w14:paraId="70F0EC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420406DB">
                  <w:pPr>
                    <w:pStyle w:val="149"/>
                    <w:rPr>
                      <w:rFonts w:eastAsia="Times New Roman"/>
                    </w:rPr>
                  </w:pPr>
                  <w:r>
                    <w:rPr>
                      <w:rFonts w:eastAsia="Times New Roman"/>
                    </w:rPr>
                    <w:t>1</w:t>
                  </w:r>
                </w:p>
              </w:tc>
              <w:tc>
                <w:tcPr>
                  <w:tcW w:w="1140" w:type="pct"/>
                  <w:vAlign w:val="center"/>
                </w:tcPr>
                <w:p w14:paraId="694919E2">
                  <w:pPr>
                    <w:pStyle w:val="149"/>
                    <w:rPr>
                      <w:rFonts w:eastAsia="Times New Roman"/>
                    </w:rPr>
                  </w:pPr>
                  <w:r>
                    <w:rPr>
                      <w:rFonts w:eastAsia="宋体"/>
                    </w:rPr>
                    <w:t>综合楼</w:t>
                  </w:r>
                </w:p>
              </w:tc>
              <w:tc>
                <w:tcPr>
                  <w:tcW w:w="687" w:type="pct"/>
                  <w:vAlign w:val="center"/>
                </w:tcPr>
                <w:p w14:paraId="0EBD0476">
                  <w:pPr>
                    <w:pStyle w:val="149"/>
                    <w:rPr>
                      <w:rFonts w:eastAsia="Times New Roman"/>
                    </w:rPr>
                  </w:pPr>
                  <w:r>
                    <w:rPr>
                      <w:rFonts w:eastAsia="Times New Roman"/>
                    </w:rPr>
                    <w:t>m</w:t>
                  </w:r>
                  <w:r>
                    <w:rPr>
                      <w:rFonts w:eastAsia="Times New Roman"/>
                      <w:vertAlign w:val="superscript"/>
                    </w:rPr>
                    <w:t>2</w:t>
                  </w:r>
                </w:p>
              </w:tc>
              <w:tc>
                <w:tcPr>
                  <w:tcW w:w="914" w:type="pct"/>
                  <w:vAlign w:val="center"/>
                </w:tcPr>
                <w:p w14:paraId="7E2FA742">
                  <w:pPr>
                    <w:pStyle w:val="149"/>
                    <w:rPr>
                      <w:rFonts w:eastAsia="Times New Roman"/>
                    </w:rPr>
                  </w:pPr>
                  <w:r>
                    <w:rPr>
                      <w:rFonts w:eastAsia="Times New Roman"/>
                    </w:rPr>
                    <w:t>124.6</w:t>
                  </w:r>
                </w:p>
              </w:tc>
              <w:tc>
                <w:tcPr>
                  <w:tcW w:w="1798" w:type="pct"/>
                  <w:vAlign w:val="center"/>
                </w:tcPr>
                <w:p w14:paraId="7E59FCAB">
                  <w:pPr>
                    <w:pStyle w:val="149"/>
                    <w:rPr>
                      <w:rFonts w:eastAsia="Times New Roman"/>
                    </w:rPr>
                  </w:pPr>
                  <w:r>
                    <w:rPr>
                      <w:rFonts w:eastAsia="宋体"/>
                    </w:rPr>
                    <w:t>一层，层高3.6m，建筑面积124.6m</w:t>
                  </w:r>
                  <w:r>
                    <w:rPr>
                      <w:rFonts w:eastAsia="宋体"/>
                      <w:vertAlign w:val="superscript"/>
                    </w:rPr>
                    <w:t>2</w:t>
                  </w:r>
                </w:p>
              </w:tc>
            </w:tr>
            <w:tr w14:paraId="5E4DC2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00B46202">
                  <w:pPr>
                    <w:pStyle w:val="149"/>
                    <w:rPr>
                      <w:rFonts w:eastAsia="Times New Roman"/>
                    </w:rPr>
                  </w:pPr>
                  <w:r>
                    <w:rPr>
                      <w:rFonts w:eastAsia="Times New Roman"/>
                    </w:rPr>
                    <w:t>2</w:t>
                  </w:r>
                </w:p>
              </w:tc>
              <w:tc>
                <w:tcPr>
                  <w:tcW w:w="1140" w:type="pct"/>
                  <w:vAlign w:val="center"/>
                </w:tcPr>
                <w:p w14:paraId="42C1BDEE">
                  <w:pPr>
                    <w:pStyle w:val="149"/>
                    <w:rPr>
                      <w:rFonts w:eastAsia="Times New Roman"/>
                    </w:rPr>
                  </w:pPr>
                  <w:r>
                    <w:rPr>
                      <w:rFonts w:eastAsia="宋体"/>
                    </w:rPr>
                    <w:t>一体化消防泵站</w:t>
                  </w:r>
                </w:p>
              </w:tc>
              <w:tc>
                <w:tcPr>
                  <w:tcW w:w="687" w:type="pct"/>
                  <w:vAlign w:val="center"/>
                </w:tcPr>
                <w:p w14:paraId="2E4374F4">
                  <w:pPr>
                    <w:pStyle w:val="149"/>
                    <w:rPr>
                      <w:rFonts w:eastAsia="Times New Roman"/>
                    </w:rPr>
                  </w:pPr>
                  <w:r>
                    <w:rPr>
                      <w:rFonts w:eastAsia="Times New Roman"/>
                    </w:rPr>
                    <w:t>m</w:t>
                  </w:r>
                  <w:r>
                    <w:rPr>
                      <w:rFonts w:eastAsia="Times New Roman"/>
                      <w:vertAlign w:val="superscript"/>
                    </w:rPr>
                    <w:t>2</w:t>
                  </w:r>
                </w:p>
              </w:tc>
              <w:tc>
                <w:tcPr>
                  <w:tcW w:w="914" w:type="pct"/>
                  <w:vAlign w:val="center"/>
                </w:tcPr>
                <w:p w14:paraId="31AA3B0D">
                  <w:pPr>
                    <w:pStyle w:val="149"/>
                    <w:rPr>
                      <w:rFonts w:eastAsia="Times New Roman"/>
                    </w:rPr>
                  </w:pPr>
                  <w:r>
                    <w:rPr>
                      <w:rFonts w:eastAsia="Times New Roman"/>
                    </w:rPr>
                    <w:t>160</w:t>
                  </w:r>
                </w:p>
              </w:tc>
              <w:tc>
                <w:tcPr>
                  <w:tcW w:w="1798" w:type="pct"/>
                  <w:vAlign w:val="center"/>
                </w:tcPr>
                <w:p w14:paraId="0302DDC9">
                  <w:pPr>
                    <w:pStyle w:val="149"/>
                    <w:rPr>
                      <w:rFonts w:eastAsia="Times New Roman"/>
                    </w:rPr>
                  </w:pPr>
                  <w:r>
                    <w:rPr>
                      <w:rFonts w:eastAsia="宋体"/>
                    </w:rPr>
                    <w:t>地上</w:t>
                  </w:r>
                  <w:r>
                    <w:rPr>
                      <w:rFonts w:eastAsia="Times New Roman"/>
                    </w:rPr>
                    <w:t>8m*20m,</w:t>
                  </w:r>
                  <w:r>
                    <w:rPr>
                      <w:rFonts w:eastAsia="宋体"/>
                    </w:rPr>
                    <w:t>装配式</w:t>
                  </w:r>
                  <w:r>
                    <w:rPr>
                      <w:rFonts w:eastAsia="Times New Roman"/>
                    </w:rPr>
                    <w:t>360m</w:t>
                  </w:r>
                  <w:r>
                    <w:rPr>
                      <w:rFonts w:eastAsia="Times New Roman"/>
                      <w:vertAlign w:val="superscript"/>
                    </w:rPr>
                    <w:t>3</w:t>
                  </w:r>
                  <w:r>
                    <w:rPr>
                      <w:rFonts w:eastAsia="宋体"/>
                    </w:rPr>
                    <w:t>消防水箱</w:t>
                  </w:r>
                </w:p>
              </w:tc>
            </w:tr>
            <w:tr w14:paraId="5D1513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64C57783">
                  <w:pPr>
                    <w:pStyle w:val="149"/>
                    <w:rPr>
                      <w:rFonts w:eastAsia="Times New Roman"/>
                    </w:rPr>
                  </w:pPr>
                  <w:r>
                    <w:rPr>
                      <w:rFonts w:eastAsia="Times New Roman"/>
                    </w:rPr>
                    <w:t>3</w:t>
                  </w:r>
                </w:p>
              </w:tc>
              <w:tc>
                <w:tcPr>
                  <w:tcW w:w="1140" w:type="pct"/>
                  <w:vAlign w:val="center"/>
                </w:tcPr>
                <w:p w14:paraId="431CA09D">
                  <w:pPr>
                    <w:pStyle w:val="149"/>
                    <w:rPr>
                      <w:rFonts w:eastAsia="Times New Roman"/>
                    </w:rPr>
                  </w:pPr>
                  <w:r>
                    <w:rPr>
                      <w:rFonts w:eastAsia="Times New Roman"/>
                    </w:rPr>
                    <w:t>35kV</w:t>
                  </w:r>
                  <w:r>
                    <w:rPr>
                      <w:rFonts w:eastAsia="宋体"/>
                    </w:rPr>
                    <w:t>配电装置预制舱</w:t>
                  </w:r>
                </w:p>
              </w:tc>
              <w:tc>
                <w:tcPr>
                  <w:tcW w:w="687" w:type="pct"/>
                  <w:vAlign w:val="center"/>
                </w:tcPr>
                <w:p w14:paraId="6563FD4D">
                  <w:pPr>
                    <w:pStyle w:val="149"/>
                    <w:rPr>
                      <w:rFonts w:eastAsia="Times New Roman"/>
                    </w:rPr>
                  </w:pPr>
                  <w:r>
                    <w:rPr>
                      <w:rFonts w:eastAsia="宋体"/>
                    </w:rPr>
                    <w:t>座</w:t>
                  </w:r>
                </w:p>
              </w:tc>
              <w:tc>
                <w:tcPr>
                  <w:tcW w:w="914" w:type="pct"/>
                  <w:vAlign w:val="center"/>
                </w:tcPr>
                <w:p w14:paraId="6DD359DC">
                  <w:pPr>
                    <w:pStyle w:val="149"/>
                    <w:rPr>
                      <w:rFonts w:eastAsia="Times New Roman"/>
                    </w:rPr>
                  </w:pPr>
                  <w:r>
                    <w:rPr>
                      <w:rFonts w:eastAsia="Times New Roman"/>
                    </w:rPr>
                    <w:t>1</w:t>
                  </w:r>
                </w:p>
              </w:tc>
              <w:tc>
                <w:tcPr>
                  <w:tcW w:w="1798" w:type="pct"/>
                  <w:vAlign w:val="center"/>
                </w:tcPr>
                <w:p w14:paraId="6F59764F">
                  <w:pPr>
                    <w:pStyle w:val="149"/>
                    <w:rPr>
                      <w:rFonts w:eastAsia="Times New Roman"/>
                    </w:rPr>
                  </w:pPr>
                  <w:r>
                    <w:rPr>
                      <w:rFonts w:eastAsia="Times New Roman"/>
                    </w:rPr>
                    <w:t>2</w:t>
                  </w:r>
                  <w:r>
                    <w:rPr>
                      <w:rFonts w:eastAsia="宋体"/>
                    </w:rPr>
                    <w:t>层，面积</w:t>
                  </w:r>
                  <w:r>
                    <w:rPr>
                      <w:rFonts w:eastAsia="Times New Roman"/>
                    </w:rPr>
                    <w:t>371</w:t>
                  </w:r>
                  <w:r>
                    <w:rPr>
                      <w:rFonts w:eastAsia="宋体"/>
                    </w:rPr>
                    <w:t>平方米</w:t>
                  </w:r>
                </w:p>
              </w:tc>
            </w:tr>
            <w:tr w14:paraId="48E22F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4349B2AE">
                  <w:pPr>
                    <w:pStyle w:val="149"/>
                    <w:rPr>
                      <w:rFonts w:eastAsia="Times New Roman"/>
                    </w:rPr>
                  </w:pPr>
                  <w:r>
                    <w:rPr>
                      <w:rFonts w:eastAsia="Times New Roman"/>
                    </w:rPr>
                    <w:t>4</w:t>
                  </w:r>
                </w:p>
              </w:tc>
              <w:tc>
                <w:tcPr>
                  <w:tcW w:w="1140" w:type="pct"/>
                  <w:vAlign w:val="center"/>
                </w:tcPr>
                <w:p w14:paraId="0F130149">
                  <w:pPr>
                    <w:pStyle w:val="149"/>
                    <w:rPr>
                      <w:rFonts w:eastAsia="Times New Roman"/>
                    </w:rPr>
                  </w:pPr>
                  <w:r>
                    <w:rPr>
                      <w:rFonts w:eastAsia="Times New Roman"/>
                    </w:rPr>
                    <w:t>35kV</w:t>
                  </w:r>
                  <w:r>
                    <w:rPr>
                      <w:rFonts w:eastAsia="宋体"/>
                    </w:rPr>
                    <w:t>站用变舱</w:t>
                  </w:r>
                </w:p>
              </w:tc>
              <w:tc>
                <w:tcPr>
                  <w:tcW w:w="687" w:type="pct"/>
                  <w:vAlign w:val="center"/>
                </w:tcPr>
                <w:p w14:paraId="726E1519">
                  <w:pPr>
                    <w:pStyle w:val="149"/>
                    <w:rPr>
                      <w:rFonts w:eastAsia="Times New Roman"/>
                    </w:rPr>
                  </w:pPr>
                  <w:r>
                    <w:rPr>
                      <w:rFonts w:eastAsia="宋体"/>
                    </w:rPr>
                    <w:t>座</w:t>
                  </w:r>
                </w:p>
              </w:tc>
              <w:tc>
                <w:tcPr>
                  <w:tcW w:w="914" w:type="pct"/>
                  <w:vAlign w:val="center"/>
                </w:tcPr>
                <w:p w14:paraId="062CE365">
                  <w:pPr>
                    <w:pStyle w:val="149"/>
                    <w:rPr>
                      <w:rFonts w:eastAsia="Times New Roman"/>
                    </w:rPr>
                  </w:pPr>
                  <w:r>
                    <w:rPr>
                      <w:rFonts w:eastAsia="Times New Roman"/>
                    </w:rPr>
                    <w:t>1</w:t>
                  </w:r>
                </w:p>
              </w:tc>
              <w:tc>
                <w:tcPr>
                  <w:tcW w:w="1798" w:type="pct"/>
                  <w:vAlign w:val="center"/>
                </w:tcPr>
                <w:p w14:paraId="0A1B0E4E">
                  <w:pPr>
                    <w:pStyle w:val="149"/>
                    <w:rPr>
                      <w:rFonts w:eastAsia="Times New Roman"/>
                    </w:rPr>
                  </w:pPr>
                  <w:r>
                    <w:rPr>
                      <w:rFonts w:eastAsia="宋体"/>
                    </w:rPr>
                    <w:t>占地面积</w:t>
                  </w:r>
                  <w:r>
                    <w:rPr>
                      <w:rFonts w:eastAsia="Times New Roman"/>
                    </w:rPr>
                    <w:t>31.96</w:t>
                  </w:r>
                  <w:r>
                    <w:rPr>
                      <w:rFonts w:eastAsia="宋体"/>
                    </w:rPr>
                    <w:t>平方米</w:t>
                  </w:r>
                </w:p>
              </w:tc>
            </w:tr>
            <w:tr w14:paraId="06C6E7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17F5E6CF">
                  <w:pPr>
                    <w:pStyle w:val="149"/>
                    <w:rPr>
                      <w:rFonts w:eastAsia="Times New Roman"/>
                    </w:rPr>
                  </w:pPr>
                  <w:r>
                    <w:rPr>
                      <w:rFonts w:eastAsia="Times New Roman"/>
                    </w:rPr>
                    <w:t>5</w:t>
                  </w:r>
                </w:p>
              </w:tc>
              <w:tc>
                <w:tcPr>
                  <w:tcW w:w="1140" w:type="pct"/>
                  <w:vAlign w:val="center"/>
                </w:tcPr>
                <w:p w14:paraId="1D47A61A">
                  <w:pPr>
                    <w:pStyle w:val="149"/>
                    <w:rPr>
                      <w:rFonts w:eastAsia="Times New Roman"/>
                    </w:rPr>
                  </w:pPr>
                  <w:r>
                    <w:rPr>
                      <w:rFonts w:eastAsia="Times New Roman"/>
                    </w:rPr>
                    <w:t>400kV</w:t>
                  </w:r>
                  <w:r>
                    <w:rPr>
                      <w:rFonts w:eastAsia="宋体"/>
                    </w:rPr>
                    <w:t>低压配电舱</w:t>
                  </w:r>
                </w:p>
              </w:tc>
              <w:tc>
                <w:tcPr>
                  <w:tcW w:w="687" w:type="pct"/>
                  <w:vAlign w:val="center"/>
                </w:tcPr>
                <w:p w14:paraId="3E5CBF87">
                  <w:pPr>
                    <w:pStyle w:val="149"/>
                    <w:rPr>
                      <w:rFonts w:eastAsia="Times New Roman"/>
                    </w:rPr>
                  </w:pPr>
                  <w:r>
                    <w:rPr>
                      <w:rFonts w:eastAsia="宋体"/>
                    </w:rPr>
                    <w:t>座</w:t>
                  </w:r>
                </w:p>
              </w:tc>
              <w:tc>
                <w:tcPr>
                  <w:tcW w:w="914" w:type="pct"/>
                  <w:vAlign w:val="center"/>
                </w:tcPr>
                <w:p w14:paraId="73C45020">
                  <w:pPr>
                    <w:pStyle w:val="149"/>
                    <w:rPr>
                      <w:rFonts w:eastAsia="Times New Roman"/>
                    </w:rPr>
                  </w:pPr>
                  <w:r>
                    <w:rPr>
                      <w:rFonts w:eastAsia="Times New Roman"/>
                    </w:rPr>
                    <w:t>1</w:t>
                  </w:r>
                </w:p>
              </w:tc>
              <w:tc>
                <w:tcPr>
                  <w:tcW w:w="1798" w:type="pct"/>
                  <w:vAlign w:val="center"/>
                </w:tcPr>
                <w:p w14:paraId="0B156940">
                  <w:pPr>
                    <w:pStyle w:val="149"/>
                    <w:rPr>
                      <w:rFonts w:eastAsia="Times New Roman"/>
                    </w:rPr>
                  </w:pPr>
                  <w:r>
                    <w:rPr>
                      <w:rFonts w:eastAsia="宋体"/>
                    </w:rPr>
                    <w:t>占地面积</w:t>
                  </w:r>
                  <w:r>
                    <w:rPr>
                      <w:rFonts w:eastAsia="Times New Roman"/>
                    </w:rPr>
                    <w:t>50.4</w:t>
                  </w:r>
                  <w:r>
                    <w:rPr>
                      <w:rFonts w:eastAsia="宋体"/>
                    </w:rPr>
                    <w:t>平方米</w:t>
                  </w:r>
                </w:p>
              </w:tc>
            </w:tr>
            <w:tr w14:paraId="131928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2D8B2C1C">
                  <w:pPr>
                    <w:pStyle w:val="149"/>
                    <w:rPr>
                      <w:rFonts w:eastAsia="Times New Roman"/>
                    </w:rPr>
                  </w:pPr>
                  <w:r>
                    <w:rPr>
                      <w:rFonts w:eastAsia="Times New Roman"/>
                    </w:rPr>
                    <w:t>6</w:t>
                  </w:r>
                </w:p>
              </w:tc>
              <w:tc>
                <w:tcPr>
                  <w:tcW w:w="1140" w:type="pct"/>
                  <w:vAlign w:val="center"/>
                </w:tcPr>
                <w:p w14:paraId="17D1343B">
                  <w:pPr>
                    <w:pStyle w:val="149"/>
                    <w:rPr>
                      <w:rFonts w:eastAsia="Times New Roman"/>
                    </w:rPr>
                  </w:pPr>
                  <w:r>
                    <w:rPr>
                      <w:rFonts w:eastAsia="宋体"/>
                    </w:rPr>
                    <w:t>危废仓</w:t>
                  </w:r>
                </w:p>
              </w:tc>
              <w:tc>
                <w:tcPr>
                  <w:tcW w:w="687" w:type="pct"/>
                  <w:vAlign w:val="center"/>
                </w:tcPr>
                <w:p w14:paraId="6B14DBE4">
                  <w:pPr>
                    <w:pStyle w:val="149"/>
                    <w:rPr>
                      <w:rFonts w:eastAsia="Times New Roman"/>
                    </w:rPr>
                  </w:pPr>
                  <w:r>
                    <w:rPr>
                      <w:rFonts w:eastAsia="宋体"/>
                    </w:rPr>
                    <w:t>座</w:t>
                  </w:r>
                </w:p>
              </w:tc>
              <w:tc>
                <w:tcPr>
                  <w:tcW w:w="914" w:type="pct"/>
                  <w:vAlign w:val="center"/>
                </w:tcPr>
                <w:p w14:paraId="400A1954">
                  <w:pPr>
                    <w:pStyle w:val="149"/>
                    <w:rPr>
                      <w:rFonts w:eastAsia="Times New Roman"/>
                    </w:rPr>
                  </w:pPr>
                  <w:r>
                    <w:rPr>
                      <w:rFonts w:eastAsia="Times New Roman"/>
                    </w:rPr>
                    <w:t>1</w:t>
                  </w:r>
                </w:p>
              </w:tc>
              <w:tc>
                <w:tcPr>
                  <w:tcW w:w="1798" w:type="pct"/>
                  <w:vAlign w:val="center"/>
                </w:tcPr>
                <w:p w14:paraId="20A2DAE6">
                  <w:pPr>
                    <w:pStyle w:val="149"/>
                    <w:rPr>
                      <w:rFonts w:eastAsia="Times New Roman"/>
                    </w:rPr>
                  </w:pPr>
                  <w:r>
                    <w:rPr>
                      <w:rFonts w:eastAsia="宋体"/>
                    </w:rPr>
                    <w:t>占地面积</w:t>
                  </w:r>
                  <w:r>
                    <w:rPr>
                      <w:rFonts w:eastAsia="Times New Roman"/>
                    </w:rPr>
                    <w:t>12.5</w:t>
                  </w:r>
                  <w:r>
                    <w:rPr>
                      <w:rFonts w:eastAsia="宋体"/>
                    </w:rPr>
                    <w:t>平方米</w:t>
                  </w:r>
                </w:p>
              </w:tc>
            </w:tr>
            <w:tr w14:paraId="47E675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78A81C03">
                  <w:pPr>
                    <w:pStyle w:val="149"/>
                    <w:rPr>
                      <w:rFonts w:eastAsia="Times New Roman"/>
                    </w:rPr>
                  </w:pPr>
                  <w:r>
                    <w:rPr>
                      <w:rFonts w:eastAsia="Times New Roman"/>
                    </w:rPr>
                    <w:t>7</w:t>
                  </w:r>
                </w:p>
              </w:tc>
              <w:tc>
                <w:tcPr>
                  <w:tcW w:w="1140" w:type="pct"/>
                  <w:vAlign w:val="center"/>
                </w:tcPr>
                <w:p w14:paraId="53AE5F66">
                  <w:pPr>
                    <w:pStyle w:val="149"/>
                    <w:rPr>
                      <w:rFonts w:eastAsia="Times New Roman"/>
                    </w:rPr>
                  </w:pPr>
                  <w:r>
                    <w:rPr>
                      <w:rFonts w:eastAsia="宋体"/>
                    </w:rPr>
                    <w:t>主变压器</w:t>
                  </w:r>
                </w:p>
              </w:tc>
              <w:tc>
                <w:tcPr>
                  <w:tcW w:w="687" w:type="pct"/>
                  <w:vAlign w:val="center"/>
                </w:tcPr>
                <w:p w14:paraId="6FC8AB41">
                  <w:pPr>
                    <w:pStyle w:val="149"/>
                    <w:rPr>
                      <w:rFonts w:eastAsia="Times New Roman"/>
                    </w:rPr>
                  </w:pPr>
                  <w:r>
                    <w:rPr>
                      <w:rFonts w:eastAsia="宋体"/>
                    </w:rPr>
                    <w:t>座</w:t>
                  </w:r>
                </w:p>
              </w:tc>
              <w:tc>
                <w:tcPr>
                  <w:tcW w:w="914" w:type="pct"/>
                  <w:vAlign w:val="center"/>
                </w:tcPr>
                <w:p w14:paraId="404FE5C2">
                  <w:pPr>
                    <w:pStyle w:val="149"/>
                    <w:rPr>
                      <w:rFonts w:eastAsia="Times New Roman"/>
                    </w:rPr>
                  </w:pPr>
                  <w:r>
                    <w:rPr>
                      <w:rFonts w:eastAsia="Times New Roman"/>
                    </w:rPr>
                    <w:t>1</w:t>
                  </w:r>
                </w:p>
              </w:tc>
              <w:tc>
                <w:tcPr>
                  <w:tcW w:w="1798" w:type="pct"/>
                  <w:vAlign w:val="center"/>
                </w:tcPr>
                <w:p w14:paraId="29C91141">
                  <w:pPr>
                    <w:pStyle w:val="149"/>
                    <w:rPr>
                      <w:rFonts w:eastAsia="Times New Roman"/>
                    </w:rPr>
                  </w:pPr>
                  <w:r>
                    <w:rPr>
                      <w:rFonts w:eastAsia="宋体"/>
                    </w:rPr>
                    <w:t>占地面积</w:t>
                  </w:r>
                  <w:r>
                    <w:rPr>
                      <w:rFonts w:eastAsia="Times New Roman"/>
                    </w:rPr>
                    <w:t>128.96</w:t>
                  </w:r>
                  <w:r>
                    <w:rPr>
                      <w:rFonts w:eastAsia="宋体"/>
                    </w:rPr>
                    <w:t>平方米</w:t>
                  </w:r>
                </w:p>
              </w:tc>
            </w:tr>
            <w:tr w14:paraId="15EB70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154EBA4A">
                  <w:pPr>
                    <w:pStyle w:val="149"/>
                    <w:rPr>
                      <w:rFonts w:eastAsia="Times New Roman"/>
                    </w:rPr>
                  </w:pPr>
                  <w:r>
                    <w:rPr>
                      <w:rFonts w:eastAsia="Times New Roman"/>
                    </w:rPr>
                    <w:t>8</w:t>
                  </w:r>
                </w:p>
              </w:tc>
              <w:tc>
                <w:tcPr>
                  <w:tcW w:w="1140" w:type="pct"/>
                  <w:vAlign w:val="center"/>
                </w:tcPr>
                <w:p w14:paraId="1A66FEF8">
                  <w:pPr>
                    <w:pStyle w:val="149"/>
                    <w:rPr>
                      <w:rFonts w:eastAsia="Times New Roman"/>
                    </w:rPr>
                  </w:pPr>
                  <w:r>
                    <w:rPr>
                      <w:rFonts w:eastAsia="宋体"/>
                    </w:rPr>
                    <w:t>事故油池</w:t>
                  </w:r>
                </w:p>
              </w:tc>
              <w:tc>
                <w:tcPr>
                  <w:tcW w:w="687" w:type="pct"/>
                  <w:vAlign w:val="center"/>
                </w:tcPr>
                <w:p w14:paraId="0234DA5A">
                  <w:pPr>
                    <w:pStyle w:val="149"/>
                    <w:rPr>
                      <w:rFonts w:eastAsia="Times New Roman"/>
                    </w:rPr>
                  </w:pPr>
                  <w:r>
                    <w:rPr>
                      <w:rFonts w:eastAsia="宋体"/>
                    </w:rPr>
                    <w:t>座</w:t>
                  </w:r>
                </w:p>
              </w:tc>
              <w:tc>
                <w:tcPr>
                  <w:tcW w:w="914" w:type="pct"/>
                  <w:vAlign w:val="center"/>
                </w:tcPr>
                <w:p w14:paraId="4CF118C1">
                  <w:pPr>
                    <w:pStyle w:val="149"/>
                    <w:rPr>
                      <w:rFonts w:eastAsia="Times New Roman"/>
                    </w:rPr>
                  </w:pPr>
                  <w:r>
                    <w:rPr>
                      <w:rFonts w:eastAsia="Times New Roman"/>
                    </w:rPr>
                    <w:t>1</w:t>
                  </w:r>
                </w:p>
              </w:tc>
              <w:tc>
                <w:tcPr>
                  <w:tcW w:w="1798" w:type="pct"/>
                  <w:vAlign w:val="center"/>
                </w:tcPr>
                <w:p w14:paraId="409B594B">
                  <w:pPr>
                    <w:pStyle w:val="149"/>
                    <w:rPr>
                      <w:rFonts w:eastAsia="Times New Roman"/>
                    </w:rPr>
                  </w:pPr>
                  <w:r>
                    <w:rPr>
                      <w:rFonts w:eastAsia="宋体"/>
                    </w:rPr>
                    <w:t>有效容积</w:t>
                  </w:r>
                  <w:r>
                    <w:rPr>
                      <w:rFonts w:eastAsia="Times New Roman"/>
                    </w:rPr>
                    <w:t>95m</w:t>
                  </w:r>
                  <w:r>
                    <w:rPr>
                      <w:rFonts w:eastAsia="Times New Roman"/>
                      <w:vertAlign w:val="superscript"/>
                    </w:rPr>
                    <w:t>3</w:t>
                  </w:r>
                  <w:r>
                    <w:rPr>
                      <w:rFonts w:eastAsia="宋体"/>
                    </w:rPr>
                    <w:t>，钢筋砼现浇筑</w:t>
                  </w:r>
                </w:p>
              </w:tc>
            </w:tr>
            <w:tr w14:paraId="50BD63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7ADF520A">
                  <w:pPr>
                    <w:pStyle w:val="149"/>
                    <w:rPr>
                      <w:rFonts w:eastAsia="Times New Roman"/>
                    </w:rPr>
                  </w:pPr>
                  <w:r>
                    <w:rPr>
                      <w:rFonts w:eastAsia="Times New Roman"/>
                    </w:rPr>
                    <w:t>9</w:t>
                  </w:r>
                </w:p>
              </w:tc>
              <w:tc>
                <w:tcPr>
                  <w:tcW w:w="1140" w:type="pct"/>
                  <w:vAlign w:val="center"/>
                </w:tcPr>
                <w:p w14:paraId="6552A175">
                  <w:pPr>
                    <w:pStyle w:val="149"/>
                    <w:rPr>
                      <w:rFonts w:eastAsia="Times New Roman"/>
                    </w:rPr>
                  </w:pPr>
                  <w:r>
                    <w:rPr>
                      <w:rFonts w:eastAsia="Times New Roman"/>
                    </w:rPr>
                    <w:t>1#SVG</w:t>
                  </w:r>
                </w:p>
              </w:tc>
              <w:tc>
                <w:tcPr>
                  <w:tcW w:w="687" w:type="pct"/>
                  <w:vAlign w:val="center"/>
                </w:tcPr>
                <w:p w14:paraId="6625B40F">
                  <w:pPr>
                    <w:pStyle w:val="149"/>
                    <w:rPr>
                      <w:rFonts w:eastAsia="Times New Roman"/>
                    </w:rPr>
                  </w:pPr>
                  <w:r>
                    <w:rPr>
                      <w:rFonts w:eastAsia="宋体"/>
                    </w:rPr>
                    <w:t>座</w:t>
                  </w:r>
                </w:p>
              </w:tc>
              <w:tc>
                <w:tcPr>
                  <w:tcW w:w="914" w:type="pct"/>
                  <w:vAlign w:val="center"/>
                </w:tcPr>
                <w:p w14:paraId="6A2E5323">
                  <w:pPr>
                    <w:pStyle w:val="149"/>
                    <w:rPr>
                      <w:rFonts w:eastAsia="Times New Roman"/>
                    </w:rPr>
                  </w:pPr>
                  <w:r>
                    <w:rPr>
                      <w:rFonts w:eastAsia="Times New Roman"/>
                    </w:rPr>
                    <w:t>1</w:t>
                  </w:r>
                </w:p>
              </w:tc>
              <w:tc>
                <w:tcPr>
                  <w:tcW w:w="1798" w:type="pct"/>
                  <w:vAlign w:val="center"/>
                </w:tcPr>
                <w:p w14:paraId="75DBE210">
                  <w:pPr>
                    <w:pStyle w:val="149"/>
                    <w:rPr>
                      <w:rFonts w:eastAsia="Times New Roman"/>
                    </w:rPr>
                  </w:pPr>
                  <w:r>
                    <w:rPr>
                      <w:rFonts w:eastAsia="宋体"/>
                    </w:rPr>
                    <w:t>占地面积</w:t>
                  </w:r>
                  <w:r>
                    <w:rPr>
                      <w:rFonts w:eastAsia="Times New Roman"/>
                    </w:rPr>
                    <w:t>156.48</w:t>
                  </w:r>
                  <w:r>
                    <w:rPr>
                      <w:rFonts w:eastAsia="宋体"/>
                    </w:rPr>
                    <w:t>平方米</w:t>
                  </w:r>
                </w:p>
              </w:tc>
            </w:tr>
            <w:tr w14:paraId="631F8B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34517976">
                  <w:pPr>
                    <w:pStyle w:val="149"/>
                    <w:rPr>
                      <w:rFonts w:eastAsia="Times New Roman"/>
                    </w:rPr>
                  </w:pPr>
                  <w:r>
                    <w:rPr>
                      <w:rFonts w:eastAsia="Times New Roman"/>
                    </w:rPr>
                    <w:t>10</w:t>
                  </w:r>
                </w:p>
              </w:tc>
              <w:tc>
                <w:tcPr>
                  <w:tcW w:w="1140" w:type="pct"/>
                  <w:vAlign w:val="center"/>
                </w:tcPr>
                <w:p w14:paraId="798FF252">
                  <w:pPr>
                    <w:pStyle w:val="149"/>
                    <w:rPr>
                      <w:rFonts w:eastAsia="Times New Roman"/>
                    </w:rPr>
                  </w:pPr>
                  <w:r>
                    <w:rPr>
                      <w:rFonts w:eastAsia="Times New Roman"/>
                    </w:rPr>
                    <w:t>2#SVG</w:t>
                  </w:r>
                </w:p>
              </w:tc>
              <w:tc>
                <w:tcPr>
                  <w:tcW w:w="687" w:type="pct"/>
                  <w:vAlign w:val="center"/>
                </w:tcPr>
                <w:p w14:paraId="7BBF7435">
                  <w:pPr>
                    <w:pStyle w:val="149"/>
                    <w:rPr>
                      <w:rFonts w:eastAsia="Times New Roman"/>
                    </w:rPr>
                  </w:pPr>
                  <w:r>
                    <w:rPr>
                      <w:rFonts w:eastAsia="宋体"/>
                    </w:rPr>
                    <w:t>座</w:t>
                  </w:r>
                </w:p>
              </w:tc>
              <w:tc>
                <w:tcPr>
                  <w:tcW w:w="914" w:type="pct"/>
                  <w:vAlign w:val="center"/>
                </w:tcPr>
                <w:p w14:paraId="1DE880BD">
                  <w:pPr>
                    <w:pStyle w:val="149"/>
                    <w:rPr>
                      <w:rFonts w:eastAsia="Times New Roman"/>
                    </w:rPr>
                  </w:pPr>
                  <w:r>
                    <w:rPr>
                      <w:rFonts w:eastAsia="Times New Roman"/>
                    </w:rPr>
                    <w:t>1</w:t>
                  </w:r>
                </w:p>
              </w:tc>
              <w:tc>
                <w:tcPr>
                  <w:tcW w:w="1798" w:type="pct"/>
                  <w:vAlign w:val="center"/>
                </w:tcPr>
                <w:p w14:paraId="557669CD">
                  <w:pPr>
                    <w:pStyle w:val="149"/>
                    <w:rPr>
                      <w:rFonts w:eastAsia="Times New Roman"/>
                    </w:rPr>
                  </w:pPr>
                  <w:r>
                    <w:rPr>
                      <w:rFonts w:eastAsia="宋体"/>
                    </w:rPr>
                    <w:t>占地面积</w:t>
                  </w:r>
                  <w:r>
                    <w:rPr>
                      <w:rFonts w:eastAsia="Times New Roman"/>
                    </w:rPr>
                    <w:t>156.48</w:t>
                  </w:r>
                  <w:r>
                    <w:rPr>
                      <w:rFonts w:eastAsia="宋体"/>
                    </w:rPr>
                    <w:t>平方米</w:t>
                  </w:r>
                </w:p>
              </w:tc>
            </w:tr>
            <w:tr w14:paraId="58C2F5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55F188DC">
                  <w:pPr>
                    <w:pStyle w:val="149"/>
                    <w:rPr>
                      <w:rFonts w:eastAsia="Times New Roman"/>
                    </w:rPr>
                  </w:pPr>
                  <w:r>
                    <w:rPr>
                      <w:rFonts w:eastAsia="Times New Roman"/>
                    </w:rPr>
                    <w:t>11</w:t>
                  </w:r>
                </w:p>
              </w:tc>
              <w:tc>
                <w:tcPr>
                  <w:tcW w:w="1140" w:type="pct"/>
                  <w:vAlign w:val="center"/>
                </w:tcPr>
                <w:p w14:paraId="3B6F8202">
                  <w:pPr>
                    <w:pStyle w:val="149"/>
                    <w:rPr>
                      <w:rFonts w:eastAsia="Times New Roman"/>
                    </w:rPr>
                  </w:pPr>
                  <w:r>
                    <w:rPr>
                      <w:rFonts w:eastAsia="Times New Roman"/>
                    </w:rPr>
                    <w:t>10kV</w:t>
                  </w:r>
                  <w:r>
                    <w:rPr>
                      <w:rFonts w:eastAsia="宋体"/>
                    </w:rPr>
                    <w:t>施工变兼站用变</w:t>
                  </w:r>
                </w:p>
              </w:tc>
              <w:tc>
                <w:tcPr>
                  <w:tcW w:w="687" w:type="pct"/>
                  <w:vAlign w:val="center"/>
                </w:tcPr>
                <w:p w14:paraId="34B31CFE">
                  <w:pPr>
                    <w:pStyle w:val="149"/>
                    <w:rPr>
                      <w:rFonts w:eastAsia="Times New Roman"/>
                    </w:rPr>
                  </w:pPr>
                  <w:r>
                    <w:rPr>
                      <w:rFonts w:eastAsia="宋体"/>
                    </w:rPr>
                    <w:t>座</w:t>
                  </w:r>
                </w:p>
              </w:tc>
              <w:tc>
                <w:tcPr>
                  <w:tcW w:w="914" w:type="pct"/>
                  <w:vAlign w:val="center"/>
                </w:tcPr>
                <w:p w14:paraId="4698D77A">
                  <w:pPr>
                    <w:pStyle w:val="149"/>
                    <w:rPr>
                      <w:rFonts w:eastAsia="Times New Roman"/>
                    </w:rPr>
                  </w:pPr>
                  <w:r>
                    <w:rPr>
                      <w:rFonts w:eastAsia="Times New Roman"/>
                    </w:rPr>
                    <w:t>1</w:t>
                  </w:r>
                </w:p>
              </w:tc>
              <w:tc>
                <w:tcPr>
                  <w:tcW w:w="1798" w:type="pct"/>
                  <w:vAlign w:val="center"/>
                </w:tcPr>
                <w:p w14:paraId="12AD8565">
                  <w:pPr>
                    <w:pStyle w:val="149"/>
                    <w:rPr>
                      <w:rFonts w:eastAsia="Times New Roman"/>
                    </w:rPr>
                  </w:pPr>
                  <w:r>
                    <w:rPr>
                      <w:rFonts w:eastAsia="宋体"/>
                    </w:rPr>
                    <w:t>占地面积</w:t>
                  </w:r>
                  <w:r>
                    <w:rPr>
                      <w:rFonts w:eastAsia="Times New Roman"/>
                    </w:rPr>
                    <w:t>12.25</w:t>
                  </w:r>
                  <w:r>
                    <w:rPr>
                      <w:rFonts w:eastAsia="宋体"/>
                    </w:rPr>
                    <w:t>平方米</w:t>
                  </w:r>
                </w:p>
              </w:tc>
            </w:tr>
            <w:tr w14:paraId="79D089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1412CA7E">
                  <w:pPr>
                    <w:pStyle w:val="149"/>
                    <w:rPr>
                      <w:rFonts w:eastAsia="Times New Roman"/>
                    </w:rPr>
                  </w:pPr>
                  <w:r>
                    <w:rPr>
                      <w:rFonts w:eastAsia="Times New Roman"/>
                    </w:rPr>
                    <w:t>12</w:t>
                  </w:r>
                </w:p>
              </w:tc>
              <w:tc>
                <w:tcPr>
                  <w:tcW w:w="1140" w:type="pct"/>
                  <w:vAlign w:val="center"/>
                </w:tcPr>
                <w:p w14:paraId="6093F845">
                  <w:pPr>
                    <w:pStyle w:val="149"/>
                    <w:rPr>
                      <w:rFonts w:eastAsia="Times New Roman"/>
                    </w:rPr>
                  </w:pPr>
                  <w:r>
                    <w:rPr>
                      <w:rFonts w:eastAsia="宋体"/>
                    </w:rPr>
                    <w:t>接地变小电阻成套装置</w:t>
                  </w:r>
                </w:p>
              </w:tc>
              <w:tc>
                <w:tcPr>
                  <w:tcW w:w="687" w:type="pct"/>
                  <w:vAlign w:val="center"/>
                </w:tcPr>
                <w:p w14:paraId="592C7065">
                  <w:pPr>
                    <w:pStyle w:val="149"/>
                    <w:rPr>
                      <w:rFonts w:eastAsia="Times New Roman"/>
                    </w:rPr>
                  </w:pPr>
                  <w:r>
                    <w:rPr>
                      <w:rFonts w:eastAsia="宋体"/>
                    </w:rPr>
                    <w:t>座</w:t>
                  </w:r>
                </w:p>
              </w:tc>
              <w:tc>
                <w:tcPr>
                  <w:tcW w:w="914" w:type="pct"/>
                  <w:vAlign w:val="center"/>
                </w:tcPr>
                <w:p w14:paraId="3E2A848E">
                  <w:pPr>
                    <w:pStyle w:val="149"/>
                    <w:rPr>
                      <w:rFonts w:eastAsia="Times New Roman"/>
                    </w:rPr>
                  </w:pPr>
                  <w:r>
                    <w:rPr>
                      <w:rFonts w:eastAsia="Times New Roman"/>
                    </w:rPr>
                    <w:t>1</w:t>
                  </w:r>
                </w:p>
              </w:tc>
              <w:tc>
                <w:tcPr>
                  <w:tcW w:w="1798" w:type="pct"/>
                  <w:vAlign w:val="center"/>
                </w:tcPr>
                <w:p w14:paraId="74EFAE86">
                  <w:pPr>
                    <w:pStyle w:val="149"/>
                    <w:rPr>
                      <w:rFonts w:eastAsia="Times New Roman"/>
                    </w:rPr>
                  </w:pPr>
                  <w:r>
                    <w:rPr>
                      <w:rFonts w:eastAsia="宋体"/>
                    </w:rPr>
                    <w:t>占地面积</w:t>
                  </w:r>
                  <w:r>
                    <w:rPr>
                      <w:rFonts w:eastAsia="Times New Roman"/>
                    </w:rPr>
                    <w:t>8.08</w:t>
                  </w:r>
                  <w:r>
                    <w:rPr>
                      <w:rFonts w:eastAsia="宋体"/>
                    </w:rPr>
                    <w:t>平方米</w:t>
                  </w:r>
                </w:p>
              </w:tc>
            </w:tr>
            <w:tr w14:paraId="5FFAA6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7308E891">
                  <w:pPr>
                    <w:pStyle w:val="149"/>
                    <w:rPr>
                      <w:rFonts w:eastAsia="Times New Roman"/>
                    </w:rPr>
                  </w:pPr>
                  <w:r>
                    <w:rPr>
                      <w:rFonts w:eastAsia="Times New Roman"/>
                    </w:rPr>
                    <w:t>13</w:t>
                  </w:r>
                </w:p>
              </w:tc>
              <w:tc>
                <w:tcPr>
                  <w:tcW w:w="1140" w:type="pct"/>
                  <w:vAlign w:val="center"/>
                </w:tcPr>
                <w:p w14:paraId="52CAA92E">
                  <w:pPr>
                    <w:pStyle w:val="149"/>
                    <w:rPr>
                      <w:rFonts w:eastAsia="Times New Roman"/>
                    </w:rPr>
                  </w:pPr>
                  <w:r>
                    <w:rPr>
                      <w:rFonts w:eastAsia="Times New Roman"/>
                    </w:rPr>
                    <w:t>2.5MW/5MWh</w:t>
                  </w:r>
                  <w:r>
                    <w:rPr>
                      <w:rFonts w:eastAsia="宋体"/>
                    </w:rPr>
                    <w:t>储能舱</w:t>
                  </w:r>
                </w:p>
              </w:tc>
              <w:tc>
                <w:tcPr>
                  <w:tcW w:w="687" w:type="pct"/>
                  <w:vAlign w:val="center"/>
                </w:tcPr>
                <w:p w14:paraId="0CC45350">
                  <w:pPr>
                    <w:pStyle w:val="149"/>
                    <w:rPr>
                      <w:rFonts w:eastAsia="Times New Roman"/>
                    </w:rPr>
                  </w:pPr>
                  <w:r>
                    <w:rPr>
                      <w:rFonts w:eastAsia="宋体"/>
                    </w:rPr>
                    <w:t>座</w:t>
                  </w:r>
                </w:p>
              </w:tc>
              <w:tc>
                <w:tcPr>
                  <w:tcW w:w="914" w:type="pct"/>
                  <w:vAlign w:val="center"/>
                </w:tcPr>
                <w:p w14:paraId="6994104C">
                  <w:pPr>
                    <w:pStyle w:val="149"/>
                    <w:rPr>
                      <w:rFonts w:eastAsia="Times New Roman"/>
                    </w:rPr>
                  </w:pPr>
                  <w:r>
                    <w:rPr>
                      <w:rFonts w:eastAsia="Times New Roman"/>
                    </w:rPr>
                    <w:t>84</w:t>
                  </w:r>
                </w:p>
              </w:tc>
              <w:tc>
                <w:tcPr>
                  <w:tcW w:w="1798" w:type="pct"/>
                  <w:vAlign w:val="center"/>
                </w:tcPr>
                <w:p w14:paraId="1FB621A2">
                  <w:pPr>
                    <w:pStyle w:val="149"/>
                    <w:rPr>
                      <w:rFonts w:eastAsia="Times New Roman"/>
                    </w:rPr>
                  </w:pPr>
                  <w:r>
                    <w:rPr>
                      <w:rFonts w:eastAsia="宋体"/>
                    </w:rPr>
                    <w:t>占地面积</w:t>
                  </w:r>
                  <w:r>
                    <w:rPr>
                      <w:rFonts w:eastAsia="Times New Roman"/>
                    </w:rPr>
                    <w:t>1240.68</w:t>
                  </w:r>
                  <w:r>
                    <w:rPr>
                      <w:rFonts w:eastAsia="宋体"/>
                    </w:rPr>
                    <w:t>平方米</w:t>
                  </w:r>
                </w:p>
              </w:tc>
            </w:tr>
            <w:tr w14:paraId="7E603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57DDFBF9">
                  <w:pPr>
                    <w:pStyle w:val="149"/>
                    <w:rPr>
                      <w:rFonts w:eastAsia="Times New Roman"/>
                    </w:rPr>
                  </w:pPr>
                  <w:r>
                    <w:rPr>
                      <w:rFonts w:eastAsia="Times New Roman"/>
                    </w:rPr>
                    <w:t>14</w:t>
                  </w:r>
                </w:p>
              </w:tc>
              <w:tc>
                <w:tcPr>
                  <w:tcW w:w="1140" w:type="pct"/>
                  <w:vAlign w:val="center"/>
                </w:tcPr>
                <w:p w14:paraId="6B4967FB">
                  <w:pPr>
                    <w:pStyle w:val="149"/>
                    <w:rPr>
                      <w:rFonts w:eastAsia="Times New Roman"/>
                    </w:rPr>
                  </w:pPr>
                  <w:r>
                    <w:rPr>
                      <w:rFonts w:eastAsia="宋体"/>
                    </w:rPr>
                    <w:t>变流升压设备</w:t>
                  </w:r>
                </w:p>
              </w:tc>
              <w:tc>
                <w:tcPr>
                  <w:tcW w:w="687" w:type="pct"/>
                  <w:vAlign w:val="center"/>
                </w:tcPr>
                <w:p w14:paraId="675D61C9">
                  <w:pPr>
                    <w:pStyle w:val="149"/>
                    <w:rPr>
                      <w:rFonts w:eastAsia="Times New Roman"/>
                    </w:rPr>
                  </w:pPr>
                  <w:r>
                    <w:rPr>
                      <w:rFonts w:eastAsia="宋体"/>
                    </w:rPr>
                    <w:t>座</w:t>
                  </w:r>
                </w:p>
              </w:tc>
              <w:tc>
                <w:tcPr>
                  <w:tcW w:w="914" w:type="pct"/>
                  <w:vAlign w:val="center"/>
                </w:tcPr>
                <w:p w14:paraId="30A22226">
                  <w:pPr>
                    <w:pStyle w:val="149"/>
                    <w:rPr>
                      <w:rFonts w:eastAsia="Times New Roman"/>
                    </w:rPr>
                  </w:pPr>
                  <w:r>
                    <w:rPr>
                      <w:rFonts w:eastAsia="Times New Roman"/>
                    </w:rPr>
                    <w:t>42</w:t>
                  </w:r>
                </w:p>
              </w:tc>
              <w:tc>
                <w:tcPr>
                  <w:tcW w:w="1798" w:type="pct"/>
                  <w:vAlign w:val="center"/>
                </w:tcPr>
                <w:p w14:paraId="25E3EE8F">
                  <w:pPr>
                    <w:pStyle w:val="149"/>
                    <w:rPr>
                      <w:rFonts w:eastAsia="Times New Roman"/>
                    </w:rPr>
                  </w:pPr>
                  <w:r>
                    <w:rPr>
                      <w:rFonts w:eastAsia="宋体"/>
                    </w:rPr>
                    <w:t>占地面积</w:t>
                  </w:r>
                  <w:r>
                    <w:rPr>
                      <w:rFonts w:eastAsia="Times New Roman"/>
                    </w:rPr>
                    <w:t>1008</w:t>
                  </w:r>
                  <w:r>
                    <w:rPr>
                      <w:rFonts w:eastAsia="宋体"/>
                    </w:rPr>
                    <w:t>平方米</w:t>
                  </w:r>
                </w:p>
              </w:tc>
            </w:tr>
            <w:tr w14:paraId="5FBB5A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754FA811">
                  <w:pPr>
                    <w:pStyle w:val="149"/>
                    <w:rPr>
                      <w:rFonts w:eastAsia="Times New Roman"/>
                    </w:rPr>
                  </w:pPr>
                  <w:r>
                    <w:rPr>
                      <w:rFonts w:eastAsia="Times New Roman"/>
                    </w:rPr>
                    <w:t>15</w:t>
                  </w:r>
                </w:p>
              </w:tc>
              <w:tc>
                <w:tcPr>
                  <w:tcW w:w="1140" w:type="pct"/>
                  <w:vAlign w:val="center"/>
                </w:tcPr>
                <w:p w14:paraId="14B70AC1">
                  <w:pPr>
                    <w:pStyle w:val="149"/>
                    <w:rPr>
                      <w:rFonts w:eastAsia="Times New Roman"/>
                    </w:rPr>
                  </w:pPr>
                  <w:r>
                    <w:rPr>
                      <w:rFonts w:eastAsia="宋体"/>
                    </w:rPr>
                    <w:t>防火墙</w:t>
                  </w:r>
                </w:p>
              </w:tc>
              <w:tc>
                <w:tcPr>
                  <w:tcW w:w="687" w:type="pct"/>
                  <w:vAlign w:val="center"/>
                </w:tcPr>
                <w:p w14:paraId="48C44CD7">
                  <w:pPr>
                    <w:pStyle w:val="149"/>
                    <w:rPr>
                      <w:rFonts w:eastAsia="Times New Roman"/>
                    </w:rPr>
                  </w:pPr>
                  <w:r>
                    <w:rPr>
                      <w:rFonts w:eastAsia="宋体"/>
                    </w:rPr>
                    <w:t>座</w:t>
                  </w:r>
                </w:p>
              </w:tc>
              <w:tc>
                <w:tcPr>
                  <w:tcW w:w="914" w:type="pct"/>
                  <w:vAlign w:val="center"/>
                </w:tcPr>
                <w:p w14:paraId="51C78FC7">
                  <w:pPr>
                    <w:pStyle w:val="149"/>
                    <w:rPr>
                      <w:rFonts w:eastAsia="Times New Roman"/>
                    </w:rPr>
                  </w:pPr>
                  <w:r>
                    <w:rPr>
                      <w:rFonts w:eastAsia="Times New Roman"/>
                    </w:rPr>
                    <w:t>42</w:t>
                  </w:r>
                </w:p>
              </w:tc>
              <w:tc>
                <w:tcPr>
                  <w:tcW w:w="1798" w:type="pct"/>
                  <w:vAlign w:val="center"/>
                </w:tcPr>
                <w:p w14:paraId="402DDE45">
                  <w:pPr>
                    <w:pStyle w:val="149"/>
                    <w:rPr>
                      <w:rFonts w:eastAsia="Times New Roman"/>
                    </w:rPr>
                  </w:pPr>
                  <w:r>
                    <w:rPr>
                      <w:rFonts w:eastAsia="Times New Roman"/>
                    </w:rPr>
                    <w:t>/</w:t>
                  </w:r>
                </w:p>
              </w:tc>
            </w:tr>
            <w:tr w14:paraId="1C6E68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317BF2CA">
                  <w:pPr>
                    <w:pStyle w:val="149"/>
                    <w:rPr>
                      <w:rFonts w:eastAsia="Times New Roman"/>
                    </w:rPr>
                  </w:pPr>
                  <w:r>
                    <w:rPr>
                      <w:rFonts w:eastAsia="Times New Roman"/>
                    </w:rPr>
                    <w:t>16</w:t>
                  </w:r>
                </w:p>
              </w:tc>
              <w:tc>
                <w:tcPr>
                  <w:tcW w:w="1140" w:type="pct"/>
                  <w:vAlign w:val="center"/>
                </w:tcPr>
                <w:p w14:paraId="4565768F">
                  <w:pPr>
                    <w:pStyle w:val="149"/>
                    <w:rPr>
                      <w:rFonts w:eastAsia="Times New Roman"/>
                    </w:rPr>
                  </w:pPr>
                  <w:r>
                    <w:rPr>
                      <w:rFonts w:eastAsia="宋体"/>
                    </w:rPr>
                    <w:t>化粪池</w:t>
                  </w:r>
                </w:p>
              </w:tc>
              <w:tc>
                <w:tcPr>
                  <w:tcW w:w="687" w:type="pct"/>
                  <w:vAlign w:val="center"/>
                </w:tcPr>
                <w:p w14:paraId="05F01134">
                  <w:pPr>
                    <w:pStyle w:val="149"/>
                    <w:rPr>
                      <w:rFonts w:eastAsia="Times New Roman"/>
                    </w:rPr>
                  </w:pPr>
                  <w:r>
                    <w:rPr>
                      <w:rFonts w:eastAsia="宋体"/>
                    </w:rPr>
                    <w:t>座</w:t>
                  </w:r>
                </w:p>
              </w:tc>
              <w:tc>
                <w:tcPr>
                  <w:tcW w:w="914" w:type="pct"/>
                  <w:vAlign w:val="center"/>
                </w:tcPr>
                <w:p w14:paraId="4CEDED87">
                  <w:pPr>
                    <w:pStyle w:val="149"/>
                    <w:rPr>
                      <w:rFonts w:eastAsia="Times New Roman"/>
                    </w:rPr>
                  </w:pPr>
                  <w:r>
                    <w:rPr>
                      <w:rFonts w:eastAsia="Times New Roman"/>
                    </w:rPr>
                    <w:t>1</w:t>
                  </w:r>
                </w:p>
              </w:tc>
              <w:tc>
                <w:tcPr>
                  <w:tcW w:w="1798" w:type="pct"/>
                  <w:vAlign w:val="center"/>
                </w:tcPr>
                <w:p w14:paraId="4CA284F8">
                  <w:pPr>
                    <w:pStyle w:val="149"/>
                    <w:rPr>
                      <w:rFonts w:eastAsia="Times New Roman"/>
                    </w:rPr>
                  </w:pPr>
                  <w:r>
                    <w:rPr>
                      <w:rFonts w:eastAsia="宋体"/>
                    </w:rPr>
                    <w:t>玻璃钢成品，有效容积</w:t>
                  </w:r>
                  <w:r>
                    <w:rPr>
                      <w:rFonts w:eastAsia="Times New Roman"/>
                    </w:rPr>
                    <w:t>6 m</w:t>
                  </w:r>
                  <w:r>
                    <w:rPr>
                      <w:rFonts w:eastAsia="Times New Roman"/>
                      <w:vertAlign w:val="superscript"/>
                    </w:rPr>
                    <w:t>3</w:t>
                  </w:r>
                </w:p>
              </w:tc>
            </w:tr>
            <w:tr w14:paraId="3F6CB0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4F9A6A5B">
                  <w:pPr>
                    <w:pStyle w:val="149"/>
                    <w:rPr>
                      <w:rFonts w:eastAsia="Times New Roman"/>
                    </w:rPr>
                  </w:pPr>
                  <w:r>
                    <w:rPr>
                      <w:rFonts w:eastAsia="Times New Roman"/>
                    </w:rPr>
                    <w:t>17</w:t>
                  </w:r>
                </w:p>
              </w:tc>
              <w:tc>
                <w:tcPr>
                  <w:tcW w:w="1140" w:type="pct"/>
                  <w:vAlign w:val="center"/>
                </w:tcPr>
                <w:p w14:paraId="167DD894">
                  <w:pPr>
                    <w:pStyle w:val="149"/>
                    <w:rPr>
                      <w:rFonts w:eastAsia="Times New Roman"/>
                    </w:rPr>
                  </w:pPr>
                  <w:r>
                    <w:rPr>
                      <w:rFonts w:eastAsia="宋体"/>
                    </w:rPr>
                    <w:t>成品消防间</w:t>
                  </w:r>
                </w:p>
              </w:tc>
              <w:tc>
                <w:tcPr>
                  <w:tcW w:w="687" w:type="pct"/>
                  <w:vAlign w:val="center"/>
                </w:tcPr>
                <w:p w14:paraId="640A359C">
                  <w:pPr>
                    <w:pStyle w:val="149"/>
                    <w:rPr>
                      <w:rFonts w:eastAsia="Times New Roman"/>
                    </w:rPr>
                  </w:pPr>
                  <w:r>
                    <w:rPr>
                      <w:rFonts w:eastAsia="宋体"/>
                    </w:rPr>
                    <w:t>座</w:t>
                  </w:r>
                </w:p>
              </w:tc>
              <w:tc>
                <w:tcPr>
                  <w:tcW w:w="914" w:type="pct"/>
                  <w:vAlign w:val="center"/>
                </w:tcPr>
                <w:p w14:paraId="1F94BA6B">
                  <w:pPr>
                    <w:pStyle w:val="149"/>
                    <w:rPr>
                      <w:rFonts w:eastAsia="Times New Roman"/>
                    </w:rPr>
                  </w:pPr>
                  <w:r>
                    <w:rPr>
                      <w:rFonts w:eastAsia="Times New Roman"/>
                    </w:rPr>
                    <w:t>1</w:t>
                  </w:r>
                </w:p>
              </w:tc>
              <w:tc>
                <w:tcPr>
                  <w:tcW w:w="1798" w:type="pct"/>
                  <w:vAlign w:val="center"/>
                </w:tcPr>
                <w:p w14:paraId="5CFDD66D">
                  <w:pPr>
                    <w:pStyle w:val="149"/>
                    <w:rPr>
                      <w:rFonts w:eastAsia="Times New Roman"/>
                    </w:rPr>
                  </w:pPr>
                  <w:r>
                    <w:rPr>
                      <w:rFonts w:eastAsia="Times New Roman"/>
                    </w:rPr>
                    <w:t>/</w:t>
                  </w:r>
                </w:p>
              </w:tc>
            </w:tr>
            <w:tr w14:paraId="6C24FD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0" w:type="pct"/>
                  <w:vAlign w:val="center"/>
                </w:tcPr>
                <w:p w14:paraId="39C1383B">
                  <w:pPr>
                    <w:pStyle w:val="149"/>
                    <w:rPr>
                      <w:rFonts w:eastAsia="Times New Roman"/>
                    </w:rPr>
                  </w:pPr>
                  <w:r>
                    <w:rPr>
                      <w:rFonts w:eastAsia="Times New Roman"/>
                    </w:rPr>
                    <w:t>18</w:t>
                  </w:r>
                </w:p>
              </w:tc>
              <w:tc>
                <w:tcPr>
                  <w:tcW w:w="1140" w:type="pct"/>
                  <w:vAlign w:val="center"/>
                </w:tcPr>
                <w:p w14:paraId="63D904CB">
                  <w:pPr>
                    <w:pStyle w:val="149"/>
                    <w:rPr>
                      <w:rFonts w:eastAsia="Times New Roman"/>
                    </w:rPr>
                  </w:pPr>
                  <w:r>
                    <w:rPr>
                      <w:rFonts w:eastAsia="Times New Roman"/>
                    </w:rPr>
                    <w:t>35</w:t>
                  </w:r>
                  <w:r>
                    <w:rPr>
                      <w:rFonts w:eastAsia="宋体"/>
                    </w:rPr>
                    <w:t>米独立避雷针</w:t>
                  </w:r>
                </w:p>
              </w:tc>
              <w:tc>
                <w:tcPr>
                  <w:tcW w:w="687" w:type="pct"/>
                  <w:vAlign w:val="center"/>
                </w:tcPr>
                <w:p w14:paraId="2250825D">
                  <w:pPr>
                    <w:pStyle w:val="149"/>
                    <w:rPr>
                      <w:rFonts w:eastAsia="Times New Roman"/>
                    </w:rPr>
                  </w:pPr>
                  <w:r>
                    <w:rPr>
                      <w:rFonts w:eastAsia="宋体"/>
                    </w:rPr>
                    <w:t>座</w:t>
                  </w:r>
                </w:p>
              </w:tc>
              <w:tc>
                <w:tcPr>
                  <w:tcW w:w="914" w:type="pct"/>
                  <w:vAlign w:val="center"/>
                </w:tcPr>
                <w:p w14:paraId="71DEA0C2">
                  <w:pPr>
                    <w:pStyle w:val="149"/>
                    <w:rPr>
                      <w:rFonts w:eastAsia="Times New Roman"/>
                    </w:rPr>
                  </w:pPr>
                  <w:r>
                    <w:rPr>
                      <w:rFonts w:eastAsia="Times New Roman"/>
                    </w:rPr>
                    <w:t>4</w:t>
                  </w:r>
                </w:p>
              </w:tc>
              <w:tc>
                <w:tcPr>
                  <w:tcW w:w="1798" w:type="pct"/>
                  <w:vAlign w:val="center"/>
                </w:tcPr>
                <w:p w14:paraId="68A50CB4">
                  <w:pPr>
                    <w:pStyle w:val="149"/>
                    <w:rPr>
                      <w:rFonts w:eastAsia="Times New Roman"/>
                    </w:rPr>
                  </w:pPr>
                </w:p>
              </w:tc>
            </w:tr>
          </w:tbl>
          <w:p w14:paraId="4136CC68">
            <w:pPr>
              <w:pStyle w:val="132"/>
              <w:rPr>
                <w:b/>
              </w:rPr>
            </w:pPr>
            <w:r>
              <w:rPr>
                <w:rFonts w:hint="eastAsia"/>
                <w:b/>
              </w:rPr>
              <w:t>表</w:t>
            </w:r>
            <w:r>
              <w:rPr>
                <w:b/>
              </w:rPr>
              <w:t>2-2</w:t>
            </w:r>
            <w:r>
              <w:rPr>
                <w:rFonts w:hint="eastAsia"/>
                <w:b/>
              </w:rPr>
              <w:t>本工程项目组成及主要环境问题一览表</w:t>
            </w:r>
          </w:p>
          <w:tbl>
            <w:tblPr>
              <w:tblStyle w:val="15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17"/>
              <w:gridCol w:w="725"/>
              <w:gridCol w:w="1028"/>
              <w:gridCol w:w="4232"/>
              <w:gridCol w:w="832"/>
              <w:gridCol w:w="953"/>
            </w:tblGrid>
            <w:tr w14:paraId="207984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1413" w:type="pct"/>
                  <w:gridSpan w:val="3"/>
                  <w:vMerge w:val="restart"/>
                  <w:vAlign w:val="center"/>
                </w:tcPr>
                <w:p w14:paraId="4A124375">
                  <w:pPr>
                    <w:pStyle w:val="149"/>
                    <w:rPr>
                      <w:rFonts w:hint="default" w:ascii="Times New Roman" w:hAnsi="Times New Roman" w:eastAsia="宋体" w:cs="Times New Roman"/>
                      <w:b/>
                      <w:i w:val="0"/>
                    </w:rPr>
                  </w:pPr>
                  <w:bookmarkStart w:id="3" w:name="OLE_LINK48"/>
                  <w:r>
                    <w:rPr>
                      <w:rFonts w:hint="eastAsia" w:ascii="Times New Roman" w:hAnsi="Times New Roman" w:eastAsia="宋体" w:cs="Times New Roman"/>
                      <w:b/>
                      <w:i w:val="0"/>
                    </w:rPr>
                    <w:t>名称</w:t>
                  </w:r>
                </w:p>
              </w:tc>
              <w:tc>
                <w:tcPr>
                  <w:tcW w:w="2523" w:type="pct"/>
                  <w:vMerge w:val="restart"/>
                  <w:vAlign w:val="center"/>
                </w:tcPr>
                <w:p w14:paraId="0308B366">
                  <w:pPr>
                    <w:pStyle w:val="149"/>
                    <w:rPr>
                      <w:rFonts w:hint="default" w:ascii="Times New Roman" w:hAnsi="Times New Roman" w:eastAsia="宋体" w:cs="Times New Roman"/>
                      <w:b/>
                      <w:i w:val="0"/>
                    </w:rPr>
                  </w:pPr>
                  <w:r>
                    <w:rPr>
                      <w:rFonts w:hint="eastAsia" w:ascii="Times New Roman" w:hAnsi="Times New Roman" w:eastAsia="宋体" w:cs="Times New Roman"/>
                      <w:b/>
                      <w:i w:val="0"/>
                    </w:rPr>
                    <w:t>建设内容及规模</w:t>
                  </w:r>
                </w:p>
              </w:tc>
              <w:tc>
                <w:tcPr>
                  <w:tcW w:w="1064" w:type="pct"/>
                  <w:gridSpan w:val="2"/>
                  <w:vAlign w:val="center"/>
                </w:tcPr>
                <w:p w14:paraId="0B7E60FC">
                  <w:pPr>
                    <w:pStyle w:val="149"/>
                    <w:rPr>
                      <w:rFonts w:hint="default" w:ascii="Times New Roman" w:hAnsi="Times New Roman" w:eastAsia="宋体" w:cs="Times New Roman"/>
                      <w:b/>
                      <w:i w:val="0"/>
                    </w:rPr>
                  </w:pPr>
                  <w:r>
                    <w:rPr>
                      <w:rFonts w:hint="eastAsia" w:ascii="Times New Roman" w:hAnsi="Times New Roman" w:eastAsia="宋体" w:cs="Times New Roman"/>
                      <w:b/>
                      <w:i w:val="0"/>
                    </w:rPr>
                    <w:t>可能产生的环境问题</w:t>
                  </w:r>
                </w:p>
              </w:tc>
            </w:tr>
            <w:tr w14:paraId="3936CD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1413" w:type="pct"/>
                  <w:gridSpan w:val="3"/>
                  <w:vMerge w:val="continue"/>
                  <w:vAlign w:val="center"/>
                </w:tcPr>
                <w:p w14:paraId="1EA28A38">
                  <w:pPr>
                    <w:pStyle w:val="149"/>
                    <w:rPr>
                      <w:rFonts w:eastAsia="Times New Roman"/>
                    </w:rPr>
                  </w:pPr>
                </w:p>
              </w:tc>
              <w:tc>
                <w:tcPr>
                  <w:tcW w:w="2523" w:type="pct"/>
                  <w:vMerge w:val="continue"/>
                  <w:vAlign w:val="center"/>
                </w:tcPr>
                <w:p w14:paraId="22FFF304">
                  <w:pPr>
                    <w:pStyle w:val="149"/>
                    <w:rPr>
                      <w:rFonts w:eastAsia="Times New Roman"/>
                    </w:rPr>
                  </w:pPr>
                </w:p>
              </w:tc>
              <w:tc>
                <w:tcPr>
                  <w:tcW w:w="496" w:type="pct"/>
                  <w:vAlign w:val="center"/>
                </w:tcPr>
                <w:p w14:paraId="4BF3D9E5">
                  <w:pPr>
                    <w:pStyle w:val="149"/>
                    <w:rPr>
                      <w:rFonts w:eastAsia="Times New Roman"/>
                    </w:rPr>
                  </w:pPr>
                  <w:r>
                    <w:rPr>
                      <w:rFonts w:hint="eastAsia" w:ascii="宋体" w:hAnsi="宋体" w:eastAsia="宋体" w:cs="宋体"/>
                    </w:rPr>
                    <w:t>施工期</w:t>
                  </w:r>
                </w:p>
              </w:tc>
              <w:tc>
                <w:tcPr>
                  <w:tcW w:w="567" w:type="pct"/>
                  <w:vAlign w:val="center"/>
                </w:tcPr>
                <w:p w14:paraId="2364494D">
                  <w:pPr>
                    <w:pStyle w:val="149"/>
                    <w:rPr>
                      <w:rFonts w:eastAsia="Times New Roman"/>
                    </w:rPr>
                  </w:pPr>
                  <w:r>
                    <w:rPr>
                      <w:rFonts w:hint="eastAsia" w:ascii="宋体" w:hAnsi="宋体" w:eastAsia="宋体" w:cs="宋体"/>
                    </w:rPr>
                    <w:t>营运期</w:t>
                  </w:r>
                </w:p>
              </w:tc>
            </w:tr>
            <w:tr w14:paraId="1F32B5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68" w:type="pct"/>
                  <w:vMerge w:val="restart"/>
                  <w:vAlign w:val="center"/>
                </w:tcPr>
                <w:p w14:paraId="4C3D1704">
                  <w:pPr>
                    <w:pStyle w:val="149"/>
                    <w:rPr>
                      <w:rFonts w:eastAsia="Times New Roman"/>
                    </w:rPr>
                  </w:pPr>
                  <w:r>
                    <w:rPr>
                      <w:rFonts w:hint="eastAsia" w:ascii="宋体" w:hAnsi="宋体" w:eastAsia="宋体" w:cs="宋体"/>
                    </w:rPr>
                    <w:t>主体工程</w:t>
                  </w:r>
                </w:p>
              </w:tc>
              <w:tc>
                <w:tcPr>
                  <w:tcW w:w="432" w:type="pct"/>
                  <w:vMerge w:val="restart"/>
                  <w:vAlign w:val="center"/>
                </w:tcPr>
                <w:p w14:paraId="4F65AF07">
                  <w:pPr>
                    <w:pStyle w:val="149"/>
                    <w:rPr>
                      <w:rFonts w:eastAsia="Times New Roman"/>
                    </w:rPr>
                  </w:pPr>
                  <w:r>
                    <w:rPr>
                      <w:rFonts w:hint="eastAsia" w:ascii="宋体" w:hAnsi="宋体" w:eastAsia="宋体" w:cs="宋体"/>
                    </w:rPr>
                    <w:t>储能电站</w:t>
                  </w:r>
                </w:p>
              </w:tc>
              <w:tc>
                <w:tcPr>
                  <w:tcW w:w="613" w:type="pct"/>
                  <w:vAlign w:val="center"/>
                </w:tcPr>
                <w:p w14:paraId="29020C90">
                  <w:pPr>
                    <w:pStyle w:val="149"/>
                    <w:rPr>
                      <w:rFonts w:eastAsia="Times New Roman"/>
                    </w:rPr>
                  </w:pPr>
                  <w:r>
                    <w:rPr>
                      <w:rFonts w:hint="eastAsia" w:ascii="宋体" w:hAnsi="宋体" w:eastAsia="宋体" w:cs="宋体"/>
                    </w:rPr>
                    <w:t>储能系统</w:t>
                  </w:r>
                </w:p>
              </w:tc>
              <w:tc>
                <w:tcPr>
                  <w:tcW w:w="2523" w:type="pct"/>
                  <w:vAlign w:val="center"/>
                </w:tcPr>
                <w:p w14:paraId="2B9AF90F">
                  <w:pPr>
                    <w:pStyle w:val="149"/>
                    <w:jc w:val="both"/>
                    <w:rPr>
                      <w:rFonts w:eastAsia="Times New Roman"/>
                    </w:rPr>
                  </w:pPr>
                  <w:r>
                    <w:rPr>
                      <w:rFonts w:hint="eastAsia" w:ascii="宋体" w:hAnsi="宋体" w:eastAsia="宋体" w:cs="宋体"/>
                    </w:rPr>
                    <w:t>建设一套标称容量</w:t>
                  </w:r>
                  <w:r>
                    <w:rPr>
                      <w:rFonts w:eastAsia="Times New Roman"/>
                    </w:rPr>
                    <w:t>200MW/400MWh</w:t>
                  </w:r>
                  <w:r>
                    <w:rPr>
                      <w:rFonts w:hint="eastAsia" w:ascii="宋体" w:hAnsi="宋体" w:eastAsia="宋体" w:cs="宋体"/>
                    </w:rPr>
                    <w:t>的电化学储能系统，共由</w:t>
                  </w:r>
                  <w:r>
                    <w:rPr>
                      <w:rFonts w:hint="eastAsia" w:eastAsia="Times New Roman"/>
                    </w:rPr>
                    <w:t>4</w:t>
                  </w:r>
                  <w:r>
                    <w:rPr>
                      <w:rFonts w:eastAsia="Times New Roman"/>
                    </w:rPr>
                    <w:t>2</w:t>
                  </w:r>
                  <w:r>
                    <w:rPr>
                      <w:rFonts w:hint="eastAsia" w:ascii="宋体" w:hAnsi="宋体" w:eastAsia="宋体" w:cs="宋体"/>
                    </w:rPr>
                    <w:t>个</w:t>
                  </w:r>
                  <w:r>
                    <w:rPr>
                      <w:rFonts w:hint="eastAsia" w:eastAsia="Times New Roman"/>
                    </w:rPr>
                    <w:t>5MW/10MWh</w:t>
                  </w:r>
                  <w:r>
                    <w:rPr>
                      <w:rFonts w:hint="eastAsia" w:ascii="宋体" w:hAnsi="宋体" w:eastAsia="宋体" w:cs="宋体"/>
                    </w:rPr>
                    <w:t>储能单元组成（正常运行</w:t>
                  </w:r>
                  <w:r>
                    <w:rPr>
                      <w:rFonts w:hint="eastAsia" w:eastAsia="Times New Roman"/>
                    </w:rPr>
                    <w:t>40</w:t>
                  </w:r>
                  <w:r>
                    <w:rPr>
                      <w:rFonts w:hint="eastAsia" w:ascii="宋体" w:hAnsi="宋体" w:eastAsia="宋体" w:cs="宋体"/>
                    </w:rPr>
                    <w:t>个储能单元，</w:t>
                  </w:r>
                  <w:r>
                    <w:rPr>
                      <w:rFonts w:hint="eastAsia" w:eastAsia="Times New Roman"/>
                    </w:rPr>
                    <w:t>2</w:t>
                  </w:r>
                  <w:r>
                    <w:rPr>
                      <w:rFonts w:hint="eastAsia" w:ascii="宋体" w:hAnsi="宋体" w:eastAsia="宋体" w:cs="宋体"/>
                    </w:rPr>
                    <w:t>个储能单元备用）。储能系统共包含</w:t>
                  </w:r>
                  <w:r>
                    <w:rPr>
                      <w:rFonts w:eastAsia="Times New Roman"/>
                    </w:rPr>
                    <w:t>84</w:t>
                  </w:r>
                  <w:r>
                    <w:rPr>
                      <w:rFonts w:hint="eastAsia" w:ascii="宋体" w:hAnsi="宋体" w:eastAsia="宋体" w:cs="宋体"/>
                    </w:rPr>
                    <w:t>套电池舱、</w:t>
                  </w:r>
                  <w:r>
                    <w:rPr>
                      <w:rFonts w:eastAsia="Times New Roman"/>
                    </w:rPr>
                    <w:t>42</w:t>
                  </w:r>
                  <w:r>
                    <w:rPr>
                      <w:rFonts w:hint="eastAsia" w:ascii="宋体" w:hAnsi="宋体" w:eastAsia="宋体" w:cs="宋体"/>
                    </w:rPr>
                    <w:t>套</w:t>
                  </w:r>
                  <w:r>
                    <w:rPr>
                      <w:rFonts w:eastAsia="Times New Roman"/>
                    </w:rPr>
                    <w:t>PCS</w:t>
                  </w:r>
                  <w:r>
                    <w:rPr>
                      <w:rFonts w:hint="eastAsia" w:ascii="宋体" w:hAnsi="宋体" w:eastAsia="宋体" w:cs="宋体"/>
                    </w:rPr>
                    <w:t>升压一体舱。配套相应的电池管理系统（</w:t>
                  </w:r>
                  <w:r>
                    <w:rPr>
                      <w:rFonts w:eastAsia="Times New Roman"/>
                    </w:rPr>
                    <w:t>BMS</w:t>
                  </w:r>
                  <w:r>
                    <w:rPr>
                      <w:rFonts w:hint="eastAsia" w:ascii="宋体" w:hAnsi="宋体" w:eastAsia="宋体" w:cs="宋体"/>
                    </w:rPr>
                    <w:t>）和</w:t>
                  </w:r>
                  <w:r>
                    <w:rPr>
                      <w:rFonts w:eastAsia="Times New Roman"/>
                    </w:rPr>
                    <w:t>1</w:t>
                  </w:r>
                  <w:r>
                    <w:rPr>
                      <w:rFonts w:hint="eastAsia" w:ascii="宋体" w:hAnsi="宋体" w:eastAsia="宋体" w:cs="宋体"/>
                    </w:rPr>
                    <w:t>套全站能量管理系统（</w:t>
                  </w:r>
                  <w:r>
                    <w:rPr>
                      <w:rFonts w:eastAsia="Times New Roman"/>
                    </w:rPr>
                    <w:t>EMS</w:t>
                  </w:r>
                  <w:r>
                    <w:rPr>
                      <w:rFonts w:hint="eastAsia" w:ascii="宋体" w:hAnsi="宋体" w:eastAsia="宋体" w:cs="宋体"/>
                    </w:rPr>
                    <w:t>）。</w:t>
                  </w:r>
                </w:p>
              </w:tc>
              <w:tc>
                <w:tcPr>
                  <w:tcW w:w="496" w:type="pct"/>
                  <w:vMerge w:val="restart"/>
                  <w:vAlign w:val="center"/>
                </w:tcPr>
                <w:p w14:paraId="771B1B5F">
                  <w:pPr>
                    <w:pStyle w:val="149"/>
                    <w:jc w:val="both"/>
                    <w:rPr>
                      <w:rFonts w:eastAsia="Times New Roman"/>
                    </w:rPr>
                  </w:pPr>
                  <w:r>
                    <w:rPr>
                      <w:rFonts w:hint="eastAsia" w:ascii="宋体" w:hAnsi="宋体" w:eastAsia="宋体" w:cs="宋体"/>
                    </w:rPr>
                    <w:t>噪声、扬尘、生活污水、生活垃圾、建筑垃圾。</w:t>
                  </w:r>
                </w:p>
              </w:tc>
              <w:tc>
                <w:tcPr>
                  <w:tcW w:w="567" w:type="pct"/>
                  <w:vMerge w:val="restart"/>
                  <w:vAlign w:val="center"/>
                </w:tcPr>
                <w:p w14:paraId="5FC2C668">
                  <w:pPr>
                    <w:pStyle w:val="149"/>
                    <w:jc w:val="both"/>
                    <w:rPr>
                      <w:rFonts w:eastAsia="Times New Roman"/>
                    </w:rPr>
                  </w:pPr>
                  <w:r>
                    <w:rPr>
                      <w:rFonts w:hint="eastAsia" w:ascii="宋体" w:hAnsi="宋体" w:eastAsia="宋体" w:cs="宋体"/>
                    </w:rPr>
                    <w:t>工频电场、工频磁场、噪声、废变压器油、含油废抹布及手套、废储能电池、生活污水、生活垃圾。</w:t>
                  </w:r>
                </w:p>
              </w:tc>
            </w:tr>
            <w:tr w14:paraId="6BE18A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68" w:type="pct"/>
                  <w:vMerge w:val="continue"/>
                  <w:vAlign w:val="center"/>
                </w:tcPr>
                <w:p w14:paraId="7684345E">
                  <w:pPr>
                    <w:pStyle w:val="149"/>
                    <w:rPr>
                      <w:rFonts w:eastAsia="Times New Roman"/>
                    </w:rPr>
                  </w:pPr>
                </w:p>
              </w:tc>
              <w:tc>
                <w:tcPr>
                  <w:tcW w:w="432" w:type="pct"/>
                  <w:vMerge w:val="continue"/>
                  <w:vAlign w:val="center"/>
                </w:tcPr>
                <w:p w14:paraId="6025606B">
                  <w:pPr>
                    <w:pStyle w:val="149"/>
                    <w:rPr>
                      <w:rFonts w:eastAsia="Times New Roman"/>
                    </w:rPr>
                  </w:pPr>
                </w:p>
              </w:tc>
              <w:tc>
                <w:tcPr>
                  <w:tcW w:w="613" w:type="pct"/>
                  <w:vAlign w:val="center"/>
                </w:tcPr>
                <w:p w14:paraId="7672004C">
                  <w:pPr>
                    <w:pStyle w:val="149"/>
                    <w:rPr>
                      <w:rFonts w:eastAsia="Times New Roman"/>
                    </w:rPr>
                  </w:pPr>
                  <w:r>
                    <w:rPr>
                      <w:rFonts w:hint="eastAsia" w:ascii="宋体" w:hAnsi="宋体" w:eastAsia="宋体" w:cs="宋体"/>
                    </w:rPr>
                    <w:t>储能区域电池集装箱</w:t>
                  </w:r>
                </w:p>
              </w:tc>
              <w:tc>
                <w:tcPr>
                  <w:tcW w:w="2523" w:type="pct"/>
                  <w:vAlign w:val="center"/>
                </w:tcPr>
                <w:p w14:paraId="39CD788A">
                  <w:pPr>
                    <w:pStyle w:val="149"/>
                    <w:jc w:val="both"/>
                    <w:rPr>
                      <w:rFonts w:eastAsia="Times New Roman"/>
                    </w:rPr>
                  </w:pPr>
                  <w:r>
                    <w:rPr>
                      <w:rFonts w:hint="eastAsia" w:ascii="宋体" w:hAnsi="宋体" w:eastAsia="宋体" w:cs="宋体"/>
                    </w:rPr>
                    <w:t>储能系统划分为</w:t>
                  </w:r>
                  <w:r>
                    <w:rPr>
                      <w:rFonts w:eastAsia="Times New Roman"/>
                    </w:rPr>
                    <w:t>8</w:t>
                  </w:r>
                  <w:r>
                    <w:rPr>
                      <w:rFonts w:hint="eastAsia" w:ascii="宋体" w:hAnsi="宋体" w:eastAsia="宋体" w:cs="宋体"/>
                    </w:rPr>
                    <w:t>个储能子系统（储能分区），其中</w:t>
                  </w:r>
                  <w:r>
                    <w:rPr>
                      <w:rFonts w:eastAsia="Times New Roman"/>
                    </w:rPr>
                    <w:t>6</w:t>
                  </w:r>
                  <w:r>
                    <w:rPr>
                      <w:rFonts w:hint="eastAsia" w:ascii="宋体" w:hAnsi="宋体" w:eastAsia="宋体" w:cs="宋体"/>
                    </w:rPr>
                    <w:t>个子系统由</w:t>
                  </w:r>
                  <w:r>
                    <w:rPr>
                      <w:rFonts w:eastAsia="Times New Roman"/>
                    </w:rPr>
                    <w:t>5</w:t>
                  </w:r>
                  <w:r>
                    <w:rPr>
                      <w:rFonts w:hint="eastAsia" w:ascii="宋体" w:hAnsi="宋体" w:eastAsia="宋体" w:cs="宋体"/>
                    </w:rPr>
                    <w:t>个储能单元手拉手接线级联组成，</w:t>
                  </w:r>
                  <w:r>
                    <w:rPr>
                      <w:rFonts w:eastAsia="Times New Roman"/>
                    </w:rPr>
                    <w:t>2</w:t>
                  </w:r>
                  <w:r>
                    <w:rPr>
                      <w:rFonts w:hint="eastAsia" w:ascii="宋体" w:hAnsi="宋体" w:eastAsia="宋体" w:cs="宋体"/>
                    </w:rPr>
                    <w:t>个子系统由</w:t>
                  </w:r>
                  <w:r>
                    <w:rPr>
                      <w:rFonts w:eastAsia="Times New Roman"/>
                    </w:rPr>
                    <w:t>6</w:t>
                  </w:r>
                  <w:r>
                    <w:rPr>
                      <w:rFonts w:hint="eastAsia" w:ascii="宋体" w:hAnsi="宋体" w:eastAsia="宋体" w:cs="宋体"/>
                    </w:rPr>
                    <w:t>个储能单元手拉手接线级联组成。每个储能子系统采用</w:t>
                  </w:r>
                  <w:r>
                    <w:rPr>
                      <w:rFonts w:eastAsia="Times New Roman"/>
                    </w:rPr>
                    <w:t>1</w:t>
                  </w:r>
                  <w:r>
                    <w:rPr>
                      <w:rFonts w:hint="eastAsia" w:ascii="宋体" w:hAnsi="宋体" w:eastAsia="宋体" w:cs="宋体"/>
                    </w:rPr>
                    <w:t>回</w:t>
                  </w:r>
                  <w:r>
                    <w:rPr>
                      <w:rFonts w:eastAsia="Times New Roman"/>
                    </w:rPr>
                    <w:t>35kV</w:t>
                  </w:r>
                  <w:r>
                    <w:rPr>
                      <w:rFonts w:hint="eastAsia" w:ascii="宋体" w:hAnsi="宋体" w:eastAsia="宋体" w:cs="宋体"/>
                    </w:rPr>
                    <w:t>电缆接至储能升压站</w:t>
                  </w:r>
                  <w:r>
                    <w:rPr>
                      <w:rFonts w:eastAsia="Times New Roman"/>
                    </w:rPr>
                    <w:t>35kV</w:t>
                  </w:r>
                  <w:r>
                    <w:rPr>
                      <w:rFonts w:hint="eastAsia" w:ascii="宋体" w:hAnsi="宋体" w:eastAsia="宋体" w:cs="宋体"/>
                    </w:rPr>
                    <w:t>开关柜，共</w:t>
                  </w:r>
                  <w:r>
                    <w:rPr>
                      <w:rFonts w:eastAsia="Times New Roman"/>
                    </w:rPr>
                    <w:t>8</w:t>
                  </w:r>
                  <w:r>
                    <w:rPr>
                      <w:rFonts w:hint="eastAsia" w:ascii="宋体" w:hAnsi="宋体" w:eastAsia="宋体" w:cs="宋体"/>
                    </w:rPr>
                    <w:t>回</w:t>
                  </w:r>
                  <w:r>
                    <w:rPr>
                      <w:rFonts w:eastAsia="Times New Roman"/>
                    </w:rPr>
                    <w:t>35kV</w:t>
                  </w:r>
                  <w:r>
                    <w:rPr>
                      <w:rFonts w:hint="eastAsia" w:ascii="宋体" w:hAnsi="宋体" w:eastAsia="宋体" w:cs="宋体"/>
                    </w:rPr>
                    <w:t>线路。</w:t>
                  </w:r>
                </w:p>
              </w:tc>
              <w:tc>
                <w:tcPr>
                  <w:tcW w:w="496" w:type="pct"/>
                  <w:vMerge w:val="continue"/>
                  <w:vAlign w:val="center"/>
                </w:tcPr>
                <w:p w14:paraId="0320CB6B">
                  <w:pPr>
                    <w:pStyle w:val="149"/>
                    <w:rPr>
                      <w:rFonts w:eastAsia="Times New Roman"/>
                    </w:rPr>
                  </w:pPr>
                </w:p>
              </w:tc>
              <w:tc>
                <w:tcPr>
                  <w:tcW w:w="567" w:type="pct"/>
                  <w:vMerge w:val="continue"/>
                  <w:vAlign w:val="center"/>
                </w:tcPr>
                <w:p w14:paraId="1DC75103">
                  <w:pPr>
                    <w:pStyle w:val="149"/>
                    <w:rPr>
                      <w:rFonts w:eastAsia="Times New Roman"/>
                    </w:rPr>
                  </w:pPr>
                </w:p>
              </w:tc>
            </w:tr>
            <w:tr w14:paraId="454CDE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68" w:type="pct"/>
                  <w:vMerge w:val="continue"/>
                  <w:vAlign w:val="center"/>
                </w:tcPr>
                <w:p w14:paraId="1BEB1EE2">
                  <w:pPr>
                    <w:pStyle w:val="149"/>
                    <w:rPr>
                      <w:rFonts w:eastAsia="Times New Roman"/>
                    </w:rPr>
                  </w:pPr>
                </w:p>
              </w:tc>
              <w:tc>
                <w:tcPr>
                  <w:tcW w:w="432" w:type="pct"/>
                  <w:vMerge w:val="continue"/>
                  <w:vAlign w:val="center"/>
                </w:tcPr>
                <w:p w14:paraId="12DED758">
                  <w:pPr>
                    <w:pStyle w:val="149"/>
                    <w:rPr>
                      <w:rFonts w:eastAsia="Times New Roman"/>
                    </w:rPr>
                  </w:pPr>
                </w:p>
              </w:tc>
              <w:tc>
                <w:tcPr>
                  <w:tcW w:w="613" w:type="pct"/>
                  <w:vAlign w:val="center"/>
                </w:tcPr>
                <w:p w14:paraId="3144EE19">
                  <w:pPr>
                    <w:pStyle w:val="149"/>
                    <w:rPr>
                      <w:rFonts w:eastAsia="Times New Roman"/>
                      <w:highlight w:val="yellow"/>
                    </w:rPr>
                  </w:pPr>
                  <w:r>
                    <w:rPr>
                      <w:rFonts w:hint="eastAsia" w:ascii="宋体" w:hAnsi="宋体" w:eastAsia="宋体" w:cs="宋体"/>
                    </w:rPr>
                    <w:t>储能单元</w:t>
                  </w:r>
                </w:p>
              </w:tc>
              <w:tc>
                <w:tcPr>
                  <w:tcW w:w="2523" w:type="pct"/>
                  <w:vAlign w:val="center"/>
                </w:tcPr>
                <w:p w14:paraId="2972096B">
                  <w:pPr>
                    <w:pStyle w:val="149"/>
                    <w:jc w:val="both"/>
                    <w:rPr>
                      <w:rFonts w:eastAsia="Times New Roman"/>
                    </w:rPr>
                  </w:pPr>
                  <w:r>
                    <w:rPr>
                      <w:rFonts w:hint="eastAsia" w:ascii="宋体" w:hAnsi="宋体" w:eastAsia="宋体" w:cs="宋体"/>
                    </w:rPr>
                    <w:t>储能系统共</w:t>
                  </w:r>
                  <w:r>
                    <w:rPr>
                      <w:rFonts w:eastAsia="Times New Roman"/>
                    </w:rPr>
                    <w:t>42</w:t>
                  </w:r>
                  <w:r>
                    <w:rPr>
                      <w:rFonts w:hint="eastAsia" w:ascii="宋体" w:hAnsi="宋体" w:eastAsia="宋体" w:cs="宋体"/>
                    </w:rPr>
                    <w:t>个储能单元，每个储能单元由</w:t>
                  </w:r>
                  <w:r>
                    <w:rPr>
                      <w:rFonts w:eastAsia="Times New Roman"/>
                    </w:rPr>
                    <w:t>2</w:t>
                  </w:r>
                  <w:r>
                    <w:rPr>
                      <w:rFonts w:hint="eastAsia" w:ascii="宋体" w:hAnsi="宋体" w:eastAsia="宋体" w:cs="宋体"/>
                    </w:rPr>
                    <w:t>个储能电池舱及</w:t>
                  </w:r>
                  <w:r>
                    <w:rPr>
                      <w:rFonts w:eastAsia="Times New Roman"/>
                    </w:rPr>
                    <w:t>1</w:t>
                  </w:r>
                  <w:r>
                    <w:rPr>
                      <w:rFonts w:hint="eastAsia" w:ascii="宋体" w:hAnsi="宋体" w:eastAsia="宋体" w:cs="宋体"/>
                    </w:rPr>
                    <w:t>个</w:t>
                  </w:r>
                  <w:r>
                    <w:rPr>
                      <w:rFonts w:eastAsia="Times New Roman"/>
                    </w:rPr>
                    <w:t>PCS</w:t>
                  </w:r>
                  <w:r>
                    <w:rPr>
                      <w:rFonts w:hint="eastAsia" w:ascii="宋体" w:hAnsi="宋体" w:eastAsia="宋体" w:cs="宋体"/>
                    </w:rPr>
                    <w:t>升压一体舱构成，每个储能单元的容量</w:t>
                  </w:r>
                  <w:r>
                    <w:rPr>
                      <w:rFonts w:eastAsia="Times New Roman"/>
                    </w:rPr>
                    <w:t>5MW/10MWh</w:t>
                  </w:r>
                  <w:r>
                    <w:rPr>
                      <w:rFonts w:hint="eastAsia" w:ascii="宋体" w:hAnsi="宋体" w:eastAsia="宋体" w:cs="宋体"/>
                    </w:rPr>
                    <w:t>。每个储能单元包含</w:t>
                  </w:r>
                  <w:r>
                    <w:rPr>
                      <w:rFonts w:eastAsia="Times New Roman"/>
                    </w:rPr>
                    <w:t>1</w:t>
                  </w:r>
                  <w:r>
                    <w:rPr>
                      <w:rFonts w:hint="eastAsia" w:ascii="宋体" w:hAnsi="宋体" w:eastAsia="宋体" w:cs="宋体"/>
                    </w:rPr>
                    <w:t>台</w:t>
                  </w:r>
                  <w:r>
                    <w:rPr>
                      <w:rFonts w:eastAsia="Times New Roman"/>
                    </w:rPr>
                    <w:t>5250kVA</w:t>
                  </w:r>
                  <w:r>
                    <w:rPr>
                      <w:rFonts w:hint="eastAsia" w:ascii="宋体" w:hAnsi="宋体" w:eastAsia="宋体" w:cs="宋体"/>
                    </w:rPr>
                    <w:t>无载调压箱式变压器，</w:t>
                  </w:r>
                  <w:r>
                    <w:rPr>
                      <w:rFonts w:eastAsia="Times New Roman"/>
                    </w:rPr>
                    <w:t>2</w:t>
                  </w:r>
                  <w:r>
                    <w:rPr>
                      <w:rFonts w:hint="eastAsia" w:ascii="宋体" w:hAnsi="宋体" w:eastAsia="宋体" w:cs="宋体"/>
                    </w:rPr>
                    <w:t>套</w:t>
                  </w:r>
                  <w:r>
                    <w:rPr>
                      <w:rFonts w:eastAsia="Times New Roman"/>
                    </w:rPr>
                    <w:t>2.5MWPCS</w:t>
                  </w:r>
                  <w:r>
                    <w:rPr>
                      <w:rFonts w:hint="eastAsia" w:ascii="宋体" w:hAnsi="宋体" w:eastAsia="宋体" w:cs="宋体"/>
                    </w:rPr>
                    <w:t>以及</w:t>
                  </w:r>
                  <w:r>
                    <w:rPr>
                      <w:rFonts w:eastAsia="Times New Roman"/>
                    </w:rPr>
                    <w:t>2</w:t>
                  </w:r>
                  <w:r>
                    <w:rPr>
                      <w:rFonts w:hint="eastAsia" w:ascii="宋体" w:hAnsi="宋体" w:eastAsia="宋体" w:cs="宋体"/>
                    </w:rPr>
                    <w:t>套</w:t>
                  </w:r>
                  <w:r>
                    <w:rPr>
                      <w:rFonts w:eastAsia="Times New Roman"/>
                    </w:rPr>
                    <w:t>5MWh</w:t>
                  </w:r>
                  <w:r>
                    <w:rPr>
                      <w:rFonts w:hint="eastAsia" w:ascii="宋体" w:hAnsi="宋体" w:eastAsia="宋体" w:cs="宋体"/>
                    </w:rPr>
                    <w:t>电池组。其中每套</w:t>
                  </w:r>
                  <w:r>
                    <w:rPr>
                      <w:rFonts w:eastAsia="Times New Roman"/>
                    </w:rPr>
                    <w:t>2.5MW/5MWh</w:t>
                  </w:r>
                  <w:r>
                    <w:rPr>
                      <w:rFonts w:hint="eastAsia" w:ascii="宋体" w:hAnsi="宋体" w:eastAsia="宋体" w:cs="宋体"/>
                    </w:rPr>
                    <w:t>电池储能系统集成安装于一个标准的预制舱中，与</w:t>
                  </w:r>
                  <w:r>
                    <w:rPr>
                      <w:rFonts w:eastAsia="Times New Roman"/>
                    </w:rPr>
                    <w:t>PCS</w:t>
                  </w:r>
                  <w:r>
                    <w:rPr>
                      <w:rFonts w:hint="eastAsia" w:ascii="宋体" w:hAnsi="宋体" w:eastAsia="宋体" w:cs="宋体"/>
                    </w:rPr>
                    <w:t>及箱式变压器集中户外布置。</w:t>
                  </w:r>
                </w:p>
              </w:tc>
              <w:tc>
                <w:tcPr>
                  <w:tcW w:w="496" w:type="pct"/>
                  <w:vMerge w:val="continue"/>
                  <w:vAlign w:val="center"/>
                </w:tcPr>
                <w:p w14:paraId="06A1DE3A">
                  <w:pPr>
                    <w:pStyle w:val="149"/>
                    <w:rPr>
                      <w:rFonts w:eastAsia="Times New Roman"/>
                    </w:rPr>
                  </w:pPr>
                </w:p>
              </w:tc>
              <w:tc>
                <w:tcPr>
                  <w:tcW w:w="567" w:type="pct"/>
                  <w:vMerge w:val="continue"/>
                  <w:vAlign w:val="center"/>
                </w:tcPr>
                <w:p w14:paraId="04032D65">
                  <w:pPr>
                    <w:pStyle w:val="149"/>
                    <w:rPr>
                      <w:rFonts w:eastAsia="Times New Roman"/>
                    </w:rPr>
                  </w:pPr>
                </w:p>
              </w:tc>
            </w:tr>
            <w:tr w14:paraId="2D49E1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68" w:type="pct"/>
                  <w:vMerge w:val="continue"/>
                  <w:vAlign w:val="center"/>
                </w:tcPr>
                <w:p w14:paraId="2E1CD909">
                  <w:pPr>
                    <w:pStyle w:val="149"/>
                    <w:rPr>
                      <w:rFonts w:eastAsia="Times New Roman"/>
                    </w:rPr>
                  </w:pPr>
                </w:p>
              </w:tc>
              <w:tc>
                <w:tcPr>
                  <w:tcW w:w="432" w:type="pct"/>
                  <w:vMerge w:val="restart"/>
                  <w:vAlign w:val="center"/>
                </w:tcPr>
                <w:p w14:paraId="4DDFB19A">
                  <w:pPr>
                    <w:pStyle w:val="149"/>
                    <w:rPr>
                      <w:rFonts w:eastAsia="Times New Roman"/>
                    </w:rPr>
                  </w:pPr>
                  <w:r>
                    <w:rPr>
                      <w:rFonts w:hint="eastAsia" w:ascii="宋体" w:hAnsi="宋体" w:eastAsia="宋体" w:cs="宋体"/>
                    </w:rPr>
                    <w:t>项目</w:t>
                  </w:r>
                  <w:r>
                    <w:rPr>
                      <w:rFonts w:eastAsia="Times New Roman"/>
                    </w:rPr>
                    <w:t>220kV</w:t>
                  </w:r>
                  <w:r>
                    <w:rPr>
                      <w:rFonts w:hint="eastAsia" w:ascii="宋体" w:hAnsi="宋体" w:eastAsia="宋体" w:cs="宋体"/>
                    </w:rPr>
                    <w:t>升压站</w:t>
                  </w:r>
                </w:p>
              </w:tc>
              <w:tc>
                <w:tcPr>
                  <w:tcW w:w="613" w:type="pct"/>
                  <w:vAlign w:val="center"/>
                </w:tcPr>
                <w:p w14:paraId="3ED21A5F">
                  <w:pPr>
                    <w:pStyle w:val="149"/>
                    <w:rPr>
                      <w:rFonts w:eastAsia="Times New Roman"/>
                    </w:rPr>
                  </w:pPr>
                  <w:r>
                    <w:rPr>
                      <w:rFonts w:hint="eastAsia" w:ascii="宋体" w:hAnsi="宋体" w:eastAsia="宋体" w:cs="宋体"/>
                    </w:rPr>
                    <w:t>电压等级</w:t>
                  </w:r>
                </w:p>
              </w:tc>
              <w:tc>
                <w:tcPr>
                  <w:tcW w:w="2523" w:type="pct"/>
                  <w:vAlign w:val="center"/>
                </w:tcPr>
                <w:p w14:paraId="5FE888AC">
                  <w:pPr>
                    <w:pStyle w:val="149"/>
                    <w:rPr>
                      <w:rFonts w:eastAsia="Times New Roman"/>
                    </w:rPr>
                  </w:pPr>
                  <w:r>
                    <w:rPr>
                      <w:rFonts w:eastAsia="Times New Roman"/>
                    </w:rPr>
                    <w:t>220kV/35kV</w:t>
                  </w:r>
                  <w:r>
                    <w:rPr>
                      <w:rFonts w:hint="eastAsia" w:asciiTheme="minorEastAsia" w:hAnsiTheme="minorEastAsia" w:eastAsiaTheme="minorEastAsia"/>
                    </w:rPr>
                    <w:t>。</w:t>
                  </w:r>
                </w:p>
              </w:tc>
              <w:tc>
                <w:tcPr>
                  <w:tcW w:w="496" w:type="pct"/>
                  <w:vMerge w:val="continue"/>
                  <w:vAlign w:val="center"/>
                </w:tcPr>
                <w:p w14:paraId="214E1722">
                  <w:pPr>
                    <w:pStyle w:val="149"/>
                    <w:rPr>
                      <w:rFonts w:eastAsia="Times New Roman"/>
                    </w:rPr>
                  </w:pPr>
                </w:p>
              </w:tc>
              <w:tc>
                <w:tcPr>
                  <w:tcW w:w="567" w:type="pct"/>
                  <w:vMerge w:val="continue"/>
                  <w:vAlign w:val="center"/>
                </w:tcPr>
                <w:p w14:paraId="689397B8">
                  <w:pPr>
                    <w:pStyle w:val="149"/>
                    <w:rPr>
                      <w:rFonts w:eastAsia="Times New Roman"/>
                    </w:rPr>
                  </w:pPr>
                </w:p>
              </w:tc>
            </w:tr>
            <w:tr w14:paraId="58BA26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68" w:type="pct"/>
                  <w:vMerge w:val="continue"/>
                  <w:vAlign w:val="center"/>
                </w:tcPr>
                <w:p w14:paraId="58624EEC">
                  <w:pPr>
                    <w:pStyle w:val="149"/>
                    <w:rPr>
                      <w:rFonts w:eastAsia="Times New Roman"/>
                    </w:rPr>
                  </w:pPr>
                </w:p>
              </w:tc>
              <w:tc>
                <w:tcPr>
                  <w:tcW w:w="432" w:type="pct"/>
                  <w:vMerge w:val="continue"/>
                  <w:vAlign w:val="center"/>
                </w:tcPr>
                <w:p w14:paraId="3D8B6154">
                  <w:pPr>
                    <w:pStyle w:val="149"/>
                    <w:rPr>
                      <w:rFonts w:eastAsia="Times New Roman"/>
                    </w:rPr>
                  </w:pPr>
                </w:p>
              </w:tc>
              <w:tc>
                <w:tcPr>
                  <w:tcW w:w="613" w:type="pct"/>
                  <w:vAlign w:val="center"/>
                </w:tcPr>
                <w:p w14:paraId="105E89FE">
                  <w:pPr>
                    <w:pStyle w:val="149"/>
                    <w:rPr>
                      <w:rFonts w:eastAsia="Times New Roman"/>
                    </w:rPr>
                  </w:pPr>
                  <w:r>
                    <w:rPr>
                      <w:rFonts w:hint="eastAsia" w:ascii="宋体" w:hAnsi="宋体" w:eastAsia="宋体" w:cs="宋体"/>
                    </w:rPr>
                    <w:t>变压器容量及数量</w:t>
                  </w:r>
                </w:p>
              </w:tc>
              <w:tc>
                <w:tcPr>
                  <w:tcW w:w="2523" w:type="pct"/>
                  <w:vAlign w:val="center"/>
                </w:tcPr>
                <w:p w14:paraId="69EC0798">
                  <w:pPr>
                    <w:pStyle w:val="149"/>
                    <w:jc w:val="both"/>
                    <w:rPr>
                      <w:rFonts w:eastAsia="Times New Roman"/>
                    </w:rPr>
                  </w:pPr>
                  <w:r>
                    <w:rPr>
                      <w:rFonts w:hint="eastAsia" w:ascii="宋体" w:hAnsi="宋体" w:eastAsia="宋体" w:cs="宋体"/>
                    </w:rPr>
                    <w:t>主变容量为</w:t>
                  </w:r>
                  <w:r>
                    <w:rPr>
                      <w:rFonts w:eastAsia="Times New Roman"/>
                    </w:rPr>
                    <w:t>1×240MVA</w:t>
                  </w:r>
                  <w:r>
                    <w:rPr>
                      <w:rFonts w:hint="eastAsia" w:ascii="宋体" w:hAnsi="宋体" w:eastAsia="宋体" w:cs="宋体"/>
                    </w:rPr>
                    <w:t>，主变户外布置。</w:t>
                  </w:r>
                </w:p>
              </w:tc>
              <w:tc>
                <w:tcPr>
                  <w:tcW w:w="496" w:type="pct"/>
                  <w:vMerge w:val="continue"/>
                  <w:vAlign w:val="center"/>
                </w:tcPr>
                <w:p w14:paraId="466D9428">
                  <w:pPr>
                    <w:pStyle w:val="149"/>
                    <w:rPr>
                      <w:rFonts w:eastAsia="Times New Roman"/>
                    </w:rPr>
                  </w:pPr>
                </w:p>
              </w:tc>
              <w:tc>
                <w:tcPr>
                  <w:tcW w:w="567" w:type="pct"/>
                  <w:vMerge w:val="continue"/>
                  <w:vAlign w:val="center"/>
                </w:tcPr>
                <w:p w14:paraId="7E305F93">
                  <w:pPr>
                    <w:pStyle w:val="149"/>
                    <w:rPr>
                      <w:rFonts w:eastAsia="Times New Roman"/>
                    </w:rPr>
                  </w:pPr>
                </w:p>
              </w:tc>
            </w:tr>
            <w:tr w14:paraId="31DC42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68" w:type="pct"/>
                  <w:vMerge w:val="continue"/>
                  <w:vAlign w:val="center"/>
                </w:tcPr>
                <w:p w14:paraId="100B91AC">
                  <w:pPr>
                    <w:pStyle w:val="149"/>
                    <w:rPr>
                      <w:rFonts w:eastAsia="Times New Roman"/>
                    </w:rPr>
                  </w:pPr>
                </w:p>
              </w:tc>
              <w:tc>
                <w:tcPr>
                  <w:tcW w:w="432" w:type="pct"/>
                  <w:vMerge w:val="continue"/>
                  <w:vAlign w:val="center"/>
                </w:tcPr>
                <w:p w14:paraId="771D795E">
                  <w:pPr>
                    <w:pStyle w:val="149"/>
                    <w:rPr>
                      <w:rFonts w:eastAsia="Times New Roman"/>
                    </w:rPr>
                  </w:pPr>
                </w:p>
              </w:tc>
              <w:tc>
                <w:tcPr>
                  <w:tcW w:w="613" w:type="pct"/>
                  <w:vAlign w:val="center"/>
                </w:tcPr>
                <w:p w14:paraId="3E1A0CBA">
                  <w:pPr>
                    <w:pStyle w:val="149"/>
                    <w:rPr>
                      <w:rFonts w:eastAsia="Times New Roman"/>
                    </w:rPr>
                  </w:pPr>
                  <w:r>
                    <w:rPr>
                      <w:rFonts w:hint="eastAsia" w:ascii="宋体" w:hAnsi="宋体" w:eastAsia="宋体" w:cs="宋体"/>
                    </w:rPr>
                    <w:t>出线方式及回数</w:t>
                  </w:r>
                </w:p>
              </w:tc>
              <w:tc>
                <w:tcPr>
                  <w:tcW w:w="2523" w:type="pct"/>
                  <w:vAlign w:val="center"/>
                </w:tcPr>
                <w:p w14:paraId="0C3DE8D5">
                  <w:pPr>
                    <w:pStyle w:val="149"/>
                    <w:rPr>
                      <w:rFonts w:eastAsia="Times New Roman"/>
                    </w:rPr>
                  </w:pPr>
                  <w:r>
                    <w:rPr>
                      <w:rFonts w:eastAsia="Times New Roman"/>
                    </w:rPr>
                    <w:t>35kV</w:t>
                  </w:r>
                  <w:r>
                    <w:rPr>
                      <w:rFonts w:hint="eastAsia" w:ascii="宋体" w:hAnsi="宋体" w:eastAsia="宋体" w:cs="宋体"/>
                    </w:rPr>
                    <w:t>出线</w:t>
                  </w:r>
                  <w:r>
                    <w:rPr>
                      <w:rFonts w:eastAsia="Times New Roman"/>
                    </w:rPr>
                    <w:t>8</w:t>
                  </w:r>
                  <w:r>
                    <w:rPr>
                      <w:rFonts w:hint="eastAsia" w:ascii="宋体" w:hAnsi="宋体" w:eastAsia="宋体" w:cs="宋体"/>
                    </w:rPr>
                    <w:t>回；</w:t>
                  </w:r>
                </w:p>
              </w:tc>
              <w:tc>
                <w:tcPr>
                  <w:tcW w:w="496" w:type="pct"/>
                  <w:vMerge w:val="continue"/>
                  <w:vAlign w:val="center"/>
                </w:tcPr>
                <w:p w14:paraId="693904D4">
                  <w:pPr>
                    <w:pStyle w:val="149"/>
                    <w:rPr>
                      <w:rFonts w:eastAsia="Times New Roman"/>
                    </w:rPr>
                  </w:pPr>
                </w:p>
              </w:tc>
              <w:tc>
                <w:tcPr>
                  <w:tcW w:w="567" w:type="pct"/>
                  <w:vMerge w:val="continue"/>
                  <w:vAlign w:val="center"/>
                </w:tcPr>
                <w:p w14:paraId="57321FAC">
                  <w:pPr>
                    <w:pStyle w:val="149"/>
                    <w:rPr>
                      <w:rFonts w:eastAsia="Times New Roman"/>
                    </w:rPr>
                  </w:pPr>
                </w:p>
              </w:tc>
            </w:tr>
            <w:tr w14:paraId="6CC35F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68" w:type="pct"/>
                  <w:vMerge w:val="continue"/>
                  <w:vAlign w:val="center"/>
                </w:tcPr>
                <w:p w14:paraId="52E52002">
                  <w:pPr>
                    <w:pStyle w:val="149"/>
                    <w:rPr>
                      <w:rFonts w:eastAsia="Times New Roman"/>
                    </w:rPr>
                  </w:pPr>
                </w:p>
              </w:tc>
              <w:tc>
                <w:tcPr>
                  <w:tcW w:w="432" w:type="pct"/>
                  <w:vMerge w:val="continue"/>
                  <w:vAlign w:val="center"/>
                </w:tcPr>
                <w:p w14:paraId="4DC543F7">
                  <w:pPr>
                    <w:pStyle w:val="149"/>
                    <w:rPr>
                      <w:rFonts w:eastAsia="Times New Roman"/>
                    </w:rPr>
                  </w:pPr>
                </w:p>
              </w:tc>
              <w:tc>
                <w:tcPr>
                  <w:tcW w:w="613" w:type="pct"/>
                  <w:vAlign w:val="center"/>
                </w:tcPr>
                <w:p w14:paraId="460B7594">
                  <w:pPr>
                    <w:pStyle w:val="149"/>
                    <w:rPr>
                      <w:rFonts w:eastAsia="Times New Roman"/>
                    </w:rPr>
                  </w:pPr>
                  <w:r>
                    <w:rPr>
                      <w:rFonts w:hint="eastAsia" w:ascii="宋体" w:hAnsi="宋体" w:eastAsia="宋体" w:cs="宋体"/>
                    </w:rPr>
                    <w:t>无功补偿</w:t>
                  </w:r>
                </w:p>
              </w:tc>
              <w:tc>
                <w:tcPr>
                  <w:tcW w:w="2523" w:type="pct"/>
                  <w:vAlign w:val="center"/>
                </w:tcPr>
                <w:p w14:paraId="2F309D24">
                  <w:pPr>
                    <w:pStyle w:val="149"/>
                    <w:rPr>
                      <w:rFonts w:eastAsia="Times New Roman"/>
                    </w:rPr>
                  </w:pPr>
                  <w:r>
                    <w:rPr>
                      <w:rFonts w:eastAsia="Times New Roman"/>
                    </w:rPr>
                    <w:t>2</w:t>
                  </w:r>
                  <w:r>
                    <w:rPr>
                      <w:rFonts w:hint="eastAsia" w:ascii="宋体" w:hAnsi="宋体" w:eastAsia="宋体" w:cs="宋体"/>
                    </w:rPr>
                    <w:t>组</w:t>
                  </w:r>
                  <w:r>
                    <w:rPr>
                      <w:rFonts w:eastAsia="Times New Roman"/>
                    </w:rPr>
                    <w:t>±45Mvar</w:t>
                  </w:r>
                  <w:r>
                    <w:rPr>
                      <w:rFonts w:hint="eastAsia" w:ascii="宋体" w:hAnsi="宋体" w:eastAsia="宋体" w:cs="宋体"/>
                    </w:rPr>
                    <w:t>（</w:t>
                  </w:r>
                  <w:r>
                    <w:rPr>
                      <w:rFonts w:eastAsia="Times New Roman"/>
                    </w:rPr>
                    <w:t>SVG</w:t>
                  </w:r>
                  <w:r>
                    <w:rPr>
                      <w:rFonts w:hint="eastAsia" w:ascii="宋体" w:hAnsi="宋体" w:eastAsia="宋体" w:cs="宋体"/>
                    </w:rPr>
                    <w:t>动态无功设备）。</w:t>
                  </w:r>
                </w:p>
              </w:tc>
              <w:tc>
                <w:tcPr>
                  <w:tcW w:w="496" w:type="pct"/>
                  <w:vMerge w:val="continue"/>
                  <w:vAlign w:val="center"/>
                </w:tcPr>
                <w:p w14:paraId="0F258896">
                  <w:pPr>
                    <w:pStyle w:val="149"/>
                    <w:rPr>
                      <w:rFonts w:eastAsia="Times New Roman"/>
                    </w:rPr>
                  </w:pPr>
                </w:p>
              </w:tc>
              <w:tc>
                <w:tcPr>
                  <w:tcW w:w="567" w:type="pct"/>
                  <w:vMerge w:val="continue"/>
                  <w:vAlign w:val="center"/>
                </w:tcPr>
                <w:p w14:paraId="7A4C88A8">
                  <w:pPr>
                    <w:pStyle w:val="149"/>
                    <w:rPr>
                      <w:rFonts w:eastAsia="Times New Roman"/>
                    </w:rPr>
                  </w:pPr>
                </w:p>
              </w:tc>
            </w:tr>
            <w:tr w14:paraId="2B730A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68" w:type="pct"/>
                  <w:vMerge w:val="continue"/>
                  <w:vAlign w:val="center"/>
                </w:tcPr>
                <w:p w14:paraId="659A42EF">
                  <w:pPr>
                    <w:pStyle w:val="149"/>
                    <w:rPr>
                      <w:rFonts w:eastAsia="Times New Roman"/>
                    </w:rPr>
                  </w:pPr>
                </w:p>
              </w:tc>
              <w:tc>
                <w:tcPr>
                  <w:tcW w:w="432" w:type="pct"/>
                  <w:vMerge w:val="continue"/>
                  <w:vAlign w:val="center"/>
                </w:tcPr>
                <w:p w14:paraId="3041566E">
                  <w:pPr>
                    <w:pStyle w:val="149"/>
                    <w:rPr>
                      <w:rFonts w:eastAsia="Times New Roman"/>
                    </w:rPr>
                  </w:pPr>
                </w:p>
              </w:tc>
              <w:tc>
                <w:tcPr>
                  <w:tcW w:w="613" w:type="pct"/>
                  <w:vAlign w:val="center"/>
                </w:tcPr>
                <w:p w14:paraId="7E1C4A8F">
                  <w:pPr>
                    <w:pStyle w:val="149"/>
                    <w:rPr>
                      <w:rFonts w:eastAsia="Times New Roman"/>
                    </w:rPr>
                  </w:pPr>
                  <w:r>
                    <w:rPr>
                      <w:rFonts w:hint="eastAsia" w:ascii="宋体" w:hAnsi="宋体" w:eastAsia="宋体" w:cs="宋体"/>
                    </w:rPr>
                    <w:t>布置方式</w:t>
                  </w:r>
                </w:p>
              </w:tc>
              <w:tc>
                <w:tcPr>
                  <w:tcW w:w="2523" w:type="pct"/>
                  <w:vAlign w:val="center"/>
                </w:tcPr>
                <w:p w14:paraId="48E706EC">
                  <w:pPr>
                    <w:pStyle w:val="149"/>
                    <w:jc w:val="both"/>
                    <w:rPr>
                      <w:rFonts w:eastAsia="Times New Roman"/>
                    </w:rPr>
                  </w:pPr>
                  <w:r>
                    <w:rPr>
                      <w:rFonts w:hint="eastAsia" w:ascii="宋体" w:hAnsi="宋体" w:eastAsia="宋体" w:cs="宋体"/>
                    </w:rPr>
                    <w:t>主变户外布置，</w:t>
                  </w:r>
                  <w:r>
                    <w:rPr>
                      <w:rFonts w:eastAsia="Times New Roman"/>
                    </w:rPr>
                    <w:t>220kV</w:t>
                  </w:r>
                  <w:r>
                    <w:rPr>
                      <w:rFonts w:hint="eastAsia" w:ascii="宋体" w:hAnsi="宋体" w:eastAsia="宋体" w:cs="宋体"/>
                    </w:rPr>
                    <w:t>配电装置户外</w:t>
                  </w:r>
                  <w:r>
                    <w:rPr>
                      <w:rFonts w:eastAsia="Times New Roman"/>
                    </w:rPr>
                    <w:t>GIS</w:t>
                  </w:r>
                  <w:r>
                    <w:rPr>
                      <w:rFonts w:hint="eastAsia" w:ascii="宋体" w:hAnsi="宋体" w:eastAsia="宋体" w:cs="宋体"/>
                    </w:rPr>
                    <w:t>布置。</w:t>
                  </w:r>
                </w:p>
              </w:tc>
              <w:tc>
                <w:tcPr>
                  <w:tcW w:w="496" w:type="pct"/>
                  <w:vMerge w:val="continue"/>
                  <w:vAlign w:val="center"/>
                </w:tcPr>
                <w:p w14:paraId="5B93CA1A">
                  <w:pPr>
                    <w:pStyle w:val="149"/>
                    <w:rPr>
                      <w:rFonts w:eastAsia="Times New Roman"/>
                    </w:rPr>
                  </w:pPr>
                </w:p>
              </w:tc>
              <w:tc>
                <w:tcPr>
                  <w:tcW w:w="567" w:type="pct"/>
                  <w:vMerge w:val="continue"/>
                  <w:vAlign w:val="center"/>
                </w:tcPr>
                <w:p w14:paraId="7CA6BADB">
                  <w:pPr>
                    <w:pStyle w:val="149"/>
                    <w:rPr>
                      <w:rFonts w:eastAsia="Times New Roman"/>
                    </w:rPr>
                  </w:pPr>
                </w:p>
              </w:tc>
            </w:tr>
            <w:tr w14:paraId="1AB1B2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68" w:type="pct"/>
                  <w:vAlign w:val="center"/>
                </w:tcPr>
                <w:p w14:paraId="247F9B1A">
                  <w:pPr>
                    <w:pStyle w:val="149"/>
                    <w:rPr>
                      <w:rFonts w:eastAsia="Times New Roman"/>
                    </w:rPr>
                  </w:pPr>
                  <w:r>
                    <w:rPr>
                      <w:rFonts w:hint="eastAsia" w:ascii="宋体" w:hAnsi="宋体" w:eastAsia="宋体" w:cs="宋体"/>
                    </w:rPr>
                    <w:t>辅助工程</w:t>
                  </w:r>
                </w:p>
              </w:tc>
              <w:tc>
                <w:tcPr>
                  <w:tcW w:w="1045" w:type="pct"/>
                  <w:gridSpan w:val="2"/>
                  <w:vAlign w:val="center"/>
                </w:tcPr>
                <w:p w14:paraId="6D1F39A4">
                  <w:pPr>
                    <w:pStyle w:val="149"/>
                    <w:rPr>
                      <w:rFonts w:eastAsia="Times New Roman"/>
                    </w:rPr>
                  </w:pPr>
                  <w:r>
                    <w:rPr>
                      <w:rFonts w:hint="eastAsia" w:ascii="宋体" w:hAnsi="宋体" w:eastAsia="宋体" w:cs="宋体"/>
                    </w:rPr>
                    <w:t>综合楼</w:t>
                  </w:r>
                </w:p>
              </w:tc>
              <w:tc>
                <w:tcPr>
                  <w:tcW w:w="2523" w:type="pct"/>
                  <w:vAlign w:val="center"/>
                </w:tcPr>
                <w:p w14:paraId="713D985B">
                  <w:pPr>
                    <w:pStyle w:val="149"/>
                    <w:jc w:val="both"/>
                    <w:rPr>
                      <w:rFonts w:eastAsia="Times New Roman"/>
                    </w:rPr>
                  </w:pPr>
                  <w:r>
                    <w:rPr>
                      <w:rFonts w:hint="eastAsia" w:ascii="宋体" w:hAnsi="宋体" w:eastAsia="宋体" w:cs="宋体"/>
                    </w:rPr>
                    <w:t>布置有办公室、会议室、资料室、工具间、备用室和卫生间等。</w:t>
                  </w:r>
                </w:p>
              </w:tc>
              <w:tc>
                <w:tcPr>
                  <w:tcW w:w="496" w:type="pct"/>
                  <w:vMerge w:val="continue"/>
                  <w:vAlign w:val="center"/>
                </w:tcPr>
                <w:p w14:paraId="105E4363">
                  <w:pPr>
                    <w:pStyle w:val="149"/>
                    <w:rPr>
                      <w:rFonts w:eastAsia="Times New Roman"/>
                    </w:rPr>
                  </w:pPr>
                </w:p>
              </w:tc>
              <w:tc>
                <w:tcPr>
                  <w:tcW w:w="567" w:type="pct"/>
                  <w:vMerge w:val="continue"/>
                  <w:vAlign w:val="center"/>
                </w:tcPr>
                <w:p w14:paraId="6CCA6861">
                  <w:pPr>
                    <w:pStyle w:val="149"/>
                    <w:rPr>
                      <w:rFonts w:eastAsia="Times New Roman"/>
                    </w:rPr>
                  </w:pPr>
                </w:p>
              </w:tc>
            </w:tr>
            <w:tr w14:paraId="3F824B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800" w:type="pct"/>
                  <w:gridSpan w:val="2"/>
                  <w:vMerge w:val="restart"/>
                  <w:vAlign w:val="center"/>
                </w:tcPr>
                <w:p w14:paraId="20D15601">
                  <w:pPr>
                    <w:pStyle w:val="149"/>
                    <w:rPr>
                      <w:rFonts w:eastAsia="Times New Roman"/>
                    </w:rPr>
                  </w:pPr>
                  <w:r>
                    <w:rPr>
                      <w:rFonts w:hint="eastAsia" w:ascii="宋体" w:hAnsi="宋体" w:eastAsia="宋体" w:cs="宋体"/>
                    </w:rPr>
                    <w:t>公用工程</w:t>
                  </w:r>
                </w:p>
              </w:tc>
              <w:tc>
                <w:tcPr>
                  <w:tcW w:w="613" w:type="pct"/>
                  <w:vAlign w:val="center"/>
                </w:tcPr>
                <w:p w14:paraId="5FAFB7D2">
                  <w:pPr>
                    <w:pStyle w:val="149"/>
                    <w:rPr>
                      <w:rFonts w:eastAsia="Times New Roman"/>
                    </w:rPr>
                  </w:pPr>
                  <w:r>
                    <w:rPr>
                      <w:rFonts w:hint="eastAsia" w:ascii="宋体" w:hAnsi="宋体" w:eastAsia="宋体" w:cs="宋体"/>
                    </w:rPr>
                    <w:t>给水系统</w:t>
                  </w:r>
                </w:p>
              </w:tc>
              <w:tc>
                <w:tcPr>
                  <w:tcW w:w="2523" w:type="pct"/>
                  <w:vAlign w:val="center"/>
                </w:tcPr>
                <w:p w14:paraId="6C76B35B">
                  <w:pPr>
                    <w:pStyle w:val="149"/>
                    <w:rPr>
                      <w:rFonts w:eastAsia="Times New Roman"/>
                    </w:rPr>
                  </w:pPr>
                  <w:r>
                    <w:rPr>
                      <w:rFonts w:hint="eastAsia" w:ascii="宋体" w:hAnsi="宋体" w:eastAsia="宋体" w:cs="宋体"/>
                    </w:rPr>
                    <w:t>由自来水管网供给。</w:t>
                  </w:r>
                </w:p>
              </w:tc>
              <w:tc>
                <w:tcPr>
                  <w:tcW w:w="496" w:type="pct"/>
                  <w:vMerge w:val="continue"/>
                  <w:vAlign w:val="center"/>
                </w:tcPr>
                <w:p w14:paraId="04A7AB5B">
                  <w:pPr>
                    <w:pStyle w:val="149"/>
                    <w:rPr>
                      <w:rFonts w:eastAsia="Times New Roman"/>
                    </w:rPr>
                  </w:pPr>
                </w:p>
              </w:tc>
              <w:tc>
                <w:tcPr>
                  <w:tcW w:w="567" w:type="pct"/>
                  <w:vMerge w:val="continue"/>
                  <w:vAlign w:val="center"/>
                </w:tcPr>
                <w:p w14:paraId="369661A5">
                  <w:pPr>
                    <w:pStyle w:val="149"/>
                    <w:rPr>
                      <w:rFonts w:eastAsia="Times New Roman"/>
                    </w:rPr>
                  </w:pPr>
                </w:p>
              </w:tc>
            </w:tr>
            <w:tr w14:paraId="06FF32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800" w:type="pct"/>
                  <w:gridSpan w:val="2"/>
                  <w:vMerge w:val="continue"/>
                  <w:vAlign w:val="center"/>
                </w:tcPr>
                <w:p w14:paraId="73596E65">
                  <w:pPr>
                    <w:pStyle w:val="149"/>
                    <w:rPr>
                      <w:rFonts w:eastAsia="Times New Roman"/>
                    </w:rPr>
                  </w:pPr>
                </w:p>
              </w:tc>
              <w:tc>
                <w:tcPr>
                  <w:tcW w:w="613" w:type="pct"/>
                  <w:vAlign w:val="center"/>
                </w:tcPr>
                <w:p w14:paraId="69959DAF">
                  <w:pPr>
                    <w:pStyle w:val="149"/>
                    <w:rPr>
                      <w:rFonts w:eastAsia="Times New Roman"/>
                    </w:rPr>
                  </w:pPr>
                  <w:r>
                    <w:rPr>
                      <w:rFonts w:hint="eastAsia" w:ascii="宋体" w:hAnsi="宋体" w:eastAsia="宋体" w:cs="宋体"/>
                    </w:rPr>
                    <w:t>供电系统</w:t>
                  </w:r>
                </w:p>
              </w:tc>
              <w:tc>
                <w:tcPr>
                  <w:tcW w:w="2523" w:type="pct"/>
                  <w:vAlign w:val="center"/>
                </w:tcPr>
                <w:p w14:paraId="4348467E">
                  <w:pPr>
                    <w:pStyle w:val="149"/>
                    <w:jc w:val="both"/>
                    <w:rPr>
                      <w:rFonts w:eastAsia="Times New Roman"/>
                    </w:rPr>
                  </w:pPr>
                  <w:r>
                    <w:rPr>
                      <w:rFonts w:hint="eastAsia" w:ascii="宋体" w:hAnsi="宋体" w:eastAsia="宋体" w:cs="宋体"/>
                    </w:rPr>
                    <w:t>本项目储能电站系统自行供给，市政</w:t>
                  </w:r>
                  <w:r>
                    <w:rPr>
                      <w:rFonts w:eastAsia="Times New Roman"/>
                    </w:rPr>
                    <w:t>10kV</w:t>
                  </w:r>
                  <w:r>
                    <w:rPr>
                      <w:rFonts w:hint="eastAsia" w:ascii="宋体" w:hAnsi="宋体" w:eastAsia="宋体" w:cs="宋体"/>
                    </w:rPr>
                    <w:t>线路作为备用。</w:t>
                  </w:r>
                </w:p>
              </w:tc>
              <w:tc>
                <w:tcPr>
                  <w:tcW w:w="496" w:type="pct"/>
                  <w:vMerge w:val="continue"/>
                  <w:vAlign w:val="center"/>
                </w:tcPr>
                <w:p w14:paraId="29A5E5D7">
                  <w:pPr>
                    <w:pStyle w:val="149"/>
                    <w:rPr>
                      <w:rFonts w:eastAsia="Times New Roman"/>
                    </w:rPr>
                  </w:pPr>
                </w:p>
              </w:tc>
              <w:tc>
                <w:tcPr>
                  <w:tcW w:w="567" w:type="pct"/>
                  <w:vMerge w:val="continue"/>
                  <w:vAlign w:val="center"/>
                </w:tcPr>
                <w:p w14:paraId="3789D355">
                  <w:pPr>
                    <w:pStyle w:val="149"/>
                    <w:rPr>
                      <w:rFonts w:eastAsia="Times New Roman"/>
                    </w:rPr>
                  </w:pPr>
                </w:p>
              </w:tc>
            </w:tr>
            <w:tr w14:paraId="78A302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800" w:type="pct"/>
                  <w:gridSpan w:val="2"/>
                  <w:vMerge w:val="continue"/>
                  <w:vAlign w:val="center"/>
                </w:tcPr>
                <w:p w14:paraId="5153AB48">
                  <w:pPr>
                    <w:pStyle w:val="149"/>
                    <w:rPr>
                      <w:rFonts w:eastAsia="Times New Roman"/>
                    </w:rPr>
                  </w:pPr>
                </w:p>
              </w:tc>
              <w:tc>
                <w:tcPr>
                  <w:tcW w:w="613" w:type="pct"/>
                  <w:vAlign w:val="center"/>
                </w:tcPr>
                <w:p w14:paraId="26A7C4F1">
                  <w:pPr>
                    <w:pStyle w:val="149"/>
                    <w:rPr>
                      <w:rFonts w:eastAsia="Times New Roman"/>
                    </w:rPr>
                  </w:pPr>
                  <w:r>
                    <w:rPr>
                      <w:rFonts w:hint="eastAsia" w:ascii="宋体" w:hAnsi="宋体" w:eastAsia="宋体" w:cs="宋体"/>
                    </w:rPr>
                    <w:t>排水系统</w:t>
                  </w:r>
                </w:p>
              </w:tc>
              <w:tc>
                <w:tcPr>
                  <w:tcW w:w="2523" w:type="pct"/>
                  <w:vAlign w:val="center"/>
                </w:tcPr>
                <w:p w14:paraId="4E4710D4">
                  <w:pPr>
                    <w:pStyle w:val="149"/>
                    <w:jc w:val="both"/>
                    <w:rPr>
                      <w:rFonts w:eastAsia="Times New Roman"/>
                    </w:rPr>
                  </w:pPr>
                  <w:r>
                    <w:rPr>
                      <w:rFonts w:hint="eastAsia" w:ascii="宋体" w:hAnsi="宋体" w:eastAsia="宋体" w:cs="宋体"/>
                    </w:rPr>
                    <w:t>采用雨、污分流排水系统，雨水排入站外雨水管网，生活污水三级化粪池预处理后，排入博罗县石湾镇大牛垒生活污水处理厂处理后达标排放。</w:t>
                  </w:r>
                </w:p>
              </w:tc>
              <w:tc>
                <w:tcPr>
                  <w:tcW w:w="496" w:type="pct"/>
                  <w:vMerge w:val="continue"/>
                  <w:vAlign w:val="center"/>
                </w:tcPr>
                <w:p w14:paraId="489AE1F3">
                  <w:pPr>
                    <w:pStyle w:val="149"/>
                    <w:rPr>
                      <w:rFonts w:eastAsia="Times New Roman"/>
                    </w:rPr>
                  </w:pPr>
                </w:p>
              </w:tc>
              <w:tc>
                <w:tcPr>
                  <w:tcW w:w="567" w:type="pct"/>
                  <w:vMerge w:val="continue"/>
                  <w:vAlign w:val="center"/>
                </w:tcPr>
                <w:p w14:paraId="712A5417">
                  <w:pPr>
                    <w:pStyle w:val="149"/>
                    <w:rPr>
                      <w:rFonts w:eastAsia="Times New Roman"/>
                    </w:rPr>
                  </w:pPr>
                </w:p>
              </w:tc>
            </w:tr>
            <w:tr w14:paraId="0B2D37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800" w:type="pct"/>
                  <w:gridSpan w:val="2"/>
                  <w:vMerge w:val="continue"/>
                  <w:vAlign w:val="center"/>
                </w:tcPr>
                <w:p w14:paraId="74931952">
                  <w:pPr>
                    <w:pStyle w:val="149"/>
                    <w:rPr>
                      <w:rFonts w:eastAsia="Times New Roman"/>
                    </w:rPr>
                  </w:pPr>
                </w:p>
              </w:tc>
              <w:tc>
                <w:tcPr>
                  <w:tcW w:w="613" w:type="pct"/>
                  <w:vAlign w:val="center"/>
                </w:tcPr>
                <w:p w14:paraId="5BC09D0C">
                  <w:pPr>
                    <w:pStyle w:val="149"/>
                    <w:rPr>
                      <w:rFonts w:eastAsia="Times New Roman"/>
                    </w:rPr>
                  </w:pPr>
                  <w:r>
                    <w:rPr>
                      <w:rFonts w:hint="eastAsia" w:ascii="宋体" w:hAnsi="宋体" w:eastAsia="宋体" w:cs="宋体"/>
                    </w:rPr>
                    <w:t>进站道路</w:t>
                  </w:r>
                </w:p>
              </w:tc>
              <w:tc>
                <w:tcPr>
                  <w:tcW w:w="2523" w:type="pct"/>
                  <w:vAlign w:val="center"/>
                </w:tcPr>
                <w:p w14:paraId="755330CE">
                  <w:pPr>
                    <w:pStyle w:val="149"/>
                    <w:jc w:val="both"/>
                    <w:rPr>
                      <w:rFonts w:eastAsia="Times New Roman"/>
                    </w:rPr>
                  </w:pPr>
                  <w:r>
                    <w:rPr>
                      <w:rFonts w:hint="eastAsia" w:ascii="宋体" w:hAnsi="宋体" w:eastAsia="宋体" w:cs="宋体"/>
                    </w:rPr>
                    <w:t>采用既有道路</w:t>
                  </w:r>
                  <w:r>
                    <w:rPr>
                      <w:rFonts w:eastAsia="Times New Roman"/>
                    </w:rPr>
                    <w:t>-</w:t>
                  </w:r>
                  <w:r>
                    <w:rPr>
                      <w:rFonts w:hint="eastAsia" w:ascii="宋体" w:hAnsi="宋体" w:eastAsia="宋体" w:cs="宋体"/>
                    </w:rPr>
                    <w:t>迳茹北路。</w:t>
                  </w:r>
                </w:p>
              </w:tc>
              <w:tc>
                <w:tcPr>
                  <w:tcW w:w="496" w:type="pct"/>
                  <w:vMerge w:val="continue"/>
                  <w:vAlign w:val="center"/>
                </w:tcPr>
                <w:p w14:paraId="17E27118">
                  <w:pPr>
                    <w:pStyle w:val="149"/>
                    <w:rPr>
                      <w:rFonts w:eastAsia="Times New Roman"/>
                    </w:rPr>
                  </w:pPr>
                </w:p>
              </w:tc>
              <w:tc>
                <w:tcPr>
                  <w:tcW w:w="567" w:type="pct"/>
                  <w:vMerge w:val="continue"/>
                  <w:vAlign w:val="center"/>
                </w:tcPr>
                <w:p w14:paraId="635239D7">
                  <w:pPr>
                    <w:pStyle w:val="149"/>
                    <w:rPr>
                      <w:rFonts w:eastAsia="Times New Roman"/>
                    </w:rPr>
                  </w:pPr>
                </w:p>
              </w:tc>
            </w:tr>
            <w:tr w14:paraId="4F3247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800" w:type="pct"/>
                  <w:gridSpan w:val="2"/>
                  <w:vMerge w:val="restart"/>
                  <w:vAlign w:val="center"/>
                </w:tcPr>
                <w:p w14:paraId="0758C45E">
                  <w:pPr>
                    <w:pStyle w:val="149"/>
                    <w:rPr>
                      <w:rFonts w:eastAsia="Times New Roman"/>
                    </w:rPr>
                  </w:pPr>
                  <w:r>
                    <w:rPr>
                      <w:rFonts w:hint="eastAsia" w:ascii="宋体" w:hAnsi="宋体" w:eastAsia="宋体" w:cs="宋体"/>
                    </w:rPr>
                    <w:t>环保工程</w:t>
                  </w:r>
                </w:p>
              </w:tc>
              <w:tc>
                <w:tcPr>
                  <w:tcW w:w="613" w:type="pct"/>
                  <w:vAlign w:val="center"/>
                </w:tcPr>
                <w:p w14:paraId="36B93CDA">
                  <w:pPr>
                    <w:pStyle w:val="149"/>
                    <w:rPr>
                      <w:rFonts w:eastAsia="Times New Roman"/>
                    </w:rPr>
                  </w:pPr>
                  <w:r>
                    <w:rPr>
                      <w:rFonts w:hint="eastAsia" w:ascii="宋体" w:hAnsi="宋体" w:eastAsia="宋体" w:cs="宋体"/>
                    </w:rPr>
                    <w:t>废水治理措施</w:t>
                  </w:r>
                </w:p>
              </w:tc>
              <w:tc>
                <w:tcPr>
                  <w:tcW w:w="2523" w:type="pct"/>
                  <w:vAlign w:val="center"/>
                </w:tcPr>
                <w:p w14:paraId="4A571EB9">
                  <w:pPr>
                    <w:pStyle w:val="149"/>
                    <w:jc w:val="both"/>
                    <w:rPr>
                      <w:rFonts w:eastAsia="Times New Roman"/>
                    </w:rPr>
                  </w:pPr>
                  <w:r>
                    <w:rPr>
                      <w:rFonts w:hint="eastAsia" w:ascii="宋体" w:hAnsi="宋体" w:eastAsia="宋体" w:cs="宋体"/>
                    </w:rPr>
                    <w:t>综合楼西北侧设一座化粪池，用于收集值守人员生活污水，有效容积为</w:t>
                  </w:r>
                  <w:r>
                    <w:rPr>
                      <w:rFonts w:eastAsia="Times New Roman"/>
                    </w:rPr>
                    <w:t>6m</w:t>
                  </w:r>
                  <w:r>
                    <w:rPr>
                      <w:rFonts w:eastAsia="Times New Roman"/>
                      <w:vertAlign w:val="superscript"/>
                    </w:rPr>
                    <w:t>3</w:t>
                  </w:r>
                  <w:r>
                    <w:rPr>
                      <w:rFonts w:hint="eastAsia" w:ascii="宋体" w:hAnsi="宋体" w:eastAsia="宋体" w:cs="宋体"/>
                    </w:rPr>
                    <w:t>。</w:t>
                  </w:r>
                </w:p>
              </w:tc>
              <w:tc>
                <w:tcPr>
                  <w:tcW w:w="496" w:type="pct"/>
                  <w:vMerge w:val="continue"/>
                  <w:vAlign w:val="center"/>
                </w:tcPr>
                <w:p w14:paraId="65505675">
                  <w:pPr>
                    <w:pStyle w:val="149"/>
                    <w:rPr>
                      <w:rFonts w:eastAsia="Times New Roman"/>
                    </w:rPr>
                  </w:pPr>
                </w:p>
              </w:tc>
              <w:tc>
                <w:tcPr>
                  <w:tcW w:w="567" w:type="pct"/>
                  <w:vMerge w:val="continue"/>
                  <w:vAlign w:val="center"/>
                </w:tcPr>
                <w:p w14:paraId="6A440094">
                  <w:pPr>
                    <w:pStyle w:val="149"/>
                    <w:rPr>
                      <w:rFonts w:eastAsia="Times New Roman"/>
                    </w:rPr>
                  </w:pPr>
                </w:p>
              </w:tc>
            </w:tr>
            <w:tr w14:paraId="14EF61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800" w:type="pct"/>
                  <w:gridSpan w:val="2"/>
                  <w:vMerge w:val="continue"/>
                  <w:vAlign w:val="center"/>
                </w:tcPr>
                <w:p w14:paraId="30E13B09">
                  <w:pPr>
                    <w:pStyle w:val="149"/>
                    <w:rPr>
                      <w:rFonts w:eastAsia="Times New Roman"/>
                    </w:rPr>
                  </w:pPr>
                </w:p>
              </w:tc>
              <w:tc>
                <w:tcPr>
                  <w:tcW w:w="613" w:type="pct"/>
                  <w:vAlign w:val="center"/>
                </w:tcPr>
                <w:p w14:paraId="3E3C4AE9">
                  <w:pPr>
                    <w:pStyle w:val="149"/>
                    <w:rPr>
                      <w:rFonts w:eastAsia="Times New Roman"/>
                    </w:rPr>
                  </w:pPr>
                  <w:r>
                    <w:rPr>
                      <w:rFonts w:hint="eastAsia" w:ascii="宋体" w:hAnsi="宋体" w:eastAsia="宋体" w:cs="宋体"/>
                    </w:rPr>
                    <w:t>固体废物治理措施</w:t>
                  </w:r>
                </w:p>
              </w:tc>
              <w:tc>
                <w:tcPr>
                  <w:tcW w:w="2523" w:type="pct"/>
                  <w:vAlign w:val="center"/>
                </w:tcPr>
                <w:p w14:paraId="7519054C">
                  <w:pPr>
                    <w:pStyle w:val="149"/>
                    <w:rPr>
                      <w:rFonts w:eastAsia="Times New Roman"/>
                    </w:rPr>
                  </w:pPr>
                  <w:r>
                    <w:rPr>
                      <w:rFonts w:hint="eastAsia" w:ascii="宋体" w:hAnsi="宋体" w:eastAsia="宋体" w:cs="宋体"/>
                    </w:rPr>
                    <w:t>危废间：建筑面积</w:t>
                  </w:r>
                  <w:r>
                    <w:rPr>
                      <w:rFonts w:eastAsia="Times New Roman"/>
                    </w:rPr>
                    <w:t>12.5m</w:t>
                  </w:r>
                  <w:r>
                    <w:rPr>
                      <w:rFonts w:eastAsia="Times New Roman"/>
                      <w:vertAlign w:val="superscript"/>
                    </w:rPr>
                    <w:t>2</w:t>
                  </w:r>
                </w:p>
              </w:tc>
              <w:tc>
                <w:tcPr>
                  <w:tcW w:w="496" w:type="pct"/>
                  <w:vMerge w:val="continue"/>
                  <w:vAlign w:val="center"/>
                </w:tcPr>
                <w:p w14:paraId="322B14B9">
                  <w:pPr>
                    <w:pStyle w:val="149"/>
                    <w:rPr>
                      <w:rFonts w:eastAsia="Times New Roman"/>
                    </w:rPr>
                  </w:pPr>
                </w:p>
              </w:tc>
              <w:tc>
                <w:tcPr>
                  <w:tcW w:w="567" w:type="pct"/>
                  <w:vMerge w:val="continue"/>
                  <w:vAlign w:val="center"/>
                </w:tcPr>
                <w:p w14:paraId="709FD8D8">
                  <w:pPr>
                    <w:pStyle w:val="149"/>
                    <w:rPr>
                      <w:rFonts w:eastAsia="Times New Roman"/>
                    </w:rPr>
                  </w:pPr>
                </w:p>
              </w:tc>
            </w:tr>
            <w:tr w14:paraId="2A011A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800" w:type="pct"/>
                  <w:gridSpan w:val="2"/>
                  <w:vMerge w:val="continue"/>
                  <w:vAlign w:val="center"/>
                </w:tcPr>
                <w:p w14:paraId="353596BB">
                  <w:pPr>
                    <w:pStyle w:val="149"/>
                    <w:rPr>
                      <w:rFonts w:eastAsia="Times New Roman"/>
                    </w:rPr>
                  </w:pPr>
                  <w:bookmarkStart w:id="4" w:name="_Hlk196841322"/>
                </w:p>
              </w:tc>
              <w:tc>
                <w:tcPr>
                  <w:tcW w:w="613" w:type="pct"/>
                  <w:vAlign w:val="center"/>
                </w:tcPr>
                <w:p w14:paraId="0CEB76D8">
                  <w:pPr>
                    <w:rPr>
                      <w:rFonts w:eastAsia="Times New Roman"/>
                      <w:szCs w:val="21"/>
                    </w:rPr>
                  </w:pPr>
                  <w:r>
                    <w:rPr>
                      <w:rFonts w:ascii="宋体" w:hAnsi="宋体" w:eastAsia="Times New Roman"/>
                    </w:rPr>
                    <w:t>环境风险</w:t>
                  </w:r>
                </w:p>
                <w:p w14:paraId="04DDEB46">
                  <w:pPr>
                    <w:pStyle w:val="149"/>
                    <w:rPr>
                      <w:rFonts w:eastAsia="Times New Roman"/>
                    </w:rPr>
                  </w:pPr>
                </w:p>
              </w:tc>
              <w:tc>
                <w:tcPr>
                  <w:tcW w:w="2523" w:type="pct"/>
                  <w:vAlign w:val="center"/>
                </w:tcPr>
                <w:p w14:paraId="3EC395CF">
                  <w:pPr>
                    <w:pStyle w:val="149"/>
                    <w:jc w:val="both"/>
                    <w:rPr>
                      <w:rFonts w:eastAsia="Times New Roman"/>
                      <w:vertAlign w:val="superscript"/>
                    </w:rPr>
                  </w:pPr>
                  <w:r>
                    <w:rPr>
                      <w:rFonts w:hint="eastAsia" w:ascii="宋体" w:hAnsi="宋体" w:eastAsia="宋体" w:cs="宋体"/>
                    </w:rPr>
                    <w:t>主变下方设置</w:t>
                  </w:r>
                  <w:r>
                    <w:rPr>
                      <w:rFonts w:eastAsia="Times New Roman"/>
                    </w:rPr>
                    <w:t>1</w:t>
                  </w:r>
                  <w:r>
                    <w:rPr>
                      <w:rFonts w:hint="eastAsia" w:ascii="宋体" w:hAnsi="宋体" w:eastAsia="宋体" w:cs="宋体"/>
                    </w:rPr>
                    <w:t>个集油坑，用于第一步收集事故状态下的变压器油。集油坑通过地下管网与事故油池相连。项目东北部设有容量</w:t>
                  </w:r>
                  <w:r>
                    <w:rPr>
                      <w:rFonts w:eastAsia="Times New Roman"/>
                    </w:rPr>
                    <w:t>95m</w:t>
                  </w:r>
                  <w:r>
                    <w:rPr>
                      <w:rFonts w:eastAsia="Times New Roman"/>
                      <w:vertAlign w:val="superscript"/>
                    </w:rPr>
                    <w:t>3</w:t>
                  </w:r>
                  <w:r>
                    <w:rPr>
                      <w:rFonts w:hint="eastAsia" w:ascii="宋体" w:hAnsi="宋体" w:eastAsia="宋体" w:cs="宋体"/>
                    </w:rPr>
                    <w:t>的事故油池，当出现事故时，变压器油先进入主变正下方集油坑，然后通过排油管引入事故油池。事故油大部分回收利用，不能回收部分为危废，交由相应危废处理资质的单位处理。</w:t>
                  </w:r>
                </w:p>
              </w:tc>
              <w:tc>
                <w:tcPr>
                  <w:tcW w:w="496" w:type="pct"/>
                  <w:vMerge w:val="continue"/>
                  <w:vAlign w:val="center"/>
                </w:tcPr>
                <w:p w14:paraId="4A593D3E">
                  <w:pPr>
                    <w:pStyle w:val="149"/>
                    <w:rPr>
                      <w:rFonts w:eastAsia="Times New Roman"/>
                    </w:rPr>
                  </w:pPr>
                </w:p>
              </w:tc>
              <w:tc>
                <w:tcPr>
                  <w:tcW w:w="567" w:type="pct"/>
                  <w:vMerge w:val="continue"/>
                  <w:vAlign w:val="center"/>
                </w:tcPr>
                <w:p w14:paraId="1BA9F41B">
                  <w:pPr>
                    <w:pStyle w:val="149"/>
                    <w:rPr>
                      <w:rFonts w:eastAsia="Times New Roman"/>
                    </w:rPr>
                  </w:pPr>
                </w:p>
              </w:tc>
            </w:tr>
            <w:bookmarkEnd w:id="4"/>
            <w:tr w14:paraId="267798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800" w:type="pct"/>
                  <w:gridSpan w:val="2"/>
                  <w:vMerge w:val="continue"/>
                  <w:vAlign w:val="center"/>
                </w:tcPr>
                <w:p w14:paraId="58D0E0E4">
                  <w:pPr>
                    <w:pStyle w:val="149"/>
                    <w:rPr>
                      <w:rFonts w:asciiTheme="minorEastAsia" w:hAnsiTheme="minorEastAsia" w:eastAsiaTheme="minorEastAsia"/>
                    </w:rPr>
                  </w:pPr>
                </w:p>
              </w:tc>
              <w:tc>
                <w:tcPr>
                  <w:tcW w:w="613" w:type="pct"/>
                  <w:vAlign w:val="center"/>
                </w:tcPr>
                <w:p w14:paraId="640DE8E1">
                  <w:pPr>
                    <w:pStyle w:val="149"/>
                    <w:rPr>
                      <w:rFonts w:asciiTheme="minorEastAsia" w:hAnsiTheme="minorEastAsia" w:eastAsiaTheme="minorEastAsia"/>
                    </w:rPr>
                  </w:pPr>
                  <w:r>
                    <w:rPr>
                      <w:rFonts w:hint="eastAsia" w:asciiTheme="minorEastAsia" w:hAnsiTheme="minorEastAsia" w:eastAsiaTheme="minorEastAsia"/>
                    </w:rPr>
                    <w:t>生态环境保护措施</w:t>
                  </w:r>
                </w:p>
              </w:tc>
              <w:tc>
                <w:tcPr>
                  <w:tcW w:w="2523" w:type="pct"/>
                  <w:vAlign w:val="center"/>
                </w:tcPr>
                <w:p w14:paraId="176CBB31">
                  <w:pPr>
                    <w:rPr>
                      <w:rFonts w:asciiTheme="minorEastAsia" w:hAnsiTheme="minorEastAsia" w:eastAsiaTheme="minorEastAsia"/>
                    </w:rPr>
                  </w:pPr>
                  <w:r>
                    <w:rPr>
                      <w:rFonts w:asciiTheme="minorEastAsia" w:hAnsiTheme="minorEastAsia" w:eastAsiaTheme="minorEastAsia"/>
                    </w:rPr>
                    <w:t>限制施工作业范围，不超出项目占地范围，对永久性占地进行生态补偿。水土流失治理：编制水土保持方案，制定水土保持控制目标，采取工程与植物措施相结合的方式控制水土流失。</w:t>
                  </w:r>
                </w:p>
              </w:tc>
              <w:tc>
                <w:tcPr>
                  <w:tcW w:w="496" w:type="pct"/>
                  <w:vMerge w:val="continue"/>
                  <w:vAlign w:val="center"/>
                </w:tcPr>
                <w:p w14:paraId="35CCD383">
                  <w:pPr>
                    <w:pStyle w:val="149"/>
                    <w:rPr>
                      <w:rFonts w:asciiTheme="minorEastAsia" w:hAnsiTheme="minorEastAsia" w:eastAsiaTheme="minorEastAsia"/>
                    </w:rPr>
                  </w:pPr>
                </w:p>
              </w:tc>
              <w:tc>
                <w:tcPr>
                  <w:tcW w:w="567" w:type="pct"/>
                  <w:vMerge w:val="continue"/>
                  <w:vAlign w:val="center"/>
                </w:tcPr>
                <w:p w14:paraId="72CACAC8">
                  <w:pPr>
                    <w:pStyle w:val="149"/>
                    <w:rPr>
                      <w:rFonts w:asciiTheme="minorEastAsia" w:hAnsiTheme="minorEastAsia" w:eastAsiaTheme="minorEastAsia"/>
                    </w:rPr>
                  </w:pPr>
                </w:p>
              </w:tc>
            </w:tr>
            <w:tr w14:paraId="473CE4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800" w:type="pct"/>
                  <w:gridSpan w:val="2"/>
                  <w:vAlign w:val="center"/>
                </w:tcPr>
                <w:p w14:paraId="6D2D717C">
                  <w:pPr>
                    <w:pStyle w:val="149"/>
                    <w:rPr>
                      <w:rFonts w:ascii="宋体" w:hAnsi="宋体" w:eastAsia="Times New Roman" w:cs="宋体"/>
                    </w:rPr>
                  </w:pPr>
                  <w:r>
                    <w:rPr>
                      <w:rFonts w:hint="eastAsia" w:ascii="宋体" w:hAnsi="宋体" w:eastAsia="宋体" w:cs="宋体"/>
                    </w:rPr>
                    <w:t>消防设施</w:t>
                  </w:r>
                </w:p>
              </w:tc>
              <w:tc>
                <w:tcPr>
                  <w:tcW w:w="613" w:type="pct"/>
                  <w:vAlign w:val="center"/>
                </w:tcPr>
                <w:p w14:paraId="1517890A">
                  <w:pPr>
                    <w:pStyle w:val="149"/>
                    <w:rPr>
                      <w:rFonts w:ascii="宋体" w:hAnsi="宋体" w:eastAsia="Times New Roman" w:cs="宋体"/>
                    </w:rPr>
                  </w:pPr>
                  <w:r>
                    <w:rPr>
                      <w:rFonts w:hint="eastAsia" w:ascii="宋体" w:hAnsi="宋体" w:eastAsia="宋体" w:cs="宋体"/>
                    </w:rPr>
                    <w:t>一体化消防泵站。</w:t>
                  </w:r>
                </w:p>
              </w:tc>
              <w:tc>
                <w:tcPr>
                  <w:tcW w:w="2523" w:type="pct"/>
                  <w:vAlign w:val="center"/>
                </w:tcPr>
                <w:p w14:paraId="71852394">
                  <w:pPr>
                    <w:pStyle w:val="149"/>
                    <w:jc w:val="both"/>
                    <w:rPr>
                      <w:rFonts w:ascii="宋体" w:hAnsi="宋体" w:eastAsia="Times New Roman" w:cs="宋体"/>
                    </w:rPr>
                  </w:pPr>
                  <w:r>
                    <w:rPr>
                      <w:rFonts w:hint="eastAsia" w:ascii="宋体" w:hAnsi="宋体" w:eastAsia="宋体" w:cs="宋体"/>
                    </w:rPr>
                    <w:t>地上尺寸</w:t>
                  </w:r>
                  <w:r>
                    <w:rPr>
                      <w:rFonts w:eastAsia="Times New Roman"/>
                    </w:rPr>
                    <w:t>20m</w:t>
                  </w:r>
                  <w:r>
                    <w:rPr>
                      <w:rFonts w:hint="eastAsia" w:eastAsia="Times New Roman"/>
                    </w:rPr>
                    <w:t>×</w:t>
                  </w:r>
                  <w:r>
                    <w:rPr>
                      <w:rFonts w:eastAsia="Times New Roman"/>
                    </w:rPr>
                    <w:t>8m</w:t>
                  </w:r>
                  <w:r>
                    <w:rPr>
                      <w:rFonts w:hint="eastAsia" w:ascii="宋体" w:hAnsi="宋体" w:eastAsia="宋体" w:cs="宋体"/>
                    </w:rPr>
                    <w:t>，装配式消防水箱，容积</w:t>
                  </w:r>
                  <w:r>
                    <w:rPr>
                      <w:rFonts w:eastAsia="Times New Roman"/>
                    </w:rPr>
                    <w:t>360</w:t>
                  </w:r>
                  <w:r>
                    <w:rPr>
                      <w:rFonts w:hint="eastAsia" w:ascii="宋体" w:hAnsi="宋体" w:eastAsia="宋体" w:cs="宋体"/>
                    </w:rPr>
                    <w:t>立方米。</w:t>
                  </w:r>
                </w:p>
              </w:tc>
              <w:tc>
                <w:tcPr>
                  <w:tcW w:w="496" w:type="pct"/>
                  <w:vMerge w:val="continue"/>
                  <w:vAlign w:val="center"/>
                </w:tcPr>
                <w:p w14:paraId="0C1849BD">
                  <w:pPr>
                    <w:pStyle w:val="149"/>
                    <w:rPr>
                      <w:rFonts w:eastAsia="Times New Roman"/>
                    </w:rPr>
                  </w:pPr>
                </w:p>
              </w:tc>
              <w:tc>
                <w:tcPr>
                  <w:tcW w:w="567" w:type="pct"/>
                  <w:vMerge w:val="continue"/>
                  <w:vAlign w:val="center"/>
                </w:tcPr>
                <w:p w14:paraId="4C582641">
                  <w:pPr>
                    <w:pStyle w:val="149"/>
                    <w:rPr>
                      <w:rFonts w:eastAsia="Times New Roman"/>
                    </w:rPr>
                  </w:pPr>
                </w:p>
              </w:tc>
            </w:tr>
            <w:tr w14:paraId="0597D7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800" w:type="pct"/>
                  <w:gridSpan w:val="2"/>
                  <w:vAlign w:val="center"/>
                </w:tcPr>
                <w:p w14:paraId="06334D83">
                  <w:pPr>
                    <w:pStyle w:val="149"/>
                    <w:rPr>
                      <w:rFonts w:ascii="宋体" w:hAnsi="宋体" w:eastAsia="Times New Roman" w:cs="宋体"/>
                    </w:rPr>
                  </w:pPr>
                  <w:r>
                    <w:rPr>
                      <w:rFonts w:hint="eastAsia" w:cs="宋体" w:asciiTheme="minorEastAsia" w:hAnsiTheme="minorEastAsia" w:eastAsiaTheme="minorEastAsia"/>
                    </w:rPr>
                    <w:t>依托工程</w:t>
                  </w:r>
                </w:p>
              </w:tc>
              <w:tc>
                <w:tcPr>
                  <w:tcW w:w="3136" w:type="pct"/>
                  <w:gridSpan w:val="2"/>
                  <w:vAlign w:val="center"/>
                </w:tcPr>
                <w:p w14:paraId="7D352EF9">
                  <w:pPr>
                    <w:pStyle w:val="149"/>
                    <w:jc w:val="both"/>
                    <w:rPr>
                      <w:rFonts w:ascii="宋体" w:hAnsi="宋体" w:eastAsia="Times New Roman" w:cs="宋体"/>
                    </w:rPr>
                  </w:pPr>
                  <w:r>
                    <w:rPr>
                      <w:rFonts w:hint="eastAsia" w:cs="宋体" w:asciiTheme="minorEastAsia" w:hAnsiTheme="minorEastAsia" w:eastAsiaTheme="minorEastAsia"/>
                    </w:rPr>
                    <w:t>进场道路依托</w:t>
                  </w:r>
                  <w:r>
                    <w:rPr>
                      <w:rFonts w:hint="eastAsia" w:ascii="宋体" w:hAnsi="宋体" w:eastAsia="Times New Roman" w:cs="宋体"/>
                    </w:rPr>
                    <w:t>西侧已建市政道路</w:t>
                  </w:r>
                  <w:r>
                    <w:rPr>
                      <w:rFonts w:hint="eastAsia" w:cs="宋体" w:asciiTheme="minorEastAsia" w:hAnsiTheme="minorEastAsia" w:eastAsiaTheme="minorEastAsia"/>
                    </w:rPr>
                    <w:t>；施工期施工人员食宿依托附近出租房，生活污水经三级化粪池预处理达到广东省《水污染物排放限值》(</w:t>
                  </w:r>
                  <w:r>
                    <w:rPr>
                      <w:rFonts w:eastAsiaTheme="minorEastAsia"/>
                    </w:rPr>
                    <w:t>DB44/26-2001</w:t>
                  </w:r>
                  <w:r>
                    <w:rPr>
                      <w:rFonts w:hint="eastAsia" w:cs="宋体" w:asciiTheme="minorEastAsia" w:hAnsiTheme="minorEastAsia" w:eastAsiaTheme="minorEastAsia"/>
                    </w:rPr>
                    <w:t>)第二时段三级标准后排入市政污水管网，再排入博罗县石湾镇大牛垒生活污水处理厂。</w:t>
                  </w:r>
                </w:p>
              </w:tc>
              <w:tc>
                <w:tcPr>
                  <w:tcW w:w="496" w:type="pct"/>
                  <w:vAlign w:val="center"/>
                </w:tcPr>
                <w:p w14:paraId="164C3BFB">
                  <w:pPr>
                    <w:pStyle w:val="149"/>
                    <w:rPr>
                      <w:rFonts w:eastAsia="Times New Roman"/>
                    </w:rPr>
                  </w:pPr>
                </w:p>
              </w:tc>
              <w:tc>
                <w:tcPr>
                  <w:tcW w:w="567" w:type="pct"/>
                  <w:vAlign w:val="center"/>
                </w:tcPr>
                <w:p w14:paraId="4B9CF2B3">
                  <w:pPr>
                    <w:pStyle w:val="149"/>
                    <w:rPr>
                      <w:rFonts w:eastAsia="Times New Roman"/>
                    </w:rPr>
                  </w:pPr>
                </w:p>
              </w:tc>
            </w:tr>
            <w:tr w14:paraId="372A2D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800" w:type="pct"/>
                  <w:gridSpan w:val="2"/>
                  <w:vAlign w:val="center"/>
                </w:tcPr>
                <w:p w14:paraId="3B181F8A">
                  <w:pPr>
                    <w:pStyle w:val="149"/>
                    <w:rPr>
                      <w:rFonts w:cs="宋体" w:asciiTheme="minorEastAsia" w:hAnsiTheme="minorEastAsia" w:eastAsiaTheme="minorEastAsia"/>
                    </w:rPr>
                  </w:pPr>
                  <w:r>
                    <w:rPr>
                      <w:rFonts w:hint="eastAsia" w:cs="宋体" w:asciiTheme="minorEastAsia" w:hAnsiTheme="minorEastAsia" w:eastAsiaTheme="minorEastAsia"/>
                    </w:rPr>
                    <w:t>临时工程</w:t>
                  </w:r>
                </w:p>
              </w:tc>
              <w:tc>
                <w:tcPr>
                  <w:tcW w:w="3136" w:type="pct"/>
                  <w:gridSpan w:val="2"/>
                  <w:vAlign w:val="center"/>
                </w:tcPr>
                <w:p w14:paraId="249226A2">
                  <w:pPr>
                    <w:pStyle w:val="149"/>
                    <w:jc w:val="both"/>
                    <w:rPr>
                      <w:rFonts w:ascii="宋体" w:hAnsi="宋体" w:eastAsia="Times New Roman" w:cs="宋体"/>
                    </w:rPr>
                  </w:pPr>
                  <w:r>
                    <w:rPr>
                      <w:rFonts w:hint="eastAsia" w:cs="宋体" w:asciiTheme="minorEastAsia" w:hAnsiTheme="minorEastAsia" w:eastAsiaTheme="minorEastAsia"/>
                    </w:rPr>
                    <w:t>项目均为永久占地，不涉及新增临时占地，项目临时堆土区布置于地块内西北侧空地内。</w:t>
                  </w:r>
                </w:p>
              </w:tc>
              <w:tc>
                <w:tcPr>
                  <w:tcW w:w="496" w:type="pct"/>
                  <w:vAlign w:val="center"/>
                </w:tcPr>
                <w:p w14:paraId="7D8C5E3E">
                  <w:pPr>
                    <w:pStyle w:val="149"/>
                    <w:rPr>
                      <w:rFonts w:eastAsia="Times New Roman"/>
                    </w:rPr>
                  </w:pPr>
                </w:p>
              </w:tc>
              <w:tc>
                <w:tcPr>
                  <w:tcW w:w="567" w:type="pct"/>
                  <w:vAlign w:val="center"/>
                </w:tcPr>
                <w:p w14:paraId="63D4B1BD">
                  <w:pPr>
                    <w:pStyle w:val="149"/>
                    <w:rPr>
                      <w:rFonts w:eastAsia="Times New Roman"/>
                    </w:rPr>
                  </w:pPr>
                </w:p>
              </w:tc>
            </w:tr>
            <w:bookmarkEnd w:id="3"/>
          </w:tbl>
          <w:p w14:paraId="07BBD6AF">
            <w:pPr>
              <w:pStyle w:val="10"/>
              <w:ind w:firstLine="482"/>
              <w:rPr>
                <w:b/>
                <w:bCs/>
              </w:rPr>
            </w:pPr>
            <w:r>
              <w:rPr>
                <w:b/>
                <w:bCs/>
              </w:rPr>
              <w:t>3</w:t>
            </w:r>
            <w:r>
              <w:rPr>
                <w:rFonts w:hint="eastAsia"/>
                <w:b/>
                <w:bCs/>
              </w:rPr>
              <w:t>、项目总体规模</w:t>
            </w:r>
          </w:p>
          <w:p w14:paraId="1F88D70A">
            <w:pPr>
              <w:pStyle w:val="10"/>
            </w:pPr>
            <w:r>
              <w:rPr>
                <w:rFonts w:hint="eastAsia"/>
              </w:rPr>
              <w:t>本项目主要建设一座</w:t>
            </w:r>
            <w:r>
              <w:t>200MW/400MWh</w:t>
            </w:r>
            <w:r>
              <w:rPr>
                <w:rFonts w:hint="eastAsia"/>
              </w:rPr>
              <w:t>的独立储能电站。储能系统装置含</w:t>
            </w:r>
            <w:r>
              <w:t>1</w:t>
            </w:r>
            <w:r>
              <w:rPr>
                <w:rFonts w:hint="eastAsia"/>
              </w:rPr>
              <w:t>套</w:t>
            </w:r>
            <w:r>
              <w:t>EMS</w:t>
            </w:r>
            <w:r>
              <w:rPr>
                <w:rFonts w:hint="eastAsia"/>
              </w:rPr>
              <w:t>集控箱、</w:t>
            </w:r>
            <w:r>
              <w:t>42</w:t>
            </w:r>
            <w:r>
              <w:rPr>
                <w:rFonts w:hint="eastAsia"/>
              </w:rPr>
              <w:t>套</w:t>
            </w:r>
            <w:r>
              <w:t>PCS</w:t>
            </w:r>
            <w:r>
              <w:rPr>
                <w:rFonts w:hint="eastAsia"/>
              </w:rPr>
              <w:t>升压一体机、</w:t>
            </w:r>
            <w:r>
              <w:t>42</w:t>
            </w:r>
            <w:r>
              <w:rPr>
                <w:rFonts w:hint="eastAsia"/>
              </w:rPr>
              <w:t>套电池系统集装箱等；并配套建设一座</w:t>
            </w:r>
            <w:r>
              <w:t>220kV</w:t>
            </w:r>
            <w:r>
              <w:rPr>
                <w:rFonts w:hint="eastAsia"/>
              </w:rPr>
              <w:t>升压站。</w:t>
            </w:r>
          </w:p>
          <w:p w14:paraId="489C4734">
            <w:pPr>
              <w:pStyle w:val="149"/>
            </w:pPr>
            <w:r>
              <w:drawing>
                <wp:inline distT="0" distB="0" distL="0" distR="0">
                  <wp:extent cx="4815205" cy="3194050"/>
                  <wp:effectExtent l="0" t="0" r="4445" b="6350"/>
                  <wp:docPr id="14535959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595974" name="图片 1"/>
                          <pic:cNvPicPr>
                            <a:picLocks noChangeAspect="1"/>
                          </pic:cNvPicPr>
                        </pic:nvPicPr>
                        <pic:blipFill>
                          <a:blip r:embed="rId10"/>
                          <a:stretch>
                            <a:fillRect/>
                          </a:stretch>
                        </pic:blipFill>
                        <pic:spPr>
                          <a:xfrm>
                            <a:off x="0" y="0"/>
                            <a:ext cx="4822137" cy="3198764"/>
                          </a:xfrm>
                          <a:prstGeom prst="rect">
                            <a:avLst/>
                          </a:prstGeom>
                        </pic:spPr>
                      </pic:pic>
                    </a:graphicData>
                  </a:graphic>
                </wp:inline>
              </w:drawing>
            </w:r>
          </w:p>
          <w:p w14:paraId="3A0D13C4">
            <w:pPr>
              <w:pStyle w:val="2"/>
              <w:spacing w:before="0" w:after="0" w:line="240" w:lineRule="auto"/>
              <w:ind w:left="0" w:firstLine="0"/>
              <w:jc w:val="center"/>
              <w:rPr>
                <w:rFonts w:ascii="宋体" w:hAnsi="宋体" w:eastAsia="宋体"/>
                <w:color w:val="auto"/>
                <w:sz w:val="24"/>
                <w:szCs w:val="24"/>
              </w:rPr>
            </w:pPr>
            <w:r>
              <w:rPr>
                <w:rFonts w:hint="eastAsia" w:ascii="宋体" w:hAnsi="宋体" w:eastAsia="宋体"/>
                <w:color w:val="auto"/>
                <w:sz w:val="24"/>
                <w:szCs w:val="24"/>
              </w:rPr>
              <w:t>图2-1项目效果图</w:t>
            </w:r>
          </w:p>
          <w:p w14:paraId="363ABFEA">
            <w:pPr>
              <w:pStyle w:val="10"/>
              <w:ind w:firstLine="482"/>
              <w:rPr>
                <w:b/>
                <w:bCs/>
              </w:rPr>
            </w:pPr>
            <w:r>
              <w:rPr>
                <w:b/>
                <w:bCs/>
              </w:rPr>
              <w:t>4</w:t>
            </w:r>
            <w:r>
              <w:rPr>
                <w:rFonts w:hint="eastAsia"/>
                <w:b/>
                <w:bCs/>
              </w:rPr>
              <w:t>、项目主要设备</w:t>
            </w:r>
          </w:p>
          <w:p w14:paraId="3A0E2541">
            <w:pPr>
              <w:pStyle w:val="10"/>
            </w:pPr>
            <w:r>
              <w:rPr>
                <w:rFonts w:hint="eastAsia"/>
              </w:rPr>
              <w:t>项目主要设备见表</w:t>
            </w:r>
            <w:r>
              <w:t>2-3</w:t>
            </w:r>
            <w:r>
              <w:rPr>
                <w:rFonts w:hint="eastAsia"/>
              </w:rPr>
              <w:t>。</w:t>
            </w:r>
          </w:p>
          <w:p w14:paraId="5A323573">
            <w:pPr>
              <w:pStyle w:val="132"/>
              <w:rPr>
                <w:b/>
              </w:rPr>
            </w:pPr>
            <w:r>
              <w:rPr>
                <w:rFonts w:hint="eastAsia"/>
                <w:b/>
              </w:rPr>
              <w:t>表</w:t>
            </w:r>
            <w:r>
              <w:rPr>
                <w:b/>
              </w:rPr>
              <w:t>2-3</w:t>
            </w:r>
            <w:r>
              <w:rPr>
                <w:rFonts w:hint="eastAsia"/>
                <w:b/>
              </w:rPr>
              <w:t>项目储能电站主要设备表</w:t>
            </w:r>
          </w:p>
          <w:tbl>
            <w:tblPr>
              <w:tblStyle w:val="150"/>
              <w:tblW w:w="8384" w:type="dxa"/>
              <w:tblInd w:w="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521"/>
              <w:gridCol w:w="2566"/>
              <w:gridCol w:w="3454"/>
              <w:gridCol w:w="706"/>
              <w:gridCol w:w="532"/>
              <w:gridCol w:w="605"/>
            </w:tblGrid>
            <w:tr w14:paraId="3F8E9C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5E694621">
                  <w:pPr>
                    <w:pStyle w:val="149"/>
                    <w:wordWrap w:val="0"/>
                    <w:rPr>
                      <w:rFonts w:hint="default" w:ascii="Times New Roman" w:hAnsi="Times New Roman" w:eastAsia="宋体" w:cs="Times New Roman"/>
                      <w:b/>
                      <w:i w:val="0"/>
                    </w:rPr>
                  </w:pPr>
                  <w:r>
                    <w:rPr>
                      <w:rFonts w:hint="eastAsia" w:ascii="Times New Roman" w:hAnsi="Times New Roman" w:eastAsia="宋体" w:cs="Times New Roman"/>
                      <w:b/>
                      <w:i w:val="0"/>
                    </w:rPr>
                    <w:t>序号</w:t>
                  </w:r>
                </w:p>
              </w:tc>
              <w:tc>
                <w:tcPr>
                  <w:tcW w:w="1530" w:type="pct"/>
                  <w:vAlign w:val="center"/>
                </w:tcPr>
                <w:p w14:paraId="271664C6">
                  <w:pPr>
                    <w:pStyle w:val="149"/>
                    <w:wordWrap w:val="0"/>
                    <w:rPr>
                      <w:rFonts w:hint="default" w:ascii="Times New Roman" w:hAnsi="Times New Roman" w:eastAsia="宋体" w:cs="Times New Roman"/>
                      <w:b/>
                      <w:i w:val="0"/>
                    </w:rPr>
                  </w:pPr>
                  <w:r>
                    <w:rPr>
                      <w:rFonts w:hint="eastAsia" w:ascii="Times New Roman" w:hAnsi="Times New Roman" w:eastAsia="宋体" w:cs="Times New Roman"/>
                      <w:b/>
                      <w:i w:val="0"/>
                    </w:rPr>
                    <w:t>名称</w:t>
                  </w:r>
                </w:p>
              </w:tc>
              <w:tc>
                <w:tcPr>
                  <w:tcW w:w="2060" w:type="pct"/>
                  <w:vAlign w:val="center"/>
                </w:tcPr>
                <w:p w14:paraId="6E27DB10">
                  <w:pPr>
                    <w:pStyle w:val="149"/>
                    <w:wordWrap w:val="0"/>
                    <w:rPr>
                      <w:rFonts w:hint="default" w:ascii="Times New Roman" w:hAnsi="Times New Roman" w:eastAsia="宋体" w:cs="Times New Roman"/>
                      <w:b/>
                      <w:i w:val="0"/>
                    </w:rPr>
                  </w:pPr>
                  <w:r>
                    <w:rPr>
                      <w:rFonts w:hint="eastAsia" w:ascii="Times New Roman" w:hAnsi="Times New Roman" w:eastAsia="宋体" w:cs="Times New Roman"/>
                      <w:b/>
                      <w:i w:val="0"/>
                    </w:rPr>
                    <w:t>型号、规格</w:t>
                  </w:r>
                </w:p>
              </w:tc>
              <w:tc>
                <w:tcPr>
                  <w:tcW w:w="421" w:type="pct"/>
                  <w:vAlign w:val="center"/>
                </w:tcPr>
                <w:p w14:paraId="4DD3ACD8">
                  <w:pPr>
                    <w:pStyle w:val="149"/>
                    <w:wordWrap w:val="0"/>
                    <w:rPr>
                      <w:rFonts w:hint="default" w:ascii="Times New Roman" w:hAnsi="Times New Roman" w:eastAsia="宋体" w:cs="Times New Roman"/>
                      <w:b/>
                      <w:i w:val="0"/>
                    </w:rPr>
                  </w:pPr>
                  <w:r>
                    <w:rPr>
                      <w:rFonts w:hint="eastAsia" w:ascii="Times New Roman" w:hAnsi="Times New Roman" w:eastAsia="宋体" w:cs="Times New Roman"/>
                      <w:b/>
                      <w:i w:val="0"/>
                    </w:rPr>
                    <w:t>单位</w:t>
                  </w:r>
                </w:p>
              </w:tc>
              <w:tc>
                <w:tcPr>
                  <w:tcW w:w="317" w:type="pct"/>
                  <w:vAlign w:val="center"/>
                </w:tcPr>
                <w:p w14:paraId="0A6B3E16">
                  <w:pPr>
                    <w:pStyle w:val="149"/>
                    <w:wordWrap w:val="0"/>
                    <w:rPr>
                      <w:rFonts w:hint="default" w:ascii="Times New Roman" w:hAnsi="Times New Roman" w:eastAsia="宋体" w:cs="Times New Roman"/>
                      <w:b/>
                      <w:i w:val="0"/>
                    </w:rPr>
                  </w:pPr>
                  <w:r>
                    <w:rPr>
                      <w:rFonts w:hint="eastAsia" w:ascii="Times New Roman" w:hAnsi="Times New Roman" w:eastAsia="宋体" w:cs="Times New Roman"/>
                      <w:b/>
                      <w:i w:val="0"/>
                    </w:rPr>
                    <w:t>数量</w:t>
                  </w:r>
                </w:p>
              </w:tc>
              <w:tc>
                <w:tcPr>
                  <w:tcW w:w="361" w:type="pct"/>
                  <w:vAlign w:val="center"/>
                </w:tcPr>
                <w:p w14:paraId="594E8E08">
                  <w:pPr>
                    <w:pStyle w:val="149"/>
                    <w:wordWrap w:val="0"/>
                    <w:rPr>
                      <w:rFonts w:hint="default" w:ascii="Times New Roman" w:hAnsi="Times New Roman" w:eastAsia="宋体" w:cs="Times New Roman"/>
                      <w:b/>
                      <w:i w:val="0"/>
                    </w:rPr>
                  </w:pPr>
                  <w:r>
                    <w:rPr>
                      <w:rFonts w:hint="eastAsia" w:ascii="Times New Roman" w:hAnsi="Times New Roman" w:eastAsia="宋体" w:cs="Times New Roman"/>
                      <w:b/>
                      <w:i w:val="0"/>
                    </w:rPr>
                    <w:t>备注</w:t>
                  </w:r>
                </w:p>
              </w:tc>
            </w:tr>
            <w:tr w14:paraId="6B6A83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gridSpan w:val="6"/>
                  <w:vAlign w:val="center"/>
                </w:tcPr>
                <w:p w14:paraId="5AE26077">
                  <w:pPr>
                    <w:pStyle w:val="149"/>
                    <w:wordWrap w:val="0"/>
                    <w:rPr>
                      <w:rFonts w:eastAsia="Times New Roman"/>
                    </w:rPr>
                  </w:pPr>
                  <w:r>
                    <w:rPr>
                      <w:rFonts w:hint="eastAsia" w:ascii="宋体" w:hAnsi="宋体" w:eastAsia="宋体" w:cs="宋体"/>
                    </w:rPr>
                    <w:t>一、储能电站部分</w:t>
                  </w:r>
                </w:p>
              </w:tc>
            </w:tr>
            <w:tr w14:paraId="51891E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13D0F5D4">
                  <w:pPr>
                    <w:pStyle w:val="149"/>
                    <w:wordWrap w:val="0"/>
                    <w:rPr>
                      <w:rFonts w:eastAsia="Times New Roman"/>
                    </w:rPr>
                  </w:pPr>
                  <w:r>
                    <w:rPr>
                      <w:rFonts w:eastAsia="Times New Roman"/>
                    </w:rPr>
                    <w:t>1</w:t>
                  </w:r>
                </w:p>
              </w:tc>
              <w:tc>
                <w:tcPr>
                  <w:tcW w:w="1530" w:type="pct"/>
                  <w:vAlign w:val="center"/>
                </w:tcPr>
                <w:p w14:paraId="782CF8BF">
                  <w:pPr>
                    <w:pStyle w:val="149"/>
                    <w:wordWrap w:val="0"/>
                    <w:rPr>
                      <w:rFonts w:eastAsia="Times New Roman"/>
                    </w:rPr>
                  </w:pPr>
                  <w:r>
                    <w:rPr>
                      <w:rFonts w:hint="eastAsia" w:ascii="宋体" w:hAnsi="宋体" w:eastAsia="宋体" w:cs="宋体"/>
                    </w:rPr>
                    <w:t>电池集装箱设备及安装工程</w:t>
                  </w:r>
                </w:p>
              </w:tc>
              <w:tc>
                <w:tcPr>
                  <w:tcW w:w="2060" w:type="pct"/>
                  <w:vAlign w:val="center"/>
                </w:tcPr>
                <w:p w14:paraId="454D6A18">
                  <w:pPr>
                    <w:pStyle w:val="149"/>
                    <w:wordWrap w:val="0"/>
                    <w:rPr>
                      <w:rFonts w:eastAsia="Times New Roman"/>
                    </w:rPr>
                  </w:pPr>
                  <w:r>
                    <w:rPr>
                      <w:rFonts w:hint="eastAsia" w:ascii="宋体" w:hAnsi="宋体" w:eastAsia="宋体" w:cs="宋体"/>
                    </w:rPr>
                    <w:t>标准尺寸集装箱</w:t>
                  </w:r>
                </w:p>
              </w:tc>
              <w:tc>
                <w:tcPr>
                  <w:tcW w:w="421" w:type="pct"/>
                  <w:vAlign w:val="center"/>
                </w:tcPr>
                <w:p w14:paraId="413F0AB7">
                  <w:pPr>
                    <w:pStyle w:val="149"/>
                    <w:wordWrap w:val="0"/>
                    <w:rPr>
                      <w:rFonts w:eastAsia="Times New Roman"/>
                    </w:rPr>
                  </w:pPr>
                  <w:r>
                    <w:rPr>
                      <w:rFonts w:eastAsia="Times New Roman"/>
                    </w:rPr>
                    <w:t>MWh</w:t>
                  </w:r>
                </w:p>
              </w:tc>
              <w:tc>
                <w:tcPr>
                  <w:tcW w:w="317" w:type="pct"/>
                  <w:vAlign w:val="center"/>
                </w:tcPr>
                <w:p w14:paraId="6ACA547E">
                  <w:pPr>
                    <w:pStyle w:val="149"/>
                    <w:wordWrap w:val="0"/>
                    <w:rPr>
                      <w:rFonts w:eastAsia="Times New Roman"/>
                    </w:rPr>
                  </w:pPr>
                  <w:r>
                    <w:rPr>
                      <w:rFonts w:eastAsia="Times New Roman"/>
                    </w:rPr>
                    <w:t>400</w:t>
                  </w:r>
                </w:p>
              </w:tc>
              <w:tc>
                <w:tcPr>
                  <w:tcW w:w="361" w:type="pct"/>
                  <w:vAlign w:val="center"/>
                </w:tcPr>
                <w:p w14:paraId="2A6C77DE">
                  <w:pPr>
                    <w:pStyle w:val="149"/>
                    <w:wordWrap w:val="0"/>
                    <w:rPr>
                      <w:rFonts w:eastAsia="Times New Roman"/>
                    </w:rPr>
                  </w:pPr>
                  <w:r>
                    <w:rPr>
                      <w:rFonts w:eastAsia="Times New Roman"/>
                    </w:rPr>
                    <w:t>/</w:t>
                  </w:r>
                </w:p>
              </w:tc>
            </w:tr>
            <w:tr w14:paraId="03E2E9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28EA20A9">
                  <w:pPr>
                    <w:pStyle w:val="149"/>
                    <w:wordWrap w:val="0"/>
                    <w:rPr>
                      <w:rFonts w:eastAsia="Times New Roman"/>
                    </w:rPr>
                  </w:pPr>
                  <w:r>
                    <w:rPr>
                      <w:rFonts w:eastAsia="Times New Roman"/>
                    </w:rPr>
                    <w:t>1.1</w:t>
                  </w:r>
                </w:p>
              </w:tc>
              <w:tc>
                <w:tcPr>
                  <w:tcW w:w="1530" w:type="pct"/>
                  <w:vAlign w:val="center"/>
                </w:tcPr>
                <w:p w14:paraId="37A0D66D">
                  <w:pPr>
                    <w:pStyle w:val="149"/>
                    <w:wordWrap w:val="0"/>
                    <w:rPr>
                      <w:rFonts w:eastAsia="Times New Roman"/>
                    </w:rPr>
                  </w:pPr>
                  <w:r>
                    <w:rPr>
                      <w:rFonts w:eastAsia="Times New Roman"/>
                    </w:rPr>
                    <w:t>2.5MW/5MWh</w:t>
                  </w:r>
                  <w:r>
                    <w:rPr>
                      <w:rFonts w:hint="eastAsia" w:ascii="宋体" w:hAnsi="宋体" w:eastAsia="宋体" w:cs="宋体"/>
                    </w:rPr>
                    <w:t>储能舱（磷酸铁锂电池）</w:t>
                  </w:r>
                </w:p>
              </w:tc>
              <w:tc>
                <w:tcPr>
                  <w:tcW w:w="2060" w:type="pct"/>
                  <w:vAlign w:val="center"/>
                </w:tcPr>
                <w:p w14:paraId="69BFC497">
                  <w:pPr>
                    <w:pStyle w:val="149"/>
                    <w:wordWrap w:val="0"/>
                    <w:rPr>
                      <w:rFonts w:eastAsia="Times New Roman"/>
                    </w:rPr>
                  </w:pPr>
                  <w:r>
                    <w:rPr>
                      <w:rFonts w:hint="eastAsia" w:ascii="宋体" w:hAnsi="宋体" w:eastAsia="宋体" w:cs="宋体"/>
                    </w:rPr>
                    <w:t>电芯：</w:t>
                  </w:r>
                  <w:r>
                    <w:rPr>
                      <w:rFonts w:eastAsia="Times New Roman"/>
                    </w:rPr>
                    <w:t>3.2V</w:t>
                  </w:r>
                  <w:r>
                    <w:rPr>
                      <w:rFonts w:hint="eastAsia" w:ascii="宋体" w:hAnsi="宋体" w:eastAsia="宋体" w:cs="宋体"/>
                    </w:rPr>
                    <w:t>，</w:t>
                  </w:r>
                  <w:r>
                    <w:rPr>
                      <w:rFonts w:eastAsia="Times New Roman"/>
                    </w:rPr>
                    <w:t>314Ah</w:t>
                  </w:r>
                </w:p>
              </w:tc>
              <w:tc>
                <w:tcPr>
                  <w:tcW w:w="421" w:type="pct"/>
                  <w:vAlign w:val="center"/>
                </w:tcPr>
                <w:p w14:paraId="79CBCA65">
                  <w:pPr>
                    <w:pStyle w:val="149"/>
                    <w:wordWrap w:val="0"/>
                    <w:rPr>
                      <w:rFonts w:eastAsia="Times New Roman"/>
                    </w:rPr>
                  </w:pPr>
                  <w:r>
                    <w:rPr>
                      <w:rFonts w:hint="eastAsia" w:ascii="宋体" w:hAnsi="宋体" w:eastAsia="宋体" w:cs="宋体"/>
                    </w:rPr>
                    <w:t>套</w:t>
                  </w:r>
                </w:p>
              </w:tc>
              <w:tc>
                <w:tcPr>
                  <w:tcW w:w="317" w:type="pct"/>
                  <w:vAlign w:val="center"/>
                </w:tcPr>
                <w:p w14:paraId="1D9DE56B">
                  <w:pPr>
                    <w:pStyle w:val="149"/>
                    <w:wordWrap w:val="0"/>
                    <w:rPr>
                      <w:rFonts w:eastAsia="Times New Roman"/>
                    </w:rPr>
                  </w:pPr>
                  <w:r>
                    <w:rPr>
                      <w:rFonts w:eastAsia="Times New Roman"/>
                    </w:rPr>
                    <w:t>84</w:t>
                  </w:r>
                </w:p>
              </w:tc>
              <w:tc>
                <w:tcPr>
                  <w:tcW w:w="361" w:type="pct"/>
                  <w:vAlign w:val="center"/>
                </w:tcPr>
                <w:p w14:paraId="45B3D31F">
                  <w:pPr>
                    <w:pStyle w:val="149"/>
                    <w:wordWrap w:val="0"/>
                    <w:rPr>
                      <w:rFonts w:eastAsia="Times New Roman"/>
                    </w:rPr>
                  </w:pPr>
                  <w:r>
                    <w:rPr>
                      <w:rFonts w:eastAsia="Times New Roman"/>
                    </w:rPr>
                    <w:t>40</w:t>
                  </w:r>
                  <w:r>
                    <w:rPr>
                      <w:rFonts w:hint="eastAsia" w:ascii="宋体" w:hAnsi="宋体" w:eastAsia="宋体" w:cs="宋体"/>
                    </w:rPr>
                    <w:t>尺</w:t>
                  </w:r>
                </w:p>
              </w:tc>
            </w:tr>
            <w:tr w14:paraId="6DE3E9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3774B433">
                  <w:pPr>
                    <w:pStyle w:val="149"/>
                    <w:wordWrap w:val="0"/>
                    <w:rPr>
                      <w:rFonts w:eastAsia="Times New Roman"/>
                    </w:rPr>
                  </w:pPr>
                  <w:r>
                    <w:rPr>
                      <w:rFonts w:eastAsia="Times New Roman"/>
                    </w:rPr>
                    <w:t>2</w:t>
                  </w:r>
                </w:p>
              </w:tc>
              <w:tc>
                <w:tcPr>
                  <w:tcW w:w="1530" w:type="pct"/>
                  <w:vAlign w:val="center"/>
                </w:tcPr>
                <w:p w14:paraId="2FD5DADF">
                  <w:pPr>
                    <w:pStyle w:val="149"/>
                    <w:wordWrap w:val="0"/>
                    <w:rPr>
                      <w:rFonts w:eastAsia="Times New Roman"/>
                    </w:rPr>
                  </w:pPr>
                  <w:r>
                    <w:rPr>
                      <w:rFonts w:hint="eastAsia" w:ascii="宋体" w:hAnsi="宋体" w:eastAsia="宋体" w:cs="宋体"/>
                    </w:rPr>
                    <w:t>变流升压设备及安装</w:t>
                  </w:r>
                </w:p>
              </w:tc>
              <w:tc>
                <w:tcPr>
                  <w:tcW w:w="3160" w:type="pct"/>
                  <w:gridSpan w:val="4"/>
                  <w:vAlign w:val="center"/>
                </w:tcPr>
                <w:p w14:paraId="28EBAA0B">
                  <w:pPr>
                    <w:pStyle w:val="149"/>
                    <w:wordWrap w:val="0"/>
                    <w:rPr>
                      <w:rFonts w:eastAsia="Times New Roman"/>
                    </w:rPr>
                  </w:pPr>
                </w:p>
              </w:tc>
            </w:tr>
            <w:tr w14:paraId="0E58BD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7E277D4B">
                  <w:pPr>
                    <w:pStyle w:val="149"/>
                    <w:wordWrap w:val="0"/>
                    <w:rPr>
                      <w:rFonts w:eastAsia="Times New Roman"/>
                    </w:rPr>
                  </w:pPr>
                  <w:r>
                    <w:rPr>
                      <w:rFonts w:eastAsia="Times New Roman"/>
                    </w:rPr>
                    <w:t>2.1</w:t>
                  </w:r>
                </w:p>
              </w:tc>
              <w:tc>
                <w:tcPr>
                  <w:tcW w:w="1530" w:type="pct"/>
                  <w:vAlign w:val="center"/>
                </w:tcPr>
                <w:p w14:paraId="002B2A4D">
                  <w:pPr>
                    <w:pStyle w:val="149"/>
                    <w:wordWrap w:val="0"/>
                    <w:rPr>
                      <w:rFonts w:eastAsia="Times New Roman"/>
                    </w:rPr>
                  </w:pPr>
                  <w:r>
                    <w:rPr>
                      <w:rFonts w:eastAsia="Times New Roman"/>
                    </w:rPr>
                    <w:t>5000kW</w:t>
                  </w:r>
                  <w:r>
                    <w:rPr>
                      <w:rFonts w:hint="eastAsia" w:ascii="宋体" w:hAnsi="宋体" w:eastAsia="宋体" w:cs="宋体"/>
                    </w:rPr>
                    <w:t>储能变流器</w:t>
                  </w:r>
                </w:p>
              </w:tc>
              <w:tc>
                <w:tcPr>
                  <w:tcW w:w="2060" w:type="pct"/>
                  <w:vAlign w:val="center"/>
                </w:tcPr>
                <w:p w14:paraId="36BABEE8">
                  <w:pPr>
                    <w:pStyle w:val="149"/>
                    <w:wordWrap w:val="0"/>
                    <w:rPr>
                      <w:rFonts w:eastAsia="Times New Roman"/>
                    </w:rPr>
                  </w:pPr>
                  <w:r>
                    <w:rPr>
                      <w:rFonts w:hint="eastAsia" w:ascii="宋体" w:hAnsi="宋体" w:eastAsia="宋体" w:cs="宋体"/>
                    </w:rPr>
                    <w:t>额定功率</w:t>
                  </w:r>
                  <w:r>
                    <w:rPr>
                      <w:rFonts w:eastAsia="Times New Roman"/>
                    </w:rPr>
                    <w:t>5MW</w:t>
                  </w:r>
                  <w:r>
                    <w:rPr>
                      <w:rFonts w:hint="eastAsia" w:ascii="宋体" w:hAnsi="宋体" w:eastAsia="宋体" w:cs="宋体"/>
                    </w:rPr>
                    <w:t>，配置</w:t>
                  </w:r>
                  <w:r>
                    <w:rPr>
                      <w:rFonts w:eastAsia="Times New Roman"/>
                    </w:rPr>
                    <w:t>2</w:t>
                  </w:r>
                  <w:r>
                    <w:rPr>
                      <w:rFonts w:hint="eastAsia" w:ascii="宋体" w:hAnsi="宋体" w:eastAsia="宋体" w:cs="宋体"/>
                    </w:rPr>
                    <w:t>台</w:t>
                  </w:r>
                  <w:r>
                    <w:rPr>
                      <w:rFonts w:eastAsia="Times New Roman"/>
                    </w:rPr>
                    <w:t>2500kW</w:t>
                  </w:r>
                  <w:r>
                    <w:rPr>
                      <w:rFonts w:hint="eastAsia" w:ascii="宋体" w:hAnsi="宋体" w:eastAsia="宋体" w:cs="宋体"/>
                    </w:rPr>
                    <w:t>；直流电压范围：</w:t>
                  </w:r>
                  <w:r>
                    <w:rPr>
                      <w:rFonts w:eastAsia="Times New Roman"/>
                    </w:rPr>
                    <w:t>1000~1500V</w:t>
                  </w:r>
                  <w:r>
                    <w:rPr>
                      <w:rFonts w:hint="eastAsia" w:ascii="宋体" w:hAnsi="宋体" w:eastAsia="宋体" w:cs="宋体"/>
                    </w:rPr>
                    <w:t>；交流电压：</w:t>
                  </w:r>
                  <w:r>
                    <w:rPr>
                      <w:rFonts w:eastAsia="Times New Roman"/>
                    </w:rPr>
                    <w:t>690V</w:t>
                  </w:r>
                  <w:r>
                    <w:rPr>
                      <w:rFonts w:hint="eastAsia" w:asciiTheme="minorEastAsia" w:hAnsiTheme="minorEastAsia" w:eastAsiaTheme="minorEastAsia"/>
                    </w:rPr>
                    <w:t>。</w:t>
                  </w:r>
                </w:p>
              </w:tc>
              <w:tc>
                <w:tcPr>
                  <w:tcW w:w="421" w:type="pct"/>
                  <w:vAlign w:val="center"/>
                </w:tcPr>
                <w:p w14:paraId="0C6E44E2">
                  <w:pPr>
                    <w:pStyle w:val="149"/>
                    <w:wordWrap w:val="0"/>
                    <w:rPr>
                      <w:rFonts w:eastAsia="Times New Roman"/>
                    </w:rPr>
                  </w:pPr>
                  <w:r>
                    <w:rPr>
                      <w:rFonts w:hint="eastAsia" w:ascii="宋体" w:hAnsi="宋体" w:eastAsia="宋体" w:cs="宋体"/>
                    </w:rPr>
                    <w:t>台</w:t>
                  </w:r>
                </w:p>
              </w:tc>
              <w:tc>
                <w:tcPr>
                  <w:tcW w:w="317" w:type="pct"/>
                  <w:vAlign w:val="center"/>
                </w:tcPr>
                <w:p w14:paraId="363BEB85">
                  <w:pPr>
                    <w:pStyle w:val="149"/>
                    <w:wordWrap w:val="0"/>
                    <w:rPr>
                      <w:rFonts w:eastAsia="Times New Roman"/>
                    </w:rPr>
                  </w:pPr>
                  <w:r>
                    <w:rPr>
                      <w:rFonts w:eastAsia="Times New Roman"/>
                    </w:rPr>
                    <w:t>42</w:t>
                  </w:r>
                </w:p>
              </w:tc>
              <w:tc>
                <w:tcPr>
                  <w:tcW w:w="361" w:type="pct"/>
                  <w:vAlign w:val="center"/>
                </w:tcPr>
                <w:p w14:paraId="1EC172EB">
                  <w:pPr>
                    <w:pStyle w:val="149"/>
                    <w:wordWrap w:val="0"/>
                    <w:rPr>
                      <w:rFonts w:eastAsia="Times New Roman"/>
                    </w:rPr>
                  </w:pPr>
                  <w:r>
                    <w:rPr>
                      <w:rFonts w:eastAsia="Times New Roman"/>
                    </w:rPr>
                    <w:t>/</w:t>
                  </w:r>
                </w:p>
              </w:tc>
            </w:tr>
            <w:tr w14:paraId="6C8290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71EF785F">
                  <w:pPr>
                    <w:pStyle w:val="149"/>
                    <w:wordWrap w:val="0"/>
                    <w:rPr>
                      <w:rFonts w:eastAsia="Times New Roman"/>
                    </w:rPr>
                  </w:pPr>
                  <w:r>
                    <w:rPr>
                      <w:rFonts w:eastAsia="Times New Roman"/>
                    </w:rPr>
                    <w:t>2.2</w:t>
                  </w:r>
                </w:p>
              </w:tc>
              <w:tc>
                <w:tcPr>
                  <w:tcW w:w="1530" w:type="pct"/>
                  <w:vAlign w:val="center"/>
                </w:tcPr>
                <w:p w14:paraId="1D76E657">
                  <w:pPr>
                    <w:pStyle w:val="149"/>
                    <w:wordWrap w:val="0"/>
                    <w:rPr>
                      <w:rFonts w:eastAsia="Times New Roman"/>
                    </w:rPr>
                  </w:pPr>
                  <w:r>
                    <w:rPr>
                      <w:rFonts w:eastAsia="Times New Roman"/>
                    </w:rPr>
                    <w:t>5000kVA</w:t>
                  </w:r>
                  <w:r>
                    <w:rPr>
                      <w:rFonts w:hint="eastAsia" w:ascii="宋体" w:hAnsi="宋体" w:eastAsia="宋体" w:cs="宋体"/>
                    </w:rPr>
                    <w:t>升压变压器</w:t>
                  </w:r>
                </w:p>
              </w:tc>
              <w:tc>
                <w:tcPr>
                  <w:tcW w:w="2060" w:type="pct"/>
                  <w:vAlign w:val="center"/>
                </w:tcPr>
                <w:p w14:paraId="57E8C76A">
                  <w:pPr>
                    <w:pStyle w:val="149"/>
                    <w:wordWrap w:val="0"/>
                    <w:rPr>
                      <w:rFonts w:eastAsia="Times New Roman"/>
                    </w:rPr>
                  </w:pPr>
                  <w:r>
                    <w:rPr>
                      <w:rFonts w:eastAsia="Times New Roman"/>
                    </w:rPr>
                    <w:t>SCB5000/37±2x2.5%/</w:t>
                  </w:r>
                  <w:r>
                    <w:rPr>
                      <w:rFonts w:hint="eastAsia" w:asciiTheme="minorEastAsia" w:hAnsiTheme="minorEastAsia" w:eastAsiaTheme="minorEastAsia"/>
                    </w:rPr>
                    <w:t>；</w:t>
                  </w:r>
                  <w:r>
                    <w:rPr>
                      <w:rFonts w:eastAsia="Times New Roman"/>
                    </w:rPr>
                    <w:t>0.69kV</w:t>
                  </w:r>
                  <w:r>
                    <w:rPr>
                      <w:rFonts w:hint="eastAsia" w:ascii="宋体" w:hAnsi="宋体" w:eastAsia="宋体" w:cs="宋体"/>
                    </w:rPr>
                    <w:t>；阻抗</w:t>
                  </w:r>
                  <w:r>
                    <w:rPr>
                      <w:rFonts w:eastAsia="Times New Roman"/>
                    </w:rPr>
                    <w:t xml:space="preserve"> Ud=6.5%</w:t>
                  </w:r>
                  <w:r>
                    <w:rPr>
                      <w:rFonts w:hint="eastAsia" w:asciiTheme="minorEastAsia" w:hAnsiTheme="minorEastAsia" w:eastAsiaTheme="minorEastAsia"/>
                    </w:rPr>
                    <w:t>。</w:t>
                  </w:r>
                </w:p>
              </w:tc>
              <w:tc>
                <w:tcPr>
                  <w:tcW w:w="421" w:type="pct"/>
                  <w:vAlign w:val="center"/>
                </w:tcPr>
                <w:p w14:paraId="432ED2ED">
                  <w:pPr>
                    <w:pStyle w:val="149"/>
                    <w:wordWrap w:val="0"/>
                    <w:rPr>
                      <w:rFonts w:eastAsia="Times New Roman"/>
                    </w:rPr>
                  </w:pPr>
                  <w:r>
                    <w:rPr>
                      <w:rFonts w:hint="eastAsia" w:ascii="宋体" w:hAnsi="宋体" w:eastAsia="宋体" w:cs="宋体"/>
                    </w:rPr>
                    <w:t>套</w:t>
                  </w:r>
                </w:p>
              </w:tc>
              <w:tc>
                <w:tcPr>
                  <w:tcW w:w="317" w:type="pct"/>
                  <w:vAlign w:val="center"/>
                </w:tcPr>
                <w:p w14:paraId="0DAEC2A9">
                  <w:pPr>
                    <w:pStyle w:val="149"/>
                    <w:wordWrap w:val="0"/>
                    <w:rPr>
                      <w:rFonts w:eastAsia="Times New Roman"/>
                    </w:rPr>
                  </w:pPr>
                  <w:r>
                    <w:rPr>
                      <w:rFonts w:eastAsia="Times New Roman"/>
                    </w:rPr>
                    <w:t>42</w:t>
                  </w:r>
                </w:p>
              </w:tc>
              <w:tc>
                <w:tcPr>
                  <w:tcW w:w="361" w:type="pct"/>
                  <w:vAlign w:val="center"/>
                </w:tcPr>
                <w:p w14:paraId="6DD94D2D">
                  <w:pPr>
                    <w:pStyle w:val="149"/>
                    <w:wordWrap w:val="0"/>
                    <w:rPr>
                      <w:rFonts w:eastAsia="Times New Roman"/>
                    </w:rPr>
                  </w:pPr>
                  <w:r>
                    <w:rPr>
                      <w:rFonts w:eastAsia="Times New Roman"/>
                    </w:rPr>
                    <w:t>/</w:t>
                  </w:r>
                </w:p>
              </w:tc>
            </w:tr>
            <w:tr w14:paraId="014C6F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00D4E366">
                  <w:pPr>
                    <w:pStyle w:val="149"/>
                    <w:wordWrap w:val="0"/>
                    <w:rPr>
                      <w:rFonts w:eastAsia="Times New Roman"/>
                    </w:rPr>
                  </w:pPr>
                  <w:r>
                    <w:rPr>
                      <w:rFonts w:eastAsia="Times New Roman"/>
                    </w:rPr>
                    <w:t>2.3</w:t>
                  </w:r>
                </w:p>
              </w:tc>
              <w:tc>
                <w:tcPr>
                  <w:tcW w:w="1530" w:type="pct"/>
                  <w:vAlign w:val="center"/>
                </w:tcPr>
                <w:p w14:paraId="2A999EEC">
                  <w:pPr>
                    <w:pStyle w:val="149"/>
                    <w:wordWrap w:val="0"/>
                    <w:rPr>
                      <w:rFonts w:eastAsia="Times New Roman"/>
                    </w:rPr>
                  </w:pPr>
                  <w:r>
                    <w:rPr>
                      <w:rFonts w:hint="eastAsia" w:ascii="宋体" w:hAnsi="宋体" w:eastAsia="宋体" w:cs="宋体"/>
                    </w:rPr>
                    <w:t>辅助变压器</w:t>
                  </w:r>
                </w:p>
              </w:tc>
              <w:tc>
                <w:tcPr>
                  <w:tcW w:w="2060" w:type="pct"/>
                  <w:vAlign w:val="center"/>
                </w:tcPr>
                <w:p w14:paraId="1986075C">
                  <w:pPr>
                    <w:pStyle w:val="149"/>
                    <w:wordWrap w:val="0"/>
                    <w:rPr>
                      <w:rFonts w:eastAsia="Times New Roman"/>
                    </w:rPr>
                  </w:pPr>
                  <w:r>
                    <w:rPr>
                      <w:rFonts w:eastAsia="Times New Roman"/>
                    </w:rPr>
                    <w:t>/</w:t>
                  </w:r>
                </w:p>
              </w:tc>
              <w:tc>
                <w:tcPr>
                  <w:tcW w:w="421" w:type="pct"/>
                  <w:vAlign w:val="center"/>
                </w:tcPr>
                <w:p w14:paraId="3CCC75DD">
                  <w:pPr>
                    <w:pStyle w:val="149"/>
                    <w:wordWrap w:val="0"/>
                    <w:rPr>
                      <w:rFonts w:eastAsia="Times New Roman"/>
                    </w:rPr>
                  </w:pPr>
                  <w:r>
                    <w:rPr>
                      <w:rFonts w:hint="eastAsia" w:ascii="宋体" w:hAnsi="宋体" w:eastAsia="宋体" w:cs="宋体"/>
                    </w:rPr>
                    <w:t>台</w:t>
                  </w:r>
                </w:p>
              </w:tc>
              <w:tc>
                <w:tcPr>
                  <w:tcW w:w="317" w:type="pct"/>
                  <w:vAlign w:val="center"/>
                </w:tcPr>
                <w:p w14:paraId="08D3F2FF">
                  <w:pPr>
                    <w:pStyle w:val="149"/>
                    <w:wordWrap w:val="0"/>
                    <w:rPr>
                      <w:rFonts w:eastAsia="Times New Roman"/>
                    </w:rPr>
                  </w:pPr>
                  <w:r>
                    <w:rPr>
                      <w:rFonts w:eastAsia="Times New Roman"/>
                    </w:rPr>
                    <w:t>84</w:t>
                  </w:r>
                </w:p>
              </w:tc>
              <w:tc>
                <w:tcPr>
                  <w:tcW w:w="361" w:type="pct"/>
                  <w:vAlign w:val="center"/>
                </w:tcPr>
                <w:p w14:paraId="6A3EFA67">
                  <w:pPr>
                    <w:pStyle w:val="149"/>
                    <w:wordWrap w:val="0"/>
                    <w:rPr>
                      <w:rFonts w:eastAsia="Times New Roman"/>
                    </w:rPr>
                  </w:pPr>
                  <w:r>
                    <w:rPr>
                      <w:rFonts w:eastAsia="Times New Roman"/>
                    </w:rPr>
                    <w:t>/</w:t>
                  </w:r>
                </w:p>
              </w:tc>
            </w:tr>
            <w:tr w14:paraId="038A71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74EF968B">
                  <w:pPr>
                    <w:pStyle w:val="149"/>
                    <w:wordWrap w:val="0"/>
                    <w:rPr>
                      <w:rFonts w:eastAsia="Times New Roman"/>
                    </w:rPr>
                  </w:pPr>
                  <w:r>
                    <w:rPr>
                      <w:rFonts w:eastAsia="Times New Roman"/>
                    </w:rPr>
                    <w:t>3</w:t>
                  </w:r>
                </w:p>
              </w:tc>
              <w:tc>
                <w:tcPr>
                  <w:tcW w:w="1530" w:type="pct"/>
                  <w:vAlign w:val="center"/>
                </w:tcPr>
                <w:p w14:paraId="55F7B71D">
                  <w:pPr>
                    <w:pStyle w:val="149"/>
                    <w:wordWrap w:val="0"/>
                    <w:rPr>
                      <w:rFonts w:eastAsia="Times New Roman"/>
                    </w:rPr>
                  </w:pPr>
                  <w:r>
                    <w:rPr>
                      <w:rFonts w:hint="eastAsia" w:ascii="宋体" w:hAnsi="宋体" w:eastAsia="宋体" w:cs="宋体"/>
                    </w:rPr>
                    <w:t>电池辅助用电设备及安装</w:t>
                  </w:r>
                </w:p>
              </w:tc>
              <w:tc>
                <w:tcPr>
                  <w:tcW w:w="3160" w:type="pct"/>
                  <w:gridSpan w:val="4"/>
                  <w:vAlign w:val="center"/>
                </w:tcPr>
                <w:p w14:paraId="57905CBD">
                  <w:pPr>
                    <w:pStyle w:val="149"/>
                    <w:wordWrap w:val="0"/>
                    <w:rPr>
                      <w:rFonts w:eastAsia="Times New Roman"/>
                    </w:rPr>
                  </w:pPr>
                </w:p>
              </w:tc>
            </w:tr>
            <w:tr w14:paraId="57B455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50745E91">
                  <w:pPr>
                    <w:pStyle w:val="149"/>
                    <w:wordWrap w:val="0"/>
                    <w:rPr>
                      <w:rFonts w:eastAsia="Times New Roman"/>
                    </w:rPr>
                  </w:pPr>
                  <w:r>
                    <w:rPr>
                      <w:rFonts w:eastAsia="Times New Roman"/>
                    </w:rPr>
                    <w:t>3.1</w:t>
                  </w:r>
                </w:p>
              </w:tc>
              <w:tc>
                <w:tcPr>
                  <w:tcW w:w="1530" w:type="pct"/>
                  <w:vAlign w:val="center"/>
                </w:tcPr>
                <w:p w14:paraId="784288CC">
                  <w:pPr>
                    <w:pStyle w:val="149"/>
                    <w:wordWrap w:val="0"/>
                    <w:rPr>
                      <w:rFonts w:eastAsia="Times New Roman"/>
                    </w:rPr>
                  </w:pPr>
                  <w:r>
                    <w:rPr>
                      <w:rFonts w:hint="eastAsia" w:ascii="宋体" w:hAnsi="宋体" w:eastAsia="宋体" w:cs="宋体"/>
                    </w:rPr>
                    <w:t>低压配电柜</w:t>
                  </w:r>
                  <w:r>
                    <w:rPr>
                      <w:rFonts w:eastAsia="Times New Roman"/>
                    </w:rPr>
                    <w:t>60kW</w:t>
                  </w:r>
                </w:p>
              </w:tc>
              <w:tc>
                <w:tcPr>
                  <w:tcW w:w="2060" w:type="pct"/>
                  <w:vAlign w:val="center"/>
                </w:tcPr>
                <w:p w14:paraId="1FE40207">
                  <w:pPr>
                    <w:pStyle w:val="149"/>
                    <w:wordWrap w:val="0"/>
                    <w:rPr>
                      <w:rFonts w:eastAsia="Times New Roman"/>
                    </w:rPr>
                  </w:pPr>
                  <w:r>
                    <w:rPr>
                      <w:rFonts w:eastAsia="Times New Roman"/>
                    </w:rPr>
                    <w:t>/</w:t>
                  </w:r>
                </w:p>
              </w:tc>
              <w:tc>
                <w:tcPr>
                  <w:tcW w:w="421" w:type="pct"/>
                  <w:vAlign w:val="center"/>
                </w:tcPr>
                <w:p w14:paraId="2B739C68">
                  <w:pPr>
                    <w:pStyle w:val="149"/>
                    <w:wordWrap w:val="0"/>
                    <w:rPr>
                      <w:rFonts w:eastAsia="Times New Roman"/>
                    </w:rPr>
                  </w:pPr>
                  <w:r>
                    <w:rPr>
                      <w:rFonts w:hint="eastAsia" w:ascii="宋体" w:hAnsi="宋体" w:eastAsia="宋体" w:cs="宋体"/>
                    </w:rPr>
                    <w:t>台</w:t>
                  </w:r>
                </w:p>
              </w:tc>
              <w:tc>
                <w:tcPr>
                  <w:tcW w:w="317" w:type="pct"/>
                  <w:vAlign w:val="center"/>
                </w:tcPr>
                <w:p w14:paraId="1C03F1BA">
                  <w:pPr>
                    <w:pStyle w:val="149"/>
                    <w:wordWrap w:val="0"/>
                    <w:rPr>
                      <w:rFonts w:eastAsia="Times New Roman"/>
                    </w:rPr>
                  </w:pPr>
                  <w:r>
                    <w:rPr>
                      <w:rFonts w:eastAsia="Times New Roman"/>
                    </w:rPr>
                    <w:t>4</w:t>
                  </w:r>
                </w:p>
              </w:tc>
              <w:tc>
                <w:tcPr>
                  <w:tcW w:w="361" w:type="pct"/>
                  <w:vAlign w:val="center"/>
                </w:tcPr>
                <w:p w14:paraId="11A377EF">
                  <w:pPr>
                    <w:pStyle w:val="149"/>
                    <w:wordWrap w:val="0"/>
                    <w:rPr>
                      <w:rFonts w:eastAsia="Times New Roman"/>
                    </w:rPr>
                  </w:pPr>
                  <w:r>
                    <w:rPr>
                      <w:rFonts w:eastAsia="Times New Roman"/>
                    </w:rPr>
                    <w:t>/</w:t>
                  </w:r>
                </w:p>
              </w:tc>
            </w:tr>
            <w:tr w14:paraId="2666A7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1D661B9C">
                  <w:pPr>
                    <w:pStyle w:val="149"/>
                    <w:wordWrap w:val="0"/>
                    <w:rPr>
                      <w:rFonts w:eastAsia="Times New Roman"/>
                    </w:rPr>
                  </w:pPr>
                  <w:r>
                    <w:rPr>
                      <w:rFonts w:eastAsia="Times New Roman"/>
                    </w:rPr>
                    <w:t>4</w:t>
                  </w:r>
                </w:p>
              </w:tc>
              <w:tc>
                <w:tcPr>
                  <w:tcW w:w="1530" w:type="pct"/>
                  <w:vAlign w:val="center"/>
                </w:tcPr>
                <w:p w14:paraId="2BCDA48C">
                  <w:pPr>
                    <w:pStyle w:val="149"/>
                    <w:wordWrap w:val="0"/>
                    <w:rPr>
                      <w:rFonts w:eastAsia="Times New Roman"/>
                    </w:rPr>
                  </w:pPr>
                  <w:r>
                    <w:rPr>
                      <w:rFonts w:hint="eastAsia" w:ascii="宋体" w:hAnsi="宋体" w:eastAsia="宋体" w:cs="宋体"/>
                    </w:rPr>
                    <w:t>集电线路</w:t>
                  </w:r>
                </w:p>
              </w:tc>
              <w:tc>
                <w:tcPr>
                  <w:tcW w:w="3160" w:type="pct"/>
                  <w:gridSpan w:val="4"/>
                  <w:vAlign w:val="center"/>
                </w:tcPr>
                <w:p w14:paraId="450F596A">
                  <w:pPr>
                    <w:pStyle w:val="149"/>
                    <w:wordWrap w:val="0"/>
                    <w:rPr>
                      <w:rFonts w:eastAsia="Times New Roman"/>
                    </w:rPr>
                  </w:pPr>
                </w:p>
              </w:tc>
            </w:tr>
            <w:tr w14:paraId="3A1C63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72B60FE8">
                  <w:pPr>
                    <w:pStyle w:val="149"/>
                    <w:wordWrap w:val="0"/>
                    <w:rPr>
                      <w:rFonts w:eastAsia="Times New Roman"/>
                    </w:rPr>
                  </w:pPr>
                  <w:r>
                    <w:rPr>
                      <w:rFonts w:eastAsia="Times New Roman"/>
                    </w:rPr>
                    <w:t>4.1</w:t>
                  </w:r>
                </w:p>
              </w:tc>
              <w:tc>
                <w:tcPr>
                  <w:tcW w:w="1530" w:type="pct"/>
                  <w:vAlign w:val="center"/>
                </w:tcPr>
                <w:p w14:paraId="0327787C">
                  <w:pPr>
                    <w:pStyle w:val="149"/>
                    <w:wordWrap w:val="0"/>
                    <w:rPr>
                      <w:rFonts w:eastAsia="Times New Roman"/>
                    </w:rPr>
                  </w:pPr>
                  <w:r>
                    <w:rPr>
                      <w:rFonts w:hint="eastAsia" w:ascii="宋体" w:hAnsi="宋体" w:eastAsia="宋体" w:cs="宋体"/>
                    </w:rPr>
                    <w:t>直流电缆</w:t>
                  </w:r>
                  <w:r>
                    <w:rPr>
                      <w:rFonts w:eastAsia="Times New Roman"/>
                    </w:rPr>
                    <w:t>ZA-YJV62-1.8/3kV-1*240</w:t>
                  </w:r>
                </w:p>
              </w:tc>
              <w:tc>
                <w:tcPr>
                  <w:tcW w:w="2060" w:type="pct"/>
                  <w:vAlign w:val="center"/>
                </w:tcPr>
                <w:p w14:paraId="3B382033">
                  <w:pPr>
                    <w:pStyle w:val="149"/>
                    <w:wordWrap w:val="0"/>
                    <w:rPr>
                      <w:rFonts w:eastAsia="Times New Roman"/>
                    </w:rPr>
                  </w:pPr>
                  <w:r>
                    <w:rPr>
                      <w:rFonts w:hint="eastAsia" w:ascii="宋体" w:hAnsi="宋体" w:eastAsia="宋体" w:cs="宋体"/>
                    </w:rPr>
                    <w:t>每极</w:t>
                  </w:r>
                  <w:r>
                    <w:rPr>
                      <w:rFonts w:eastAsia="Times New Roman"/>
                    </w:rPr>
                    <w:t>3</w:t>
                  </w:r>
                  <w:r>
                    <w:rPr>
                      <w:rFonts w:hint="eastAsia" w:ascii="宋体" w:hAnsi="宋体" w:eastAsia="宋体" w:cs="宋体"/>
                    </w:rPr>
                    <w:t>根电缆</w:t>
                  </w:r>
                </w:p>
              </w:tc>
              <w:tc>
                <w:tcPr>
                  <w:tcW w:w="421" w:type="pct"/>
                  <w:vAlign w:val="center"/>
                </w:tcPr>
                <w:p w14:paraId="520BD15D">
                  <w:pPr>
                    <w:pStyle w:val="149"/>
                    <w:wordWrap w:val="0"/>
                    <w:rPr>
                      <w:rFonts w:eastAsia="Times New Roman"/>
                    </w:rPr>
                  </w:pPr>
                  <w:r>
                    <w:rPr>
                      <w:rFonts w:hint="eastAsia" w:ascii="宋体" w:hAnsi="宋体" w:eastAsia="宋体" w:cs="宋体"/>
                    </w:rPr>
                    <w:t>段</w:t>
                  </w:r>
                </w:p>
              </w:tc>
              <w:tc>
                <w:tcPr>
                  <w:tcW w:w="317" w:type="pct"/>
                  <w:vAlign w:val="center"/>
                </w:tcPr>
                <w:p w14:paraId="746BD902">
                  <w:pPr>
                    <w:pStyle w:val="149"/>
                    <w:wordWrap w:val="0"/>
                    <w:rPr>
                      <w:rFonts w:eastAsia="Times New Roman"/>
                    </w:rPr>
                  </w:pPr>
                  <w:r>
                    <w:rPr>
                      <w:rFonts w:hint="eastAsia" w:ascii="宋体" w:hAnsi="宋体" w:eastAsia="宋体" w:cs="宋体"/>
                    </w:rPr>
                    <w:t>若干</w:t>
                  </w:r>
                </w:p>
              </w:tc>
              <w:tc>
                <w:tcPr>
                  <w:tcW w:w="361" w:type="pct"/>
                  <w:vAlign w:val="center"/>
                </w:tcPr>
                <w:p w14:paraId="58AF87F5">
                  <w:pPr>
                    <w:pStyle w:val="149"/>
                    <w:wordWrap w:val="0"/>
                    <w:rPr>
                      <w:rFonts w:eastAsia="Times New Roman"/>
                    </w:rPr>
                  </w:pPr>
                  <w:r>
                    <w:rPr>
                      <w:rFonts w:eastAsia="Times New Roman"/>
                    </w:rPr>
                    <w:t>/</w:t>
                  </w:r>
                </w:p>
              </w:tc>
            </w:tr>
            <w:tr w14:paraId="0AF85F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4E3D7E44">
                  <w:pPr>
                    <w:pStyle w:val="149"/>
                    <w:wordWrap w:val="0"/>
                    <w:rPr>
                      <w:rFonts w:eastAsia="Times New Roman"/>
                    </w:rPr>
                  </w:pPr>
                  <w:r>
                    <w:rPr>
                      <w:rFonts w:eastAsia="Times New Roman"/>
                    </w:rPr>
                    <w:t>4.2</w:t>
                  </w:r>
                </w:p>
              </w:tc>
              <w:tc>
                <w:tcPr>
                  <w:tcW w:w="1530" w:type="pct"/>
                  <w:vAlign w:val="center"/>
                </w:tcPr>
                <w:p w14:paraId="540C369C">
                  <w:pPr>
                    <w:pStyle w:val="149"/>
                    <w:wordWrap w:val="0"/>
                    <w:rPr>
                      <w:rFonts w:eastAsia="Times New Roman"/>
                    </w:rPr>
                  </w:pPr>
                  <w:r>
                    <w:rPr>
                      <w:rFonts w:hint="eastAsia" w:ascii="宋体" w:hAnsi="宋体" w:eastAsia="宋体" w:cs="宋体"/>
                    </w:rPr>
                    <w:t>高压电缆</w:t>
                  </w:r>
                </w:p>
              </w:tc>
              <w:tc>
                <w:tcPr>
                  <w:tcW w:w="2060" w:type="pct"/>
                  <w:vAlign w:val="center"/>
                </w:tcPr>
                <w:p w14:paraId="527DA522">
                  <w:pPr>
                    <w:pStyle w:val="149"/>
                    <w:wordWrap w:val="0"/>
                    <w:rPr>
                      <w:rFonts w:eastAsia="Times New Roman"/>
                    </w:rPr>
                  </w:pPr>
                  <w:r>
                    <w:rPr>
                      <w:rFonts w:eastAsia="Times New Roman"/>
                    </w:rPr>
                    <w:t>ZA-YJV22-26/35kV-3*120</w:t>
                  </w:r>
                  <w:r>
                    <w:rPr>
                      <w:rFonts w:hint="eastAsia" w:ascii="宋体" w:hAnsi="宋体" w:eastAsia="宋体" w:cs="宋体"/>
                    </w:rPr>
                    <w:t>；</w:t>
                  </w:r>
                  <w:r>
                    <w:rPr>
                      <w:rFonts w:eastAsia="Times New Roman"/>
                    </w:rPr>
                    <w:t>ZA-YJV22-26/35 kV-3*240</w:t>
                  </w:r>
                  <w:r>
                    <w:rPr>
                      <w:rFonts w:hint="eastAsia" w:ascii="宋体" w:hAnsi="宋体" w:eastAsia="宋体" w:cs="宋体"/>
                    </w:rPr>
                    <w:t>；</w:t>
                  </w:r>
                  <w:r>
                    <w:rPr>
                      <w:rFonts w:eastAsia="Times New Roman"/>
                    </w:rPr>
                    <w:t>ZA-YJV22-26/35kV-3*300</w:t>
                  </w:r>
                  <w:r>
                    <w:rPr>
                      <w:rFonts w:hint="eastAsia" w:asciiTheme="minorEastAsia" w:hAnsiTheme="minorEastAsia" w:eastAsiaTheme="minorEastAsia"/>
                    </w:rPr>
                    <w:t>。</w:t>
                  </w:r>
                </w:p>
              </w:tc>
              <w:tc>
                <w:tcPr>
                  <w:tcW w:w="421" w:type="pct"/>
                  <w:vAlign w:val="center"/>
                </w:tcPr>
                <w:p w14:paraId="6155F5DC">
                  <w:pPr>
                    <w:pStyle w:val="149"/>
                    <w:wordWrap w:val="0"/>
                    <w:rPr>
                      <w:rFonts w:eastAsia="Times New Roman"/>
                    </w:rPr>
                  </w:pPr>
                  <w:r>
                    <w:rPr>
                      <w:rFonts w:hint="eastAsia" w:ascii="宋体" w:hAnsi="宋体" w:eastAsia="宋体" w:cs="宋体"/>
                    </w:rPr>
                    <w:t>段</w:t>
                  </w:r>
                </w:p>
              </w:tc>
              <w:tc>
                <w:tcPr>
                  <w:tcW w:w="317" w:type="pct"/>
                  <w:vAlign w:val="center"/>
                </w:tcPr>
                <w:p w14:paraId="07A054D7">
                  <w:pPr>
                    <w:pStyle w:val="149"/>
                    <w:wordWrap w:val="0"/>
                    <w:rPr>
                      <w:rFonts w:eastAsia="Times New Roman"/>
                    </w:rPr>
                  </w:pPr>
                  <w:r>
                    <w:rPr>
                      <w:rFonts w:hint="eastAsia" w:ascii="宋体" w:hAnsi="宋体" w:eastAsia="宋体" w:cs="宋体"/>
                    </w:rPr>
                    <w:t>若干</w:t>
                  </w:r>
                </w:p>
              </w:tc>
              <w:tc>
                <w:tcPr>
                  <w:tcW w:w="361" w:type="pct"/>
                  <w:vAlign w:val="center"/>
                </w:tcPr>
                <w:p w14:paraId="43AD459C">
                  <w:pPr>
                    <w:pStyle w:val="149"/>
                    <w:wordWrap w:val="0"/>
                    <w:rPr>
                      <w:rFonts w:eastAsia="Times New Roman"/>
                    </w:rPr>
                  </w:pPr>
                  <w:r>
                    <w:rPr>
                      <w:rFonts w:eastAsia="Times New Roman"/>
                    </w:rPr>
                    <w:t>/</w:t>
                  </w:r>
                </w:p>
              </w:tc>
            </w:tr>
            <w:tr w14:paraId="73C8D3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gridSpan w:val="6"/>
                  <w:vAlign w:val="center"/>
                </w:tcPr>
                <w:p w14:paraId="3A95DA71">
                  <w:pPr>
                    <w:pStyle w:val="149"/>
                    <w:wordWrap w:val="0"/>
                    <w:rPr>
                      <w:rFonts w:eastAsia="Times New Roman"/>
                    </w:rPr>
                  </w:pPr>
                  <w:r>
                    <w:rPr>
                      <w:rFonts w:hint="eastAsia" w:ascii="宋体" w:hAnsi="宋体" w:eastAsia="宋体" w:cs="宋体"/>
                    </w:rPr>
                    <w:t>二、主变压器部分</w:t>
                  </w:r>
                </w:p>
              </w:tc>
            </w:tr>
            <w:tr w14:paraId="5D548E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46818686">
                  <w:pPr>
                    <w:pStyle w:val="149"/>
                    <w:wordWrap w:val="0"/>
                    <w:rPr>
                      <w:rFonts w:eastAsia="Times New Roman"/>
                    </w:rPr>
                  </w:pPr>
                  <w:r>
                    <w:rPr>
                      <w:rFonts w:eastAsia="Times New Roman"/>
                    </w:rPr>
                    <w:t>1</w:t>
                  </w:r>
                </w:p>
              </w:tc>
              <w:tc>
                <w:tcPr>
                  <w:tcW w:w="1530" w:type="pct"/>
                  <w:vAlign w:val="center"/>
                </w:tcPr>
                <w:p w14:paraId="520E8A13">
                  <w:pPr>
                    <w:pStyle w:val="149"/>
                    <w:wordWrap w:val="0"/>
                    <w:rPr>
                      <w:rFonts w:eastAsia="Times New Roman"/>
                    </w:rPr>
                  </w:pPr>
                  <w:r>
                    <w:rPr>
                      <w:rFonts w:hint="eastAsia" w:ascii="宋体" w:hAnsi="宋体" w:eastAsia="宋体" w:cs="宋体"/>
                    </w:rPr>
                    <w:t>主变压器</w:t>
                  </w:r>
                </w:p>
              </w:tc>
              <w:tc>
                <w:tcPr>
                  <w:tcW w:w="2060" w:type="pct"/>
                  <w:vAlign w:val="center"/>
                </w:tcPr>
                <w:p w14:paraId="07F72349">
                  <w:pPr>
                    <w:pStyle w:val="149"/>
                    <w:wordWrap w:val="0"/>
                    <w:rPr>
                      <w:rFonts w:eastAsia="Times New Roman"/>
                    </w:rPr>
                  </w:pPr>
                  <w:r>
                    <w:rPr>
                      <w:rFonts w:hint="eastAsia" w:ascii="宋体" w:hAnsi="宋体" w:eastAsia="宋体" w:cs="宋体"/>
                    </w:rPr>
                    <w:t>三相三绕组有载调压电力变压器</w:t>
                  </w:r>
                  <w:r>
                    <w:rPr>
                      <w:rFonts w:eastAsia="Times New Roman"/>
                    </w:rPr>
                    <w:t>SFZ20-240000/220kVA</w:t>
                  </w:r>
                  <w:r>
                    <w:rPr>
                      <w:rFonts w:hint="eastAsia" w:ascii="宋体" w:hAnsi="宋体" w:eastAsia="宋体" w:cs="宋体"/>
                    </w:rPr>
                    <w:t>，</w:t>
                  </w:r>
                  <w:r>
                    <w:rPr>
                      <w:rFonts w:eastAsia="Times New Roman"/>
                    </w:rPr>
                    <w:t>230±8×1.25%/37kV</w:t>
                  </w:r>
                  <w:r>
                    <w:rPr>
                      <w:rFonts w:hint="eastAsia" w:ascii="宋体" w:hAnsi="宋体" w:eastAsia="宋体" w:cs="宋体"/>
                    </w:rPr>
                    <w:t>；</w:t>
                  </w:r>
                  <w:r>
                    <w:rPr>
                      <w:rFonts w:eastAsia="Times New Roman"/>
                    </w:rPr>
                    <w:t>Ud=18%</w:t>
                  </w:r>
                  <w:r>
                    <w:rPr>
                      <w:rFonts w:hint="eastAsia" w:ascii="宋体" w:hAnsi="宋体" w:eastAsia="宋体" w:cs="宋体"/>
                    </w:rPr>
                    <w:t>，</w:t>
                  </w:r>
                  <w:r>
                    <w:rPr>
                      <w:rFonts w:eastAsia="Times New Roman"/>
                    </w:rPr>
                    <w:t>YN</w:t>
                  </w:r>
                  <w:r>
                    <w:rPr>
                      <w:rFonts w:hint="eastAsia" w:ascii="宋体" w:hAnsi="宋体" w:eastAsia="宋体" w:cs="宋体"/>
                    </w:rPr>
                    <w:t>，</w:t>
                  </w:r>
                  <w:r>
                    <w:rPr>
                      <w:rFonts w:eastAsia="Times New Roman"/>
                    </w:rPr>
                    <w:t>d11</w:t>
                  </w:r>
                  <w:r>
                    <w:rPr>
                      <w:rFonts w:hint="eastAsia" w:asciiTheme="minorEastAsia" w:hAnsiTheme="minorEastAsia" w:eastAsiaTheme="minorEastAsia"/>
                    </w:rPr>
                    <w:t>。</w:t>
                  </w:r>
                </w:p>
              </w:tc>
              <w:tc>
                <w:tcPr>
                  <w:tcW w:w="421" w:type="pct"/>
                  <w:vAlign w:val="center"/>
                </w:tcPr>
                <w:p w14:paraId="14D9BB44">
                  <w:pPr>
                    <w:pStyle w:val="149"/>
                    <w:wordWrap w:val="0"/>
                    <w:rPr>
                      <w:rFonts w:eastAsia="Times New Roman"/>
                    </w:rPr>
                  </w:pPr>
                  <w:r>
                    <w:rPr>
                      <w:rFonts w:hint="eastAsia" w:ascii="宋体" w:hAnsi="宋体" w:eastAsia="宋体" w:cs="宋体"/>
                    </w:rPr>
                    <w:t>台</w:t>
                  </w:r>
                </w:p>
              </w:tc>
              <w:tc>
                <w:tcPr>
                  <w:tcW w:w="317" w:type="pct"/>
                  <w:vAlign w:val="center"/>
                </w:tcPr>
                <w:p w14:paraId="04CDDF95">
                  <w:pPr>
                    <w:pStyle w:val="149"/>
                    <w:wordWrap w:val="0"/>
                    <w:rPr>
                      <w:rFonts w:eastAsia="Times New Roman"/>
                    </w:rPr>
                  </w:pPr>
                  <w:r>
                    <w:rPr>
                      <w:rFonts w:eastAsia="Times New Roman"/>
                    </w:rPr>
                    <w:t>1</w:t>
                  </w:r>
                </w:p>
              </w:tc>
              <w:tc>
                <w:tcPr>
                  <w:tcW w:w="361" w:type="pct"/>
                  <w:vAlign w:val="center"/>
                </w:tcPr>
                <w:p w14:paraId="3D8E46EE">
                  <w:pPr>
                    <w:pStyle w:val="149"/>
                    <w:wordWrap w:val="0"/>
                    <w:rPr>
                      <w:rFonts w:eastAsia="Times New Roman"/>
                    </w:rPr>
                  </w:pPr>
                </w:p>
              </w:tc>
            </w:tr>
            <w:tr w14:paraId="661E6B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15426612">
                  <w:pPr>
                    <w:pStyle w:val="149"/>
                    <w:wordWrap w:val="0"/>
                    <w:rPr>
                      <w:rFonts w:eastAsia="Times New Roman"/>
                    </w:rPr>
                  </w:pPr>
                  <w:r>
                    <w:rPr>
                      <w:rFonts w:eastAsia="Times New Roman"/>
                    </w:rPr>
                    <w:t>2</w:t>
                  </w:r>
                </w:p>
              </w:tc>
              <w:tc>
                <w:tcPr>
                  <w:tcW w:w="4689" w:type="pct"/>
                  <w:gridSpan w:val="5"/>
                  <w:vAlign w:val="center"/>
                </w:tcPr>
                <w:p w14:paraId="3CEC09D5">
                  <w:pPr>
                    <w:pStyle w:val="149"/>
                    <w:wordWrap w:val="0"/>
                    <w:rPr>
                      <w:rFonts w:eastAsia="Times New Roman"/>
                    </w:rPr>
                  </w:pPr>
                  <w:r>
                    <w:rPr>
                      <w:rFonts w:eastAsia="Times New Roman"/>
                    </w:rPr>
                    <w:t>220kV</w:t>
                  </w:r>
                  <w:r>
                    <w:rPr>
                      <w:rFonts w:hint="eastAsia" w:ascii="宋体" w:hAnsi="宋体" w:eastAsia="宋体" w:cs="宋体"/>
                    </w:rPr>
                    <w:t>屋外配电装置部分</w:t>
                  </w:r>
                </w:p>
              </w:tc>
            </w:tr>
            <w:tr w14:paraId="1A7809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6D7EC753">
                  <w:pPr>
                    <w:pStyle w:val="149"/>
                    <w:wordWrap w:val="0"/>
                    <w:rPr>
                      <w:rFonts w:eastAsia="Times New Roman"/>
                    </w:rPr>
                  </w:pPr>
                  <w:r>
                    <w:rPr>
                      <w:rFonts w:eastAsia="Times New Roman"/>
                    </w:rPr>
                    <w:t>2.1</w:t>
                  </w:r>
                </w:p>
              </w:tc>
              <w:tc>
                <w:tcPr>
                  <w:tcW w:w="1530" w:type="pct"/>
                  <w:vAlign w:val="center"/>
                </w:tcPr>
                <w:p w14:paraId="1C507428">
                  <w:pPr>
                    <w:pStyle w:val="149"/>
                    <w:wordWrap w:val="0"/>
                    <w:rPr>
                      <w:rFonts w:eastAsia="Times New Roman"/>
                    </w:rPr>
                  </w:pPr>
                  <w:r>
                    <w:rPr>
                      <w:rFonts w:eastAsia="Times New Roman"/>
                    </w:rPr>
                    <w:t>GIS</w:t>
                  </w:r>
                  <w:r>
                    <w:rPr>
                      <w:rFonts w:hint="eastAsia" w:ascii="宋体" w:hAnsi="宋体" w:eastAsia="宋体" w:cs="宋体"/>
                    </w:rPr>
                    <w:t>主变间隔</w:t>
                  </w:r>
                </w:p>
              </w:tc>
              <w:tc>
                <w:tcPr>
                  <w:tcW w:w="2060" w:type="pct"/>
                  <w:vAlign w:val="center"/>
                </w:tcPr>
                <w:p w14:paraId="06569065">
                  <w:pPr>
                    <w:pStyle w:val="149"/>
                    <w:wordWrap w:val="0"/>
                    <w:jc w:val="both"/>
                    <w:rPr>
                      <w:rFonts w:eastAsia="Times New Roman"/>
                    </w:rPr>
                  </w:pPr>
                  <w:r>
                    <w:rPr>
                      <w:rFonts w:eastAsia="Times New Roman"/>
                    </w:rPr>
                    <w:t>220kV</w:t>
                  </w:r>
                  <w:r>
                    <w:rPr>
                      <w:rFonts w:hint="eastAsia" w:ascii="宋体" w:hAnsi="宋体" w:eastAsia="宋体" w:cs="宋体"/>
                    </w:rPr>
                    <w:t>户外</w:t>
                  </w:r>
                  <w:r>
                    <w:rPr>
                      <w:rFonts w:eastAsia="Times New Roman"/>
                    </w:rPr>
                    <w:t>GIS</w:t>
                  </w:r>
                  <w:r>
                    <w:rPr>
                      <w:rFonts w:hint="eastAsia" w:ascii="宋体" w:hAnsi="宋体" w:eastAsia="宋体" w:cs="宋体"/>
                    </w:rPr>
                    <w:t>组合电器；套管（</w:t>
                  </w:r>
                  <w:r>
                    <w:rPr>
                      <w:rFonts w:eastAsia="Times New Roman"/>
                    </w:rPr>
                    <w:t>BSG</w:t>
                  </w:r>
                  <w:r>
                    <w:rPr>
                      <w:rFonts w:hint="eastAsia" w:ascii="宋体" w:hAnsi="宋体" w:eastAsia="宋体" w:cs="宋体"/>
                    </w:rPr>
                    <w:t>）</w:t>
                  </w:r>
                  <w:r>
                    <w:rPr>
                      <w:rFonts w:eastAsia="Times New Roman"/>
                    </w:rPr>
                    <w:t>3150A</w:t>
                  </w:r>
                  <w:r>
                    <w:rPr>
                      <w:rFonts w:hint="eastAsia" w:ascii="宋体" w:hAnsi="宋体" w:eastAsia="宋体" w:cs="宋体"/>
                    </w:rPr>
                    <w:t>；</w:t>
                  </w:r>
                  <w:r>
                    <w:rPr>
                      <w:rFonts w:eastAsia="Times New Roman"/>
                    </w:rPr>
                    <w:t>Y10WZ-204/532</w:t>
                  </w:r>
                  <w:r>
                    <w:rPr>
                      <w:rFonts w:hint="eastAsia" w:ascii="宋体" w:hAnsi="宋体" w:eastAsia="宋体" w:cs="宋体"/>
                    </w:rPr>
                    <w:t>，配在线监测仪；三相带电显示器；快速接地开关（</w:t>
                  </w:r>
                  <w:r>
                    <w:rPr>
                      <w:rFonts w:eastAsia="Times New Roman"/>
                    </w:rPr>
                    <w:t>ES</w:t>
                  </w:r>
                  <w:r>
                    <w:rPr>
                      <w:rFonts w:hint="eastAsia" w:ascii="宋体" w:hAnsi="宋体" w:eastAsia="宋体" w:cs="宋体"/>
                    </w:rPr>
                    <w:t>）</w:t>
                  </w:r>
                  <w:r>
                    <w:rPr>
                      <w:rFonts w:eastAsia="Times New Roman"/>
                    </w:rPr>
                    <w:t>252kV</w:t>
                  </w:r>
                  <w:r>
                    <w:rPr>
                      <w:rFonts w:hint="eastAsia" w:ascii="宋体" w:hAnsi="宋体" w:eastAsia="宋体" w:cs="宋体"/>
                    </w:rPr>
                    <w:t>，</w:t>
                  </w:r>
                  <w:r>
                    <w:rPr>
                      <w:rFonts w:eastAsia="Times New Roman"/>
                    </w:rPr>
                    <w:t>50kA/3s</w:t>
                  </w:r>
                  <w:r>
                    <w:rPr>
                      <w:rFonts w:hint="eastAsia" w:ascii="宋体" w:hAnsi="宋体" w:eastAsia="宋体" w:cs="宋体"/>
                    </w:rPr>
                    <w:t>三工位隔离</w:t>
                  </w:r>
                  <w:r>
                    <w:rPr>
                      <w:rFonts w:eastAsia="Times New Roman"/>
                    </w:rPr>
                    <w:t>/</w:t>
                  </w:r>
                  <w:r>
                    <w:rPr>
                      <w:rFonts w:hint="eastAsia" w:ascii="宋体" w:hAnsi="宋体" w:eastAsia="宋体" w:cs="宋体"/>
                    </w:rPr>
                    <w:t>接地开关（</w:t>
                  </w:r>
                  <w:r>
                    <w:rPr>
                      <w:rFonts w:eastAsia="Times New Roman"/>
                    </w:rPr>
                    <w:t>EDS</w:t>
                  </w:r>
                  <w:r>
                    <w:rPr>
                      <w:rFonts w:hint="eastAsia" w:ascii="宋体" w:hAnsi="宋体" w:eastAsia="宋体" w:cs="宋体"/>
                    </w:rPr>
                    <w:t>）</w:t>
                  </w:r>
                  <w:r>
                    <w:rPr>
                      <w:rFonts w:eastAsia="Times New Roman"/>
                    </w:rPr>
                    <w:t>252kV</w:t>
                  </w:r>
                  <w:r>
                    <w:rPr>
                      <w:rFonts w:hint="eastAsia" w:ascii="宋体" w:hAnsi="宋体" w:eastAsia="宋体" w:cs="宋体"/>
                    </w:rPr>
                    <w:t>，</w:t>
                  </w:r>
                  <w:r>
                    <w:rPr>
                      <w:rFonts w:eastAsia="Times New Roman"/>
                    </w:rPr>
                    <w:t>3150A</w:t>
                  </w:r>
                  <w:r>
                    <w:rPr>
                      <w:rFonts w:hint="eastAsia" w:ascii="宋体" w:hAnsi="宋体" w:eastAsia="宋体" w:cs="宋体"/>
                    </w:rPr>
                    <w:t>，</w:t>
                  </w:r>
                  <w:r>
                    <w:rPr>
                      <w:rFonts w:eastAsia="Times New Roman"/>
                    </w:rPr>
                    <w:t>50kA/3s</w:t>
                  </w:r>
                  <w:r>
                    <w:rPr>
                      <w:rFonts w:hint="eastAsia" w:ascii="宋体" w:hAnsi="宋体" w:eastAsia="宋体" w:cs="宋体"/>
                    </w:rPr>
                    <w:t>；电流互感器</w:t>
                  </w:r>
                  <w:r>
                    <w:rPr>
                      <w:rFonts w:eastAsia="Times New Roman"/>
                    </w:rPr>
                    <w:t>252kV800</w:t>
                  </w:r>
                  <w:r>
                    <w:rPr>
                      <w:rFonts w:hint="eastAsia" w:ascii="宋体" w:hAnsi="宋体" w:eastAsia="宋体" w:cs="宋体"/>
                    </w:rPr>
                    <w:t>～</w:t>
                  </w:r>
                  <w:r>
                    <w:rPr>
                      <w:rFonts w:eastAsia="Times New Roman"/>
                    </w:rPr>
                    <w:t>1600/1A</w:t>
                  </w:r>
                  <w:r>
                    <w:rPr>
                      <w:rFonts w:hint="eastAsia" w:ascii="宋体" w:hAnsi="宋体" w:eastAsia="宋体" w:cs="宋体"/>
                    </w:rPr>
                    <w:t>，</w:t>
                  </w:r>
                  <w:r>
                    <w:rPr>
                      <w:rFonts w:eastAsia="Times New Roman"/>
                    </w:rPr>
                    <w:t>0.2S/0.5/5P40/5P40/5P40</w:t>
                  </w:r>
                  <w:r>
                    <w:rPr>
                      <w:rFonts w:hint="eastAsia" w:ascii="宋体" w:hAnsi="宋体" w:eastAsia="宋体" w:cs="宋体"/>
                    </w:rPr>
                    <w:t>，</w:t>
                  </w:r>
                  <w:r>
                    <w:rPr>
                      <w:rFonts w:eastAsia="Times New Roman"/>
                    </w:rPr>
                    <w:t>5VA/15VA/15VA/15VA/15VA</w:t>
                  </w:r>
                  <w:r>
                    <w:rPr>
                      <w:rFonts w:hint="eastAsia" w:ascii="宋体" w:hAnsi="宋体" w:eastAsia="宋体" w:cs="宋体"/>
                    </w:rPr>
                    <w:t>；断路器（</w:t>
                  </w:r>
                  <w:r>
                    <w:rPr>
                      <w:rFonts w:eastAsia="Times New Roman"/>
                    </w:rPr>
                    <w:t>CB</w:t>
                  </w:r>
                  <w:r>
                    <w:rPr>
                      <w:rFonts w:hint="eastAsia" w:ascii="宋体" w:hAnsi="宋体" w:eastAsia="宋体" w:cs="宋体"/>
                    </w:rPr>
                    <w:t>）弹簧机构</w:t>
                  </w:r>
                  <w:r>
                    <w:rPr>
                      <w:rFonts w:eastAsia="Times New Roman"/>
                    </w:rPr>
                    <w:t>252kV</w:t>
                  </w:r>
                  <w:r>
                    <w:rPr>
                      <w:rFonts w:hint="eastAsia" w:ascii="宋体" w:hAnsi="宋体" w:eastAsia="宋体" w:cs="宋体"/>
                    </w:rPr>
                    <w:t>，</w:t>
                  </w:r>
                  <w:r>
                    <w:rPr>
                      <w:rFonts w:eastAsia="Times New Roman"/>
                    </w:rPr>
                    <w:t>3150A</w:t>
                  </w:r>
                  <w:r>
                    <w:rPr>
                      <w:rFonts w:hint="eastAsia" w:ascii="宋体" w:hAnsi="宋体" w:eastAsia="宋体" w:cs="宋体"/>
                    </w:rPr>
                    <w:t>，</w:t>
                  </w:r>
                  <w:r>
                    <w:rPr>
                      <w:rFonts w:eastAsia="Times New Roman"/>
                    </w:rPr>
                    <w:t>50kA/3s1</w:t>
                  </w:r>
                  <w:r>
                    <w:rPr>
                      <w:rFonts w:hint="eastAsia" w:ascii="宋体" w:hAnsi="宋体" w:eastAsia="宋体" w:cs="宋体"/>
                    </w:rPr>
                    <w:t>台；</w:t>
                  </w:r>
                </w:p>
                <w:p w14:paraId="4ADB5909">
                  <w:pPr>
                    <w:pStyle w:val="149"/>
                    <w:wordWrap w:val="0"/>
                    <w:jc w:val="both"/>
                    <w:rPr>
                      <w:rFonts w:eastAsia="Times New Roman"/>
                    </w:rPr>
                  </w:pPr>
                  <w:r>
                    <w:rPr>
                      <w:rFonts w:hint="eastAsia" w:ascii="宋体" w:hAnsi="宋体" w:eastAsia="宋体" w:cs="宋体"/>
                    </w:rPr>
                    <w:t>电流互感器</w:t>
                  </w:r>
                  <w:r>
                    <w:rPr>
                      <w:rFonts w:eastAsia="Times New Roman"/>
                    </w:rPr>
                    <w:t>252kV800</w:t>
                  </w:r>
                  <w:r>
                    <w:rPr>
                      <w:rFonts w:hint="eastAsia" w:ascii="宋体" w:hAnsi="宋体" w:eastAsia="宋体" w:cs="宋体"/>
                    </w:rPr>
                    <w:t>～</w:t>
                  </w:r>
                  <w:r>
                    <w:rPr>
                      <w:rFonts w:eastAsia="Times New Roman"/>
                    </w:rPr>
                    <w:t>1600/1A</w:t>
                  </w:r>
                  <w:r>
                    <w:rPr>
                      <w:rFonts w:hint="eastAsia" w:ascii="宋体" w:hAnsi="宋体" w:eastAsia="宋体" w:cs="宋体"/>
                    </w:rPr>
                    <w:t>，</w:t>
                  </w:r>
                  <w:r>
                    <w:rPr>
                      <w:rFonts w:eastAsia="Times New Roman"/>
                    </w:rPr>
                    <w:t>0.5/5P40/5P40/5P40/5P40</w:t>
                  </w:r>
                  <w:r>
                    <w:rPr>
                      <w:rFonts w:hint="eastAsia" w:ascii="宋体" w:hAnsi="宋体" w:eastAsia="宋体" w:cs="宋体"/>
                    </w:rPr>
                    <w:t>，</w:t>
                  </w:r>
                  <w:r>
                    <w:rPr>
                      <w:rFonts w:eastAsia="Times New Roman"/>
                    </w:rPr>
                    <w:t>15VA/15VA/15VA/15VA/15VA</w:t>
                  </w:r>
                  <w:r>
                    <w:rPr>
                      <w:rFonts w:hint="eastAsia" w:ascii="宋体" w:hAnsi="宋体" w:eastAsia="宋体" w:cs="宋体"/>
                    </w:rPr>
                    <w:t>；</w:t>
                  </w:r>
                  <w:bookmarkStart w:id="5" w:name="OLE_LINK115"/>
                  <w:r>
                    <w:rPr>
                      <w:rFonts w:hint="eastAsia" w:ascii="宋体" w:hAnsi="宋体" w:eastAsia="宋体" w:cs="宋体"/>
                    </w:rPr>
                    <w:t>三工位隔离</w:t>
                  </w:r>
                  <w:r>
                    <w:rPr>
                      <w:rFonts w:eastAsia="Times New Roman"/>
                    </w:rPr>
                    <w:t>/</w:t>
                  </w:r>
                  <w:r>
                    <w:rPr>
                      <w:rFonts w:hint="eastAsia" w:ascii="宋体" w:hAnsi="宋体" w:eastAsia="宋体" w:cs="宋体"/>
                    </w:rPr>
                    <w:t>接地开关（</w:t>
                  </w:r>
                  <w:r>
                    <w:rPr>
                      <w:rFonts w:eastAsia="Times New Roman"/>
                    </w:rPr>
                    <w:t>EDS</w:t>
                  </w:r>
                  <w:r>
                    <w:rPr>
                      <w:rFonts w:hint="eastAsia" w:ascii="宋体" w:hAnsi="宋体" w:eastAsia="宋体" w:cs="宋体"/>
                    </w:rPr>
                    <w:t>）</w:t>
                  </w:r>
                  <w:bookmarkEnd w:id="5"/>
                  <w:r>
                    <w:rPr>
                      <w:rFonts w:eastAsia="Times New Roman"/>
                    </w:rPr>
                    <w:t>252kV</w:t>
                  </w:r>
                  <w:r>
                    <w:rPr>
                      <w:rFonts w:hint="eastAsia" w:ascii="宋体" w:hAnsi="宋体" w:eastAsia="宋体" w:cs="宋体"/>
                    </w:rPr>
                    <w:t>，</w:t>
                  </w:r>
                  <w:r>
                    <w:rPr>
                      <w:rFonts w:eastAsia="Times New Roman"/>
                    </w:rPr>
                    <w:t>3150A</w:t>
                  </w:r>
                  <w:r>
                    <w:rPr>
                      <w:rFonts w:hint="eastAsia" w:ascii="宋体" w:hAnsi="宋体" w:eastAsia="宋体" w:cs="宋体"/>
                    </w:rPr>
                    <w:t>，</w:t>
                  </w:r>
                  <w:r>
                    <w:rPr>
                      <w:rFonts w:eastAsia="Times New Roman"/>
                    </w:rPr>
                    <w:t>50kA/4s</w:t>
                  </w:r>
                  <w:r>
                    <w:rPr>
                      <w:rFonts w:hint="eastAsia" w:asciiTheme="minorEastAsia" w:hAnsiTheme="minorEastAsia" w:eastAsiaTheme="minorEastAsia"/>
                    </w:rPr>
                    <w:t>。</w:t>
                  </w:r>
                </w:p>
              </w:tc>
              <w:tc>
                <w:tcPr>
                  <w:tcW w:w="421" w:type="pct"/>
                  <w:vAlign w:val="center"/>
                </w:tcPr>
                <w:p w14:paraId="3D68D9A1">
                  <w:pPr>
                    <w:pStyle w:val="149"/>
                    <w:wordWrap w:val="0"/>
                    <w:rPr>
                      <w:rFonts w:eastAsia="Times New Roman"/>
                    </w:rPr>
                  </w:pPr>
                  <w:r>
                    <w:rPr>
                      <w:rFonts w:hint="eastAsia" w:ascii="宋体" w:hAnsi="宋体" w:eastAsia="宋体" w:cs="宋体"/>
                    </w:rPr>
                    <w:t>套</w:t>
                  </w:r>
                </w:p>
              </w:tc>
              <w:tc>
                <w:tcPr>
                  <w:tcW w:w="317" w:type="pct"/>
                  <w:vAlign w:val="center"/>
                </w:tcPr>
                <w:p w14:paraId="240AA53E">
                  <w:pPr>
                    <w:pStyle w:val="149"/>
                    <w:wordWrap w:val="0"/>
                    <w:rPr>
                      <w:rFonts w:eastAsia="Times New Roman"/>
                    </w:rPr>
                  </w:pPr>
                  <w:r>
                    <w:rPr>
                      <w:rFonts w:eastAsia="Times New Roman"/>
                    </w:rPr>
                    <w:t>1</w:t>
                  </w:r>
                </w:p>
              </w:tc>
              <w:tc>
                <w:tcPr>
                  <w:tcW w:w="361" w:type="pct"/>
                  <w:vAlign w:val="center"/>
                </w:tcPr>
                <w:p w14:paraId="67E9C5F6">
                  <w:pPr>
                    <w:pStyle w:val="149"/>
                    <w:wordWrap w:val="0"/>
                    <w:rPr>
                      <w:rFonts w:eastAsiaTheme="minorEastAsia"/>
                    </w:rPr>
                  </w:pPr>
                  <w:r>
                    <w:rPr>
                      <w:rFonts w:hint="eastAsia" w:eastAsiaTheme="minorEastAsia"/>
                    </w:rPr>
                    <w:t>/</w:t>
                  </w:r>
                </w:p>
              </w:tc>
            </w:tr>
            <w:tr w14:paraId="5B2C95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28128F7E">
                  <w:pPr>
                    <w:pStyle w:val="149"/>
                    <w:wordWrap w:val="0"/>
                    <w:rPr>
                      <w:rFonts w:eastAsia="Times New Roman"/>
                    </w:rPr>
                  </w:pPr>
                  <w:r>
                    <w:rPr>
                      <w:rFonts w:eastAsia="Times New Roman"/>
                    </w:rPr>
                    <w:t>2.2</w:t>
                  </w:r>
                </w:p>
              </w:tc>
              <w:tc>
                <w:tcPr>
                  <w:tcW w:w="1530" w:type="pct"/>
                  <w:vAlign w:val="center"/>
                </w:tcPr>
                <w:p w14:paraId="568B010D">
                  <w:pPr>
                    <w:pStyle w:val="149"/>
                    <w:wordWrap w:val="0"/>
                    <w:rPr>
                      <w:rFonts w:eastAsia="Times New Roman"/>
                    </w:rPr>
                  </w:pPr>
                  <w:r>
                    <w:rPr>
                      <w:rFonts w:eastAsia="Times New Roman"/>
                    </w:rPr>
                    <w:t>220kV</w:t>
                  </w:r>
                  <w:r>
                    <w:rPr>
                      <w:rFonts w:hint="eastAsia" w:ascii="宋体" w:hAnsi="宋体" w:eastAsia="宋体" w:cs="宋体"/>
                    </w:rPr>
                    <w:t>电压互感器</w:t>
                  </w:r>
                </w:p>
              </w:tc>
              <w:tc>
                <w:tcPr>
                  <w:tcW w:w="2060" w:type="pct"/>
                  <w:vAlign w:val="center"/>
                </w:tcPr>
                <w:p w14:paraId="0ACDCCE5">
                  <w:pPr>
                    <w:pStyle w:val="149"/>
                    <w:wordWrap w:val="0"/>
                    <w:jc w:val="both"/>
                    <w:rPr>
                      <w:rFonts w:eastAsia="Times New Roman"/>
                    </w:rPr>
                  </w:pPr>
                  <w:r>
                    <w:rPr>
                      <w:rFonts w:eastAsia="Times New Roman"/>
                    </w:rPr>
                    <w:t>(220</w:t>
                  </w:r>
                  <w:r>
                    <w:rPr>
                      <w:rFonts w:hint="eastAsia" w:eastAsia="Times New Roman"/>
                    </w:rPr>
                    <w:t>√3)/(0.1/√3)/(0.1/√3)</w:t>
                  </w:r>
                  <w:r>
                    <w:rPr>
                      <w:rFonts w:eastAsia="Times New Roman"/>
                    </w:rPr>
                    <w:t>/</w:t>
                  </w:r>
                  <w:r>
                    <w:rPr>
                      <w:rFonts w:hint="eastAsia" w:eastAsia="Times New Roman"/>
                    </w:rPr>
                    <w:t>(0.1/√3)</w:t>
                  </w:r>
                  <w:r>
                    <w:rPr>
                      <w:rFonts w:eastAsia="Times New Roman"/>
                    </w:rPr>
                    <w:t>0.1k0.2/0.5(3P)/3P/3P,30VA/50VA/50VA/50VA</w:t>
                  </w:r>
                  <w:r>
                    <w:rPr>
                      <w:rFonts w:hint="eastAsia" w:asciiTheme="minorEastAsia" w:hAnsiTheme="minorEastAsia" w:eastAsiaTheme="minorEastAsia"/>
                    </w:rPr>
                    <w:t>，</w:t>
                  </w:r>
                  <w:r>
                    <w:rPr>
                      <w:rFonts w:hint="eastAsia" w:ascii="宋体" w:hAnsi="宋体" w:eastAsia="宋体" w:cs="宋体"/>
                    </w:rPr>
                    <w:t>三工位隔离</w:t>
                  </w:r>
                  <w:r>
                    <w:rPr>
                      <w:rFonts w:eastAsia="Times New Roman"/>
                    </w:rPr>
                    <w:t>/</w:t>
                  </w:r>
                  <w:r>
                    <w:rPr>
                      <w:rFonts w:hint="eastAsia" w:ascii="宋体" w:hAnsi="宋体" w:eastAsia="宋体" w:cs="宋体"/>
                    </w:rPr>
                    <w:t>接地开关（</w:t>
                  </w:r>
                  <w:r>
                    <w:rPr>
                      <w:rFonts w:eastAsia="Times New Roman"/>
                    </w:rPr>
                    <w:t>EDS</w:t>
                  </w:r>
                  <w:r>
                    <w:rPr>
                      <w:rFonts w:hint="eastAsia" w:ascii="宋体" w:hAnsi="宋体" w:eastAsia="宋体" w:cs="宋体"/>
                    </w:rPr>
                    <w:t>）</w:t>
                  </w:r>
                  <w:r>
                    <w:rPr>
                      <w:rFonts w:eastAsia="Times New Roman"/>
                    </w:rPr>
                    <w:t>252kV</w:t>
                  </w:r>
                  <w:r>
                    <w:rPr>
                      <w:rFonts w:hint="eastAsia" w:ascii="宋体" w:hAnsi="宋体" w:eastAsia="宋体" w:cs="宋体"/>
                    </w:rPr>
                    <w:t>，</w:t>
                  </w:r>
                  <w:r>
                    <w:rPr>
                      <w:rFonts w:eastAsia="Times New Roman"/>
                    </w:rPr>
                    <w:t>3150A</w:t>
                  </w:r>
                  <w:r>
                    <w:rPr>
                      <w:rFonts w:hint="eastAsia" w:ascii="宋体" w:hAnsi="宋体" w:eastAsia="宋体" w:cs="宋体"/>
                    </w:rPr>
                    <w:t>，</w:t>
                  </w:r>
                  <w:r>
                    <w:rPr>
                      <w:rFonts w:eastAsia="Times New Roman"/>
                    </w:rPr>
                    <w:t>50kA/3s</w:t>
                  </w:r>
                  <w:r>
                    <w:rPr>
                      <w:rFonts w:hint="eastAsia" w:ascii="宋体" w:hAnsi="宋体" w:eastAsia="宋体" w:cs="宋体"/>
                    </w:rPr>
                    <w:t>；快速接地开关（</w:t>
                  </w:r>
                  <w:r>
                    <w:rPr>
                      <w:rFonts w:eastAsia="Times New Roman"/>
                    </w:rPr>
                    <w:t>ES</w:t>
                  </w:r>
                  <w:r>
                    <w:rPr>
                      <w:rFonts w:hint="eastAsia" w:ascii="宋体" w:hAnsi="宋体" w:eastAsia="宋体" w:cs="宋体"/>
                    </w:rPr>
                    <w:t>）</w:t>
                  </w:r>
                  <w:r>
                    <w:rPr>
                      <w:rFonts w:eastAsia="Times New Roman"/>
                    </w:rPr>
                    <w:t>50kA/3s</w:t>
                  </w:r>
                  <w:r>
                    <w:rPr>
                      <w:rFonts w:hint="eastAsia" w:asciiTheme="minorEastAsia" w:hAnsiTheme="minorEastAsia" w:eastAsiaTheme="minorEastAsia"/>
                    </w:rPr>
                    <w:t>。</w:t>
                  </w:r>
                </w:p>
              </w:tc>
              <w:tc>
                <w:tcPr>
                  <w:tcW w:w="421" w:type="pct"/>
                  <w:vAlign w:val="center"/>
                </w:tcPr>
                <w:p w14:paraId="20C7BFCD">
                  <w:pPr>
                    <w:pStyle w:val="149"/>
                    <w:wordWrap w:val="0"/>
                    <w:rPr>
                      <w:rFonts w:eastAsia="Times New Roman"/>
                    </w:rPr>
                  </w:pPr>
                  <w:r>
                    <w:rPr>
                      <w:rFonts w:hint="eastAsia" w:ascii="宋体" w:hAnsi="宋体" w:eastAsia="宋体" w:cs="宋体"/>
                    </w:rPr>
                    <w:t>台</w:t>
                  </w:r>
                </w:p>
              </w:tc>
              <w:tc>
                <w:tcPr>
                  <w:tcW w:w="317" w:type="pct"/>
                  <w:vAlign w:val="center"/>
                </w:tcPr>
                <w:p w14:paraId="1612B1BA">
                  <w:pPr>
                    <w:pStyle w:val="149"/>
                    <w:wordWrap w:val="0"/>
                    <w:rPr>
                      <w:rFonts w:eastAsia="Times New Roman"/>
                    </w:rPr>
                  </w:pPr>
                  <w:r>
                    <w:rPr>
                      <w:rFonts w:eastAsia="Times New Roman"/>
                    </w:rPr>
                    <w:t>1</w:t>
                  </w:r>
                </w:p>
              </w:tc>
              <w:tc>
                <w:tcPr>
                  <w:tcW w:w="361" w:type="pct"/>
                  <w:vAlign w:val="center"/>
                </w:tcPr>
                <w:p w14:paraId="0FB9403E">
                  <w:pPr>
                    <w:pStyle w:val="149"/>
                    <w:wordWrap w:val="0"/>
                    <w:rPr>
                      <w:rFonts w:eastAsiaTheme="minorEastAsia"/>
                    </w:rPr>
                  </w:pPr>
                  <w:r>
                    <w:rPr>
                      <w:rFonts w:hint="eastAsia" w:eastAsiaTheme="minorEastAsia"/>
                    </w:rPr>
                    <w:t>/</w:t>
                  </w:r>
                </w:p>
              </w:tc>
            </w:tr>
            <w:tr w14:paraId="7CA3A0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gridSpan w:val="6"/>
                  <w:vAlign w:val="center"/>
                </w:tcPr>
                <w:p w14:paraId="34F2B8F5">
                  <w:pPr>
                    <w:pStyle w:val="149"/>
                    <w:wordWrap w:val="0"/>
                    <w:rPr>
                      <w:rFonts w:eastAsia="Times New Roman"/>
                    </w:rPr>
                  </w:pPr>
                  <w:r>
                    <w:rPr>
                      <w:rFonts w:hint="eastAsia" w:ascii="宋体" w:hAnsi="宋体" w:eastAsia="宋体" w:cs="宋体"/>
                    </w:rPr>
                    <w:t>三、无功补偿装置</w:t>
                  </w:r>
                </w:p>
              </w:tc>
            </w:tr>
            <w:tr w14:paraId="1EC0EF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4B81AE92">
                  <w:pPr>
                    <w:pStyle w:val="149"/>
                    <w:wordWrap w:val="0"/>
                    <w:rPr>
                      <w:rFonts w:eastAsia="Times New Roman"/>
                    </w:rPr>
                  </w:pPr>
                  <w:r>
                    <w:rPr>
                      <w:rFonts w:eastAsia="Times New Roman"/>
                    </w:rPr>
                    <w:t>3.1</w:t>
                  </w:r>
                </w:p>
              </w:tc>
              <w:tc>
                <w:tcPr>
                  <w:tcW w:w="1530" w:type="pct"/>
                  <w:vAlign w:val="center"/>
                </w:tcPr>
                <w:p w14:paraId="14F08505">
                  <w:pPr>
                    <w:pStyle w:val="149"/>
                    <w:wordWrap w:val="0"/>
                    <w:rPr>
                      <w:rFonts w:eastAsia="Times New Roman"/>
                    </w:rPr>
                  </w:pPr>
                  <w:r>
                    <w:rPr>
                      <w:rFonts w:eastAsia="Times New Roman"/>
                    </w:rPr>
                    <w:t>SVG</w:t>
                  </w:r>
                  <w:r>
                    <w:rPr>
                      <w:rFonts w:hint="eastAsia" w:ascii="宋体" w:hAnsi="宋体" w:eastAsia="宋体" w:cs="宋体"/>
                    </w:rPr>
                    <w:t>成套装置</w:t>
                  </w:r>
                </w:p>
              </w:tc>
              <w:tc>
                <w:tcPr>
                  <w:tcW w:w="2060" w:type="pct"/>
                  <w:vAlign w:val="center"/>
                </w:tcPr>
                <w:p w14:paraId="3CCEAC6E">
                  <w:pPr>
                    <w:pStyle w:val="149"/>
                    <w:jc w:val="both"/>
                    <w:rPr>
                      <w:rFonts w:eastAsia="Times New Roman"/>
                    </w:rPr>
                  </w:pPr>
                  <w:r>
                    <w:rPr>
                      <w:rFonts w:eastAsia="Times New Roman"/>
                    </w:rPr>
                    <w:t>SVG</w:t>
                  </w:r>
                  <w:r>
                    <w:rPr>
                      <w:rFonts w:eastAsia="宋体"/>
                    </w:rPr>
                    <w:t>容量：</w:t>
                  </w:r>
                  <w:r>
                    <w:rPr>
                      <w:rFonts w:eastAsia="Times New Roman"/>
                    </w:rPr>
                    <w:t>±45Mvar</w:t>
                  </w:r>
                  <w:r>
                    <w:rPr>
                      <w:rFonts w:eastAsia="宋体"/>
                    </w:rPr>
                    <w:t>厂家成套供货；</w:t>
                  </w:r>
                  <w:r>
                    <w:rPr>
                      <w:rFonts w:eastAsia="Times New Roman"/>
                    </w:rPr>
                    <w:t>SF6</w:t>
                  </w:r>
                  <w:r>
                    <w:rPr>
                      <w:rFonts w:eastAsia="宋体"/>
                    </w:rPr>
                    <w:t>短路器</w:t>
                  </w:r>
                  <w:r>
                    <w:rPr>
                      <w:rFonts w:eastAsia="Times New Roman"/>
                    </w:rPr>
                    <w:t>40.5kV</w:t>
                  </w:r>
                  <w:r>
                    <w:rPr>
                      <w:rFonts w:eastAsia="宋体"/>
                    </w:rPr>
                    <w:t>，</w:t>
                  </w:r>
                  <w:r>
                    <w:rPr>
                      <w:rFonts w:eastAsia="Times New Roman"/>
                    </w:rPr>
                    <w:t>1250A</w:t>
                  </w:r>
                  <w:r>
                    <w:rPr>
                      <w:rFonts w:eastAsia="宋体"/>
                    </w:rPr>
                    <w:t>，</w:t>
                  </w:r>
                  <w:r>
                    <w:rPr>
                      <w:rFonts w:eastAsia="Times New Roman"/>
                    </w:rPr>
                    <w:t>31.5kA/4s</w:t>
                  </w:r>
                  <w:r>
                    <w:rPr>
                      <w:rFonts w:eastAsia="宋体"/>
                    </w:rPr>
                    <w:t>电流互感器；</w:t>
                  </w:r>
                  <w:r>
                    <w:rPr>
                      <w:rFonts w:eastAsia="Times New Roman"/>
                    </w:rPr>
                    <w:t>600/1A</w:t>
                  </w:r>
                  <w:r>
                    <w:rPr>
                      <w:rFonts w:eastAsia="宋体"/>
                    </w:rPr>
                    <w:t>，</w:t>
                  </w:r>
                  <w:r>
                    <w:rPr>
                      <w:rFonts w:eastAsia="Times New Roman"/>
                    </w:rPr>
                    <w:t>0.5/0.2S</w:t>
                  </w:r>
                  <w:r>
                    <w:rPr>
                      <w:rFonts w:eastAsia="宋体"/>
                    </w:rPr>
                    <w:t>，</w:t>
                  </w:r>
                  <w:r>
                    <w:rPr>
                      <w:rFonts w:eastAsia="Times New Roman"/>
                    </w:rPr>
                    <w:t>15VA/5VA</w:t>
                  </w:r>
                  <w:r>
                    <w:rPr>
                      <w:rFonts w:eastAsia="宋体"/>
                    </w:rPr>
                    <w:t>；</w:t>
                  </w:r>
                  <w:r>
                    <w:rPr>
                      <w:rFonts w:eastAsia="Times New Roman"/>
                    </w:rPr>
                    <w:t>1000/1A</w:t>
                  </w:r>
                  <w:r>
                    <w:rPr>
                      <w:rFonts w:eastAsia="宋体"/>
                    </w:rPr>
                    <w:t>，</w:t>
                  </w:r>
                  <w:r>
                    <w:rPr>
                      <w:rFonts w:eastAsia="Times New Roman"/>
                    </w:rPr>
                    <w:t>5P40/5P40/5P40</w:t>
                  </w:r>
                  <w:r>
                    <w:rPr>
                      <w:rFonts w:eastAsia="宋体"/>
                    </w:rPr>
                    <w:t>，</w:t>
                  </w:r>
                  <w:r>
                    <w:rPr>
                      <w:rFonts w:eastAsia="Times New Roman"/>
                    </w:rPr>
                    <w:t>15VA/15VA/15VA</w:t>
                  </w:r>
                  <w:r>
                    <w:rPr>
                      <w:rFonts w:eastAsia="宋体"/>
                    </w:rPr>
                    <w:t>；避雷器</w:t>
                  </w:r>
                  <w:r>
                    <w:rPr>
                      <w:rFonts w:eastAsia="Times New Roman"/>
                    </w:rPr>
                    <w:t>HY5WZ-51/134</w:t>
                  </w:r>
                  <w:r>
                    <w:rPr>
                      <w:rFonts w:eastAsia="宋体"/>
                    </w:rPr>
                    <w:t>；带电显示器；零序</w:t>
                  </w:r>
                  <w:r>
                    <w:rPr>
                      <w:rFonts w:eastAsia="Times New Roman"/>
                    </w:rPr>
                    <w:t>LXB-φ300</w:t>
                  </w:r>
                  <w:r>
                    <w:rPr>
                      <w:rFonts w:eastAsiaTheme="minorEastAsia"/>
                    </w:rPr>
                    <w:t>，</w:t>
                  </w:r>
                  <w:r>
                    <w:rPr>
                      <w:rFonts w:eastAsia="Times New Roman"/>
                    </w:rPr>
                    <w:t>100/1A</w:t>
                  </w:r>
                  <w:r>
                    <w:rPr>
                      <w:rFonts w:eastAsia="宋体"/>
                    </w:rPr>
                    <w:t>，</w:t>
                  </w:r>
                  <w:r>
                    <w:rPr>
                      <w:rFonts w:eastAsia="Times New Roman"/>
                    </w:rPr>
                    <w:t>5P10</w:t>
                  </w:r>
                  <w:r>
                    <w:rPr>
                      <w:rFonts w:eastAsiaTheme="minorEastAsia"/>
                    </w:rPr>
                    <w:t>，</w:t>
                  </w:r>
                  <w:r>
                    <w:rPr>
                      <w:rFonts w:eastAsia="Times New Roman"/>
                    </w:rPr>
                    <w:t>5VA</w:t>
                  </w:r>
                  <w:r>
                    <w:rPr>
                      <w:rFonts w:eastAsiaTheme="minorEastAsia"/>
                    </w:rPr>
                    <w:t>。</w:t>
                  </w:r>
                </w:p>
              </w:tc>
              <w:tc>
                <w:tcPr>
                  <w:tcW w:w="421" w:type="pct"/>
                  <w:vAlign w:val="center"/>
                </w:tcPr>
                <w:p w14:paraId="495AB216">
                  <w:pPr>
                    <w:pStyle w:val="149"/>
                    <w:wordWrap w:val="0"/>
                    <w:rPr>
                      <w:rFonts w:eastAsia="Times New Roman"/>
                    </w:rPr>
                  </w:pPr>
                  <w:r>
                    <w:rPr>
                      <w:rFonts w:hint="eastAsia" w:ascii="宋体" w:hAnsi="宋体" w:eastAsia="宋体" w:cs="宋体"/>
                    </w:rPr>
                    <w:t>套</w:t>
                  </w:r>
                </w:p>
              </w:tc>
              <w:tc>
                <w:tcPr>
                  <w:tcW w:w="317" w:type="pct"/>
                  <w:vAlign w:val="center"/>
                </w:tcPr>
                <w:p w14:paraId="7E038AD0">
                  <w:pPr>
                    <w:pStyle w:val="149"/>
                    <w:wordWrap w:val="0"/>
                    <w:rPr>
                      <w:rFonts w:eastAsia="Times New Roman"/>
                    </w:rPr>
                  </w:pPr>
                  <w:r>
                    <w:rPr>
                      <w:rFonts w:eastAsia="Times New Roman"/>
                    </w:rPr>
                    <w:t>2</w:t>
                  </w:r>
                </w:p>
              </w:tc>
              <w:tc>
                <w:tcPr>
                  <w:tcW w:w="361" w:type="pct"/>
                  <w:vAlign w:val="center"/>
                </w:tcPr>
                <w:p w14:paraId="27E60027">
                  <w:pPr>
                    <w:pStyle w:val="149"/>
                    <w:wordWrap w:val="0"/>
                    <w:rPr>
                      <w:rFonts w:eastAsiaTheme="minorEastAsia"/>
                    </w:rPr>
                  </w:pPr>
                  <w:r>
                    <w:rPr>
                      <w:rFonts w:hint="eastAsia" w:eastAsiaTheme="minorEastAsia"/>
                    </w:rPr>
                    <w:t>/</w:t>
                  </w:r>
                </w:p>
              </w:tc>
            </w:tr>
            <w:tr w14:paraId="6F02EB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6EB726BA">
                  <w:pPr>
                    <w:pStyle w:val="149"/>
                    <w:wordWrap w:val="0"/>
                    <w:rPr>
                      <w:rFonts w:eastAsia="Times New Roman"/>
                    </w:rPr>
                  </w:pPr>
                  <w:r>
                    <w:rPr>
                      <w:rFonts w:eastAsia="Times New Roman"/>
                    </w:rPr>
                    <w:t>3.2</w:t>
                  </w:r>
                </w:p>
              </w:tc>
              <w:tc>
                <w:tcPr>
                  <w:tcW w:w="1530" w:type="pct"/>
                  <w:vAlign w:val="center"/>
                </w:tcPr>
                <w:p w14:paraId="1BA399E5">
                  <w:pPr>
                    <w:pStyle w:val="149"/>
                    <w:wordWrap w:val="0"/>
                    <w:rPr>
                      <w:rFonts w:eastAsia="Times New Roman"/>
                    </w:rPr>
                  </w:pPr>
                  <w:r>
                    <w:rPr>
                      <w:rFonts w:eastAsia="Times New Roman"/>
                    </w:rPr>
                    <w:t>35kV</w:t>
                  </w:r>
                  <w:r>
                    <w:rPr>
                      <w:rFonts w:hint="eastAsia" w:ascii="宋体" w:hAnsi="宋体" w:eastAsia="宋体" w:cs="宋体"/>
                    </w:rPr>
                    <w:t>高压电缆</w:t>
                  </w:r>
                </w:p>
              </w:tc>
              <w:tc>
                <w:tcPr>
                  <w:tcW w:w="2060" w:type="pct"/>
                  <w:vAlign w:val="center"/>
                </w:tcPr>
                <w:p w14:paraId="61BC56A9">
                  <w:pPr>
                    <w:pStyle w:val="149"/>
                    <w:wordWrap w:val="0"/>
                    <w:rPr>
                      <w:rFonts w:eastAsia="Times New Roman"/>
                    </w:rPr>
                  </w:pPr>
                  <w:r>
                    <w:rPr>
                      <w:rFonts w:eastAsia="Times New Roman"/>
                    </w:rPr>
                    <w:t>ZA-YJV22-26/35kV-3x300</w:t>
                  </w:r>
                </w:p>
              </w:tc>
              <w:tc>
                <w:tcPr>
                  <w:tcW w:w="421" w:type="pct"/>
                  <w:vAlign w:val="center"/>
                </w:tcPr>
                <w:p w14:paraId="379DC6FF">
                  <w:pPr>
                    <w:pStyle w:val="149"/>
                    <w:wordWrap w:val="0"/>
                    <w:rPr>
                      <w:rFonts w:eastAsia="Times New Roman"/>
                    </w:rPr>
                  </w:pPr>
                  <w:r>
                    <w:rPr>
                      <w:rFonts w:hint="eastAsia" w:ascii="宋体" w:hAnsi="宋体" w:eastAsia="宋体" w:cs="宋体"/>
                    </w:rPr>
                    <w:t>段</w:t>
                  </w:r>
                </w:p>
              </w:tc>
              <w:tc>
                <w:tcPr>
                  <w:tcW w:w="317" w:type="pct"/>
                  <w:vAlign w:val="center"/>
                </w:tcPr>
                <w:p w14:paraId="62DA457A">
                  <w:pPr>
                    <w:pStyle w:val="149"/>
                    <w:wordWrap w:val="0"/>
                    <w:rPr>
                      <w:rFonts w:eastAsia="Times New Roman"/>
                    </w:rPr>
                  </w:pPr>
                  <w:r>
                    <w:rPr>
                      <w:rFonts w:eastAsia="Times New Roman"/>
                    </w:rPr>
                    <w:t>8</w:t>
                  </w:r>
                </w:p>
              </w:tc>
              <w:tc>
                <w:tcPr>
                  <w:tcW w:w="361" w:type="pct"/>
                  <w:vAlign w:val="center"/>
                </w:tcPr>
                <w:p w14:paraId="49D84B88">
                  <w:pPr>
                    <w:pStyle w:val="149"/>
                    <w:wordWrap w:val="0"/>
                    <w:rPr>
                      <w:rFonts w:eastAsiaTheme="minorEastAsia"/>
                    </w:rPr>
                  </w:pPr>
                  <w:r>
                    <w:rPr>
                      <w:rFonts w:hint="eastAsia" w:eastAsiaTheme="minorEastAsia"/>
                    </w:rPr>
                    <w:t>/</w:t>
                  </w:r>
                </w:p>
              </w:tc>
            </w:tr>
            <w:tr w14:paraId="5C1C89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gridSpan w:val="6"/>
                  <w:vAlign w:val="center"/>
                </w:tcPr>
                <w:p w14:paraId="3DBB213B">
                  <w:pPr>
                    <w:pStyle w:val="149"/>
                    <w:wordWrap w:val="0"/>
                    <w:rPr>
                      <w:rFonts w:eastAsia="Times New Roman"/>
                    </w:rPr>
                  </w:pPr>
                  <w:r>
                    <w:rPr>
                      <w:rFonts w:hint="eastAsia" w:ascii="宋体" w:hAnsi="宋体" w:eastAsia="宋体" w:cs="宋体"/>
                    </w:rPr>
                    <w:t>四、接地变小电阻成套装置</w:t>
                  </w:r>
                </w:p>
              </w:tc>
            </w:tr>
            <w:tr w14:paraId="233BAF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0C6A040F">
                  <w:pPr>
                    <w:pStyle w:val="149"/>
                    <w:wordWrap w:val="0"/>
                    <w:rPr>
                      <w:rFonts w:eastAsia="Times New Roman"/>
                    </w:rPr>
                  </w:pPr>
                  <w:r>
                    <w:rPr>
                      <w:rFonts w:eastAsia="Times New Roman"/>
                    </w:rPr>
                    <w:t>4.1</w:t>
                  </w:r>
                </w:p>
              </w:tc>
              <w:tc>
                <w:tcPr>
                  <w:tcW w:w="1530" w:type="pct"/>
                  <w:vAlign w:val="center"/>
                </w:tcPr>
                <w:p w14:paraId="4F47597A">
                  <w:pPr>
                    <w:pStyle w:val="149"/>
                    <w:wordWrap w:val="0"/>
                    <w:rPr>
                      <w:rFonts w:eastAsia="Times New Roman"/>
                    </w:rPr>
                  </w:pPr>
                  <w:r>
                    <w:rPr>
                      <w:rFonts w:hint="eastAsia" w:ascii="宋体" w:hAnsi="宋体" w:eastAsia="宋体" w:cs="宋体"/>
                    </w:rPr>
                    <w:t>接地变小电阻成套装置</w:t>
                  </w:r>
                </w:p>
              </w:tc>
              <w:tc>
                <w:tcPr>
                  <w:tcW w:w="2060" w:type="pct"/>
                  <w:vAlign w:val="center"/>
                </w:tcPr>
                <w:p w14:paraId="64F22716">
                  <w:pPr>
                    <w:pStyle w:val="149"/>
                    <w:jc w:val="both"/>
                    <w:rPr>
                      <w:rFonts w:eastAsia="Times New Roman"/>
                    </w:rPr>
                  </w:pPr>
                  <w:r>
                    <w:rPr>
                      <w:rFonts w:eastAsia="Times New Roman"/>
                    </w:rPr>
                    <w:t>DKSC-500/037kV</w:t>
                  </w:r>
                  <w:r>
                    <w:rPr>
                      <w:rFonts w:hint="eastAsia" w:ascii="宋体" w:hAnsi="宋体" w:eastAsia="宋体" w:cs="宋体"/>
                    </w:rPr>
                    <w:t>，</w:t>
                  </w:r>
                  <w:r>
                    <w:rPr>
                      <w:rFonts w:eastAsia="Times New Roman"/>
                    </w:rPr>
                    <w:t>37±2x2.5%/0.4kV</w:t>
                  </w:r>
                  <w:r>
                    <w:rPr>
                      <w:rFonts w:hint="eastAsia" w:ascii="宋体" w:hAnsi="宋体" w:eastAsia="宋体" w:cs="宋体"/>
                    </w:rPr>
                    <w:t>，</w:t>
                  </w:r>
                  <w:r>
                    <w:rPr>
                      <w:rFonts w:eastAsia="Times New Roman"/>
                    </w:rPr>
                    <w:t>Ud=6%ZN</w:t>
                  </w:r>
                  <w:r>
                    <w:rPr>
                      <w:rFonts w:hint="eastAsia" w:asciiTheme="minorEastAsia" w:hAnsiTheme="minorEastAsia" w:eastAsiaTheme="minorEastAsia"/>
                    </w:rPr>
                    <w:t>，</w:t>
                  </w:r>
                  <w:r>
                    <w:rPr>
                      <w:rFonts w:eastAsia="Times New Roman"/>
                    </w:rPr>
                    <w:t>yn11</w:t>
                  </w:r>
                  <w:r>
                    <w:rPr>
                      <w:rFonts w:hint="eastAsia" w:asciiTheme="minorEastAsia" w:hAnsiTheme="minorEastAsia" w:eastAsiaTheme="minorEastAsia"/>
                    </w:rPr>
                    <w:t>。</w:t>
                  </w:r>
                </w:p>
              </w:tc>
              <w:tc>
                <w:tcPr>
                  <w:tcW w:w="421" w:type="pct"/>
                  <w:vAlign w:val="center"/>
                </w:tcPr>
                <w:p w14:paraId="04271247">
                  <w:pPr>
                    <w:pStyle w:val="149"/>
                    <w:wordWrap w:val="0"/>
                    <w:rPr>
                      <w:rFonts w:eastAsia="Times New Roman"/>
                    </w:rPr>
                  </w:pPr>
                  <w:r>
                    <w:rPr>
                      <w:rFonts w:hint="eastAsia" w:ascii="宋体" w:hAnsi="宋体" w:eastAsia="宋体" w:cs="宋体"/>
                    </w:rPr>
                    <w:t>套</w:t>
                  </w:r>
                </w:p>
              </w:tc>
              <w:tc>
                <w:tcPr>
                  <w:tcW w:w="317" w:type="pct"/>
                  <w:vAlign w:val="center"/>
                </w:tcPr>
                <w:p w14:paraId="5E4B2866">
                  <w:pPr>
                    <w:pStyle w:val="149"/>
                    <w:wordWrap w:val="0"/>
                    <w:rPr>
                      <w:rFonts w:eastAsia="Times New Roman"/>
                    </w:rPr>
                  </w:pPr>
                  <w:r>
                    <w:rPr>
                      <w:rFonts w:eastAsia="Times New Roman"/>
                    </w:rPr>
                    <w:t>1</w:t>
                  </w:r>
                </w:p>
              </w:tc>
              <w:tc>
                <w:tcPr>
                  <w:tcW w:w="361" w:type="pct"/>
                  <w:vAlign w:val="center"/>
                </w:tcPr>
                <w:p w14:paraId="56747E3A">
                  <w:pPr>
                    <w:pStyle w:val="149"/>
                    <w:wordWrap w:val="0"/>
                    <w:rPr>
                      <w:rFonts w:eastAsiaTheme="minorEastAsia"/>
                    </w:rPr>
                  </w:pPr>
                  <w:r>
                    <w:rPr>
                      <w:rFonts w:hint="eastAsia" w:eastAsiaTheme="minorEastAsia"/>
                    </w:rPr>
                    <w:t>/</w:t>
                  </w:r>
                </w:p>
              </w:tc>
            </w:tr>
            <w:tr w14:paraId="4805EB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gridSpan w:val="6"/>
                  <w:vAlign w:val="center"/>
                </w:tcPr>
                <w:p w14:paraId="7AB77A23">
                  <w:pPr>
                    <w:pStyle w:val="149"/>
                    <w:wordWrap w:val="0"/>
                    <w:rPr>
                      <w:rFonts w:eastAsia="Times New Roman"/>
                    </w:rPr>
                  </w:pPr>
                  <w:r>
                    <w:rPr>
                      <w:rFonts w:hint="eastAsia" w:ascii="宋体" w:hAnsi="宋体" w:eastAsia="宋体" w:cs="宋体"/>
                    </w:rPr>
                    <w:t>五、</w:t>
                  </w:r>
                  <w:r>
                    <w:rPr>
                      <w:rFonts w:eastAsia="Times New Roman"/>
                    </w:rPr>
                    <w:t>10kV</w:t>
                  </w:r>
                  <w:r>
                    <w:rPr>
                      <w:rFonts w:hint="eastAsia" w:ascii="宋体" w:hAnsi="宋体" w:eastAsia="宋体" w:cs="宋体"/>
                    </w:rPr>
                    <w:t>施工变兼站用变（站外</w:t>
                  </w:r>
                  <w:r>
                    <w:rPr>
                      <w:rFonts w:eastAsia="Times New Roman"/>
                    </w:rPr>
                    <w:t>10kV</w:t>
                  </w:r>
                  <w:r>
                    <w:rPr>
                      <w:rFonts w:hint="eastAsia" w:ascii="宋体" w:hAnsi="宋体" w:eastAsia="宋体" w:cs="宋体"/>
                    </w:rPr>
                    <w:t>备用电源）</w:t>
                  </w:r>
                </w:p>
              </w:tc>
            </w:tr>
            <w:tr w14:paraId="3EE835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11" w:type="pct"/>
                  <w:vAlign w:val="center"/>
                </w:tcPr>
                <w:p w14:paraId="3AB8C502">
                  <w:pPr>
                    <w:pStyle w:val="149"/>
                    <w:wordWrap w:val="0"/>
                    <w:rPr>
                      <w:rFonts w:eastAsia="Times New Roman"/>
                    </w:rPr>
                  </w:pPr>
                  <w:r>
                    <w:rPr>
                      <w:rFonts w:eastAsia="Times New Roman"/>
                    </w:rPr>
                    <w:t>5.1</w:t>
                  </w:r>
                </w:p>
              </w:tc>
              <w:tc>
                <w:tcPr>
                  <w:tcW w:w="1530" w:type="pct"/>
                  <w:vAlign w:val="center"/>
                </w:tcPr>
                <w:p w14:paraId="1C5D2CF6">
                  <w:pPr>
                    <w:pStyle w:val="149"/>
                    <w:wordWrap w:val="0"/>
                    <w:rPr>
                      <w:rFonts w:eastAsia="Times New Roman"/>
                    </w:rPr>
                  </w:pPr>
                  <w:r>
                    <w:rPr>
                      <w:rFonts w:eastAsia="Times New Roman"/>
                    </w:rPr>
                    <w:t>10kV</w:t>
                  </w:r>
                  <w:r>
                    <w:rPr>
                      <w:rFonts w:hint="eastAsia" w:ascii="宋体" w:hAnsi="宋体" w:eastAsia="宋体" w:cs="宋体"/>
                    </w:rPr>
                    <w:t>施工变兼站用变</w:t>
                  </w:r>
                </w:p>
              </w:tc>
              <w:tc>
                <w:tcPr>
                  <w:tcW w:w="2060" w:type="pct"/>
                  <w:vAlign w:val="center"/>
                </w:tcPr>
                <w:p w14:paraId="14F63968">
                  <w:pPr>
                    <w:pStyle w:val="149"/>
                    <w:jc w:val="both"/>
                    <w:rPr>
                      <w:rFonts w:eastAsia="Times New Roman"/>
                    </w:rPr>
                  </w:pPr>
                  <w:r>
                    <w:rPr>
                      <w:rFonts w:eastAsia="Times New Roman"/>
                    </w:rPr>
                    <w:t>800kV</w:t>
                  </w:r>
                  <w:r>
                    <w:rPr>
                      <w:rFonts w:hint="eastAsia" w:ascii="宋体" w:hAnsi="宋体" w:eastAsia="宋体" w:cs="宋体"/>
                    </w:rPr>
                    <w:t>，</w:t>
                  </w:r>
                  <w:r>
                    <w:rPr>
                      <w:rFonts w:eastAsia="Times New Roman"/>
                    </w:rPr>
                    <w:t>10±2x2.5%/0.4kV</w:t>
                  </w:r>
                  <w:r>
                    <w:rPr>
                      <w:rFonts w:hint="eastAsia" w:ascii="宋体" w:hAnsi="宋体" w:eastAsia="宋体" w:cs="宋体"/>
                    </w:rPr>
                    <w:t>，</w:t>
                  </w:r>
                  <w:r>
                    <w:rPr>
                      <w:rFonts w:eastAsia="Times New Roman"/>
                    </w:rPr>
                    <w:t>Ud=4%ZN</w:t>
                  </w:r>
                  <w:r>
                    <w:rPr>
                      <w:rFonts w:hint="eastAsia" w:asciiTheme="minorEastAsia" w:hAnsiTheme="minorEastAsia" w:eastAsiaTheme="minorEastAsia"/>
                    </w:rPr>
                    <w:t>，</w:t>
                  </w:r>
                  <w:r>
                    <w:rPr>
                      <w:rFonts w:eastAsia="Times New Roman"/>
                    </w:rPr>
                    <w:t>yn11</w:t>
                  </w:r>
                  <w:r>
                    <w:rPr>
                      <w:rFonts w:hint="eastAsia" w:asciiTheme="minorEastAsia" w:hAnsiTheme="minorEastAsia" w:eastAsiaTheme="minorEastAsia"/>
                    </w:rPr>
                    <w:t>。</w:t>
                  </w:r>
                </w:p>
              </w:tc>
              <w:tc>
                <w:tcPr>
                  <w:tcW w:w="421" w:type="pct"/>
                  <w:vAlign w:val="center"/>
                </w:tcPr>
                <w:p w14:paraId="2EC32C30">
                  <w:pPr>
                    <w:pStyle w:val="149"/>
                    <w:wordWrap w:val="0"/>
                    <w:rPr>
                      <w:rFonts w:eastAsia="Times New Roman"/>
                    </w:rPr>
                  </w:pPr>
                  <w:r>
                    <w:rPr>
                      <w:rFonts w:hint="eastAsia" w:ascii="宋体" w:hAnsi="宋体" w:eastAsia="宋体" w:cs="宋体"/>
                    </w:rPr>
                    <w:t>套</w:t>
                  </w:r>
                </w:p>
              </w:tc>
              <w:tc>
                <w:tcPr>
                  <w:tcW w:w="317" w:type="pct"/>
                  <w:vAlign w:val="center"/>
                </w:tcPr>
                <w:p w14:paraId="0235F0C0">
                  <w:pPr>
                    <w:pStyle w:val="149"/>
                    <w:wordWrap w:val="0"/>
                    <w:rPr>
                      <w:rFonts w:eastAsia="Times New Roman"/>
                    </w:rPr>
                  </w:pPr>
                  <w:r>
                    <w:rPr>
                      <w:rFonts w:eastAsia="Times New Roman"/>
                    </w:rPr>
                    <w:t>1</w:t>
                  </w:r>
                </w:p>
              </w:tc>
              <w:tc>
                <w:tcPr>
                  <w:tcW w:w="361" w:type="pct"/>
                  <w:vAlign w:val="center"/>
                </w:tcPr>
                <w:p w14:paraId="6DAAD175">
                  <w:pPr>
                    <w:pStyle w:val="149"/>
                    <w:wordWrap w:val="0"/>
                    <w:rPr>
                      <w:rFonts w:eastAsiaTheme="minorEastAsia"/>
                    </w:rPr>
                  </w:pPr>
                  <w:r>
                    <w:rPr>
                      <w:rFonts w:hint="eastAsia" w:eastAsiaTheme="minorEastAsia"/>
                    </w:rPr>
                    <w:t>/</w:t>
                  </w:r>
                </w:p>
              </w:tc>
            </w:tr>
          </w:tbl>
          <w:p w14:paraId="6A50A4DF">
            <w:pPr>
              <w:pStyle w:val="112"/>
              <w:spacing w:line="360" w:lineRule="auto"/>
              <w:ind w:firstLine="482" w:firstLineChars="200"/>
              <w:rPr>
                <w:b/>
                <w:sz w:val="24"/>
              </w:rPr>
            </w:pPr>
            <w:r>
              <w:rPr>
                <w:rFonts w:hint="eastAsia" w:ascii="宋体" w:hAnsi="宋体"/>
                <w:b/>
                <w:sz w:val="24"/>
              </w:rPr>
              <w:t>5、运行模式</w:t>
            </w:r>
          </w:p>
          <w:p w14:paraId="3F13C2F1">
            <w:pPr>
              <w:pStyle w:val="112"/>
              <w:spacing w:line="360" w:lineRule="auto"/>
              <w:ind w:firstLine="480" w:firstLineChars="200"/>
              <w:rPr>
                <w:sz w:val="24"/>
              </w:rPr>
            </w:pPr>
            <w:r>
              <w:rPr>
                <w:rFonts w:hint="eastAsia" w:ascii="宋体" w:hAnsi="宋体"/>
                <w:sz w:val="24"/>
              </w:rPr>
              <w:t>项目定位于集中布置的</w:t>
            </w:r>
            <w:r>
              <w:rPr>
                <w:rFonts w:hint="eastAsia"/>
                <w:sz w:val="24"/>
              </w:rPr>
              <w:t>200MW/400MWh</w:t>
            </w:r>
            <w:r>
              <w:rPr>
                <w:rFonts w:hint="eastAsia" w:ascii="宋体" w:hAnsi="宋体"/>
                <w:sz w:val="24"/>
              </w:rPr>
              <w:t>独立大型电化学储能电站，接受电网统调指令，在用电高峰时释放电能，实现共享，从而提升电网调峰能力和新能源消纳能力，保障电网安全稳定运行。项目建设的电化学储能是一种通过电化学反应将电能转换为化学能进行存储</w:t>
            </w:r>
            <w:r>
              <w:rPr>
                <w:rFonts w:hint="eastAsia"/>
                <w:sz w:val="24"/>
              </w:rPr>
              <w:t>,</w:t>
            </w:r>
            <w:r>
              <w:rPr>
                <w:rFonts w:hint="eastAsia" w:ascii="宋体" w:hAnsi="宋体"/>
                <w:sz w:val="24"/>
              </w:rPr>
              <w:t>并在需要时再将化学能转换回电能的技术。它利用电池或类似化学设备的充放电过程，实现能量的存储和释放，运行模式考虑调峰运行模式和调频运行模式。调峰运行模式考虑提供每次</w:t>
            </w:r>
            <w:r>
              <w:rPr>
                <w:rFonts w:hint="eastAsia"/>
                <w:sz w:val="24"/>
              </w:rPr>
              <w:t>2</w:t>
            </w:r>
            <w:r>
              <w:rPr>
                <w:rFonts w:hint="eastAsia" w:ascii="宋体" w:hAnsi="宋体"/>
                <w:sz w:val="24"/>
              </w:rPr>
              <w:t>小时调峰服务。调频运行模式考虑参加</w:t>
            </w:r>
            <w:r>
              <w:rPr>
                <w:rFonts w:hint="eastAsia"/>
                <w:sz w:val="24"/>
              </w:rPr>
              <w:t>AGC</w:t>
            </w:r>
            <w:r>
              <w:rPr>
                <w:rFonts w:hint="eastAsia" w:ascii="宋体" w:hAnsi="宋体"/>
                <w:sz w:val="24"/>
              </w:rPr>
              <w:t>调频市场。同时，电化学储能可提供调峰、调频、</w:t>
            </w:r>
            <w:r>
              <w:rPr>
                <w:rFonts w:hint="eastAsia"/>
                <w:sz w:val="24"/>
              </w:rPr>
              <w:t>AGC</w:t>
            </w:r>
            <w:r>
              <w:rPr>
                <w:rFonts w:hint="eastAsia" w:ascii="宋体" w:hAnsi="宋体"/>
                <w:sz w:val="24"/>
              </w:rPr>
              <w:t>、黑启动等辅助服务，保障电网安全。</w:t>
            </w:r>
          </w:p>
          <w:p w14:paraId="2231A781">
            <w:pPr>
              <w:pStyle w:val="112"/>
              <w:spacing w:line="360" w:lineRule="auto"/>
              <w:ind w:firstLine="482" w:firstLineChars="200"/>
              <w:rPr>
                <w:b/>
                <w:sz w:val="24"/>
              </w:rPr>
            </w:pPr>
            <w:r>
              <w:rPr>
                <w:b/>
                <w:sz w:val="24"/>
              </w:rPr>
              <w:t>6</w:t>
            </w:r>
            <w:r>
              <w:rPr>
                <w:rFonts w:hint="eastAsia" w:ascii="宋体" w:hAnsi="宋体"/>
                <w:b/>
                <w:sz w:val="24"/>
              </w:rPr>
              <w:t>、储能系统总体方案</w:t>
            </w:r>
          </w:p>
          <w:p w14:paraId="2D6742A1">
            <w:pPr>
              <w:spacing w:line="360" w:lineRule="auto"/>
              <w:ind w:firstLine="480" w:firstLineChars="200"/>
              <w:rPr>
                <w:sz w:val="24"/>
              </w:rPr>
            </w:pPr>
            <w:r>
              <w:rPr>
                <w:rFonts w:hint="eastAsia" w:ascii="宋体" w:hAnsi="宋体"/>
                <w:sz w:val="24"/>
              </w:rPr>
              <w:t>电池储能系统与并网接口点之间的电能交换经过</w:t>
            </w:r>
            <w:r>
              <w:rPr>
                <w:sz w:val="24"/>
              </w:rPr>
              <w:t>PCS</w:t>
            </w:r>
            <w:r>
              <w:rPr>
                <w:rFonts w:hint="eastAsia" w:ascii="宋体" w:hAnsi="宋体"/>
                <w:sz w:val="24"/>
              </w:rPr>
              <w:t>、升压变压器和集电线路三个环节，在充电和放电的过程中，每个环节都有一定的电量损失，再考虑电池系统本身存在的充放电电量损失，因此，整个系统的效率，受到四个因素的影响。因为储能系统当天从电网吸收的电量当天就返回电网，电能在储能系统存放的时间较短，不考虑系统的自放电的损失。</w:t>
            </w:r>
          </w:p>
          <w:p w14:paraId="01B60753">
            <w:pPr>
              <w:spacing w:line="360" w:lineRule="auto"/>
              <w:ind w:firstLine="480" w:firstLineChars="200"/>
              <w:rPr>
                <w:sz w:val="24"/>
              </w:rPr>
            </w:pPr>
            <w:r>
              <w:rPr>
                <w:rFonts w:hint="eastAsia" w:ascii="宋体" w:hAnsi="宋体"/>
                <w:sz w:val="24"/>
              </w:rPr>
              <w:t>以现阶段主流的磷酸铁锂离子电池为例，综合考虑电池转换内效率、</w:t>
            </w:r>
            <w:r>
              <w:rPr>
                <w:sz w:val="24"/>
              </w:rPr>
              <w:t>PCS</w:t>
            </w:r>
            <w:r>
              <w:rPr>
                <w:rFonts w:hint="eastAsia" w:ascii="宋体" w:hAnsi="宋体"/>
                <w:sz w:val="24"/>
              </w:rPr>
              <w:t>放电效率、线路和升压损失后，则所需配置电池初始总容量应不低于</w:t>
            </w:r>
            <w:r>
              <w:rPr>
                <w:rFonts w:hint="eastAsia"/>
                <w:sz w:val="24"/>
              </w:rPr>
              <w:t>4</w:t>
            </w:r>
            <w:r>
              <w:rPr>
                <w:sz w:val="24"/>
              </w:rPr>
              <w:t>00MWh</w:t>
            </w:r>
            <w:r>
              <w:rPr>
                <w:rFonts w:hint="eastAsia" w:ascii="宋体" w:hAnsi="宋体"/>
                <w:sz w:val="24"/>
              </w:rPr>
              <w:t>。</w:t>
            </w:r>
          </w:p>
          <w:p w14:paraId="6805C24E">
            <w:pPr>
              <w:spacing w:line="360" w:lineRule="auto"/>
              <w:ind w:firstLine="480" w:firstLineChars="200"/>
              <w:rPr>
                <w:sz w:val="24"/>
              </w:rPr>
            </w:pPr>
            <w:r>
              <w:rPr>
                <w:rFonts w:hint="eastAsia" w:ascii="宋体" w:hAnsi="宋体"/>
                <w:sz w:val="24"/>
              </w:rPr>
              <w:t>磷酸铁锂电池的已经广泛应用于各地的商业运行的储能电站中，具有比较成熟的系统方案，基于对磷酸铁锂电池的市场调研及应用经验，综合电池组、</w:t>
            </w:r>
            <w:r>
              <w:rPr>
                <w:sz w:val="24"/>
              </w:rPr>
              <w:t>BMS</w:t>
            </w:r>
            <w:r>
              <w:rPr>
                <w:rFonts w:hint="eastAsia" w:ascii="宋体" w:hAnsi="宋体"/>
                <w:sz w:val="24"/>
              </w:rPr>
              <w:t>及</w:t>
            </w:r>
            <w:r>
              <w:rPr>
                <w:sz w:val="24"/>
              </w:rPr>
              <w:t>PCS</w:t>
            </w:r>
            <w:r>
              <w:rPr>
                <w:rFonts w:hint="eastAsia" w:ascii="宋体" w:hAnsi="宋体"/>
                <w:sz w:val="24"/>
              </w:rPr>
              <w:t>的可靠性、经济性。</w:t>
            </w:r>
          </w:p>
          <w:p w14:paraId="0B7FE2AE">
            <w:pPr>
              <w:spacing w:line="360" w:lineRule="auto"/>
              <w:ind w:firstLine="480" w:firstLineChars="200"/>
              <w:rPr>
                <w:rFonts w:ascii="Calibri" w:hAnsi="Calibri"/>
                <w:sz w:val="24"/>
              </w:rPr>
            </w:pPr>
            <w:r>
              <w:rPr>
                <w:rFonts w:hint="eastAsia" w:ascii="宋体" w:hAnsi="宋体"/>
                <w:sz w:val="24"/>
              </w:rPr>
              <w:t>因此，本项目初步装机方案为：</w:t>
            </w:r>
            <w:r>
              <w:rPr>
                <w:rFonts w:hint="eastAsia"/>
                <w:sz w:val="24"/>
              </w:rPr>
              <w:t>42个5MW/10MWh储能单元（正常运行40个储能单元，2个储能单元备用），每个储能单元由2个储能电池舱、1个PCS升压一体舱、</w:t>
            </w:r>
            <w:r>
              <w:rPr>
                <w:sz w:val="24"/>
              </w:rPr>
              <w:t>2</w:t>
            </w:r>
            <w:r>
              <w:rPr>
                <w:rFonts w:hint="eastAsia" w:ascii="宋体" w:hAnsi="宋体"/>
                <w:sz w:val="24"/>
              </w:rPr>
              <w:t>台</w:t>
            </w:r>
            <w:r>
              <w:rPr>
                <w:sz w:val="24"/>
              </w:rPr>
              <w:t>2.5MWPCS</w:t>
            </w:r>
            <w:r>
              <w:rPr>
                <w:rFonts w:hint="eastAsia"/>
                <w:sz w:val="24"/>
              </w:rPr>
              <w:t>及</w:t>
            </w:r>
            <w:r>
              <w:rPr>
                <w:sz w:val="24"/>
              </w:rPr>
              <w:t>1</w:t>
            </w:r>
            <w:r>
              <w:rPr>
                <w:rFonts w:hint="eastAsia" w:ascii="宋体" w:hAnsi="宋体"/>
                <w:sz w:val="24"/>
              </w:rPr>
              <w:t>台</w:t>
            </w:r>
            <w:r>
              <w:rPr>
                <w:sz w:val="24"/>
              </w:rPr>
              <w:t>5250kVA</w:t>
            </w:r>
            <w:r>
              <w:rPr>
                <w:rFonts w:hint="eastAsia" w:ascii="宋体" w:hAnsi="宋体"/>
                <w:sz w:val="24"/>
              </w:rPr>
              <w:t>升压变压器，实际电池标称装机容量为</w:t>
            </w:r>
            <w:r>
              <w:rPr>
                <w:rFonts w:hint="eastAsia"/>
                <w:sz w:val="24"/>
              </w:rPr>
              <w:t>200</w:t>
            </w:r>
            <w:r>
              <w:rPr>
                <w:sz w:val="24"/>
              </w:rPr>
              <w:t>MW/</w:t>
            </w:r>
            <w:r>
              <w:rPr>
                <w:rFonts w:hint="eastAsia"/>
                <w:sz w:val="24"/>
              </w:rPr>
              <w:t>400</w:t>
            </w:r>
            <w:r>
              <w:rPr>
                <w:sz w:val="24"/>
              </w:rPr>
              <w:t>MWh</w:t>
            </w:r>
            <w:r>
              <w:rPr>
                <w:rFonts w:hint="eastAsia" w:ascii="宋体" w:hAnsi="宋体"/>
                <w:sz w:val="24"/>
              </w:rPr>
              <w:t>。</w:t>
            </w:r>
          </w:p>
          <w:p w14:paraId="55B151BF">
            <w:pPr>
              <w:spacing w:line="360" w:lineRule="auto"/>
              <w:ind w:firstLine="482" w:firstLineChars="200"/>
              <w:rPr>
                <w:b/>
                <w:sz w:val="24"/>
              </w:rPr>
            </w:pPr>
            <w:r>
              <w:rPr>
                <w:b/>
                <w:sz w:val="24"/>
              </w:rPr>
              <w:t>7</w:t>
            </w:r>
            <w:r>
              <w:rPr>
                <w:rFonts w:hint="eastAsia" w:ascii="宋体" w:hAnsi="宋体"/>
                <w:b/>
                <w:sz w:val="24"/>
              </w:rPr>
              <w:t>、电池预制舱设计方案</w:t>
            </w:r>
          </w:p>
          <w:p w14:paraId="25ADD365">
            <w:pPr>
              <w:spacing w:line="360" w:lineRule="auto"/>
              <w:ind w:firstLine="480" w:firstLineChars="200"/>
              <w:rPr>
                <w:sz w:val="24"/>
              </w:rPr>
            </w:pPr>
            <w:r>
              <w:rPr>
                <w:rFonts w:hint="eastAsia" w:ascii="宋体" w:hAnsi="宋体"/>
                <w:sz w:val="24"/>
              </w:rPr>
              <w:t>项目采用标准的预制舱中（</w:t>
            </w:r>
            <w:r>
              <w:rPr>
                <w:sz w:val="24"/>
              </w:rPr>
              <w:t>40</w:t>
            </w:r>
            <w:r>
              <w:rPr>
                <w:rFonts w:hint="eastAsia" w:ascii="宋体" w:hAnsi="宋体"/>
                <w:sz w:val="24"/>
              </w:rPr>
              <w:t>尺），采用磷酸铁锂电池，单体电池的额定容量</w:t>
            </w:r>
            <w:r>
              <w:rPr>
                <w:rFonts w:hint="eastAsia"/>
                <w:sz w:val="24"/>
              </w:rPr>
              <w:t>314</w:t>
            </w:r>
            <w:r>
              <w:rPr>
                <w:sz w:val="24"/>
              </w:rPr>
              <w:t>Ah</w:t>
            </w:r>
            <w:r>
              <w:rPr>
                <w:rFonts w:hint="eastAsia" w:ascii="宋体" w:hAnsi="宋体"/>
                <w:sz w:val="24"/>
              </w:rPr>
              <w:t>，标准电压为</w:t>
            </w:r>
            <w:r>
              <w:rPr>
                <w:sz w:val="24"/>
              </w:rPr>
              <w:t>3.2V</w:t>
            </w:r>
            <w:r>
              <w:rPr>
                <w:rFonts w:hint="eastAsia" w:ascii="宋体" w:hAnsi="宋体"/>
                <w:sz w:val="24"/>
              </w:rPr>
              <w:t>。</w:t>
            </w:r>
          </w:p>
          <w:p w14:paraId="7B040194">
            <w:pPr>
              <w:ind w:firstLine="482" w:firstLineChars="200"/>
              <w:jc w:val="center"/>
              <w:rPr>
                <w:b/>
                <w:bCs/>
                <w:szCs w:val="21"/>
              </w:rPr>
            </w:pPr>
            <w:r>
              <w:rPr>
                <w:rFonts w:hint="eastAsia" w:ascii="宋体" w:hAnsi="宋体"/>
                <w:b/>
                <w:sz w:val="24"/>
              </w:rPr>
              <w:t>表</w:t>
            </w:r>
            <w:r>
              <w:rPr>
                <w:b/>
                <w:sz w:val="24"/>
              </w:rPr>
              <w:t>2-4</w:t>
            </w:r>
            <w:r>
              <w:rPr>
                <w:rFonts w:hint="eastAsia" w:ascii="宋体" w:hAnsi="宋体"/>
                <w:b/>
                <w:bCs/>
              </w:rPr>
              <w:t>储能电站电池主要技术参数表</w:t>
            </w:r>
          </w:p>
          <w:tbl>
            <w:tblPr>
              <w:tblStyle w:val="150"/>
              <w:tblW w:w="7786" w:type="dxa"/>
              <w:tblInd w:w="113"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96"/>
              <w:gridCol w:w="2594"/>
              <w:gridCol w:w="2596"/>
            </w:tblGrid>
            <w:tr w14:paraId="7FD13C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7" w:type="pct"/>
                  <w:tcBorders>
                    <w:top w:val="single" w:color="auto" w:sz="12" w:space="0"/>
                    <w:left w:val="nil"/>
                    <w:bottom w:val="single" w:color="auto" w:sz="4" w:space="0"/>
                    <w:right w:val="single" w:color="auto" w:sz="4" w:space="0"/>
                  </w:tcBorders>
                  <w:vAlign w:val="center"/>
                </w:tcPr>
                <w:p w14:paraId="791649DB">
                  <w:pPr>
                    <w:spacing w:line="240" w:lineRule="atLeast"/>
                    <w:jc w:val="center"/>
                    <w:rPr>
                      <w:rFonts w:hint="default" w:ascii="Times New Roman" w:hAnsi="Times New Roman" w:eastAsia="宋体" w:cs="Times New Roman"/>
                      <w:b w:val="0"/>
                      <w:i w:val="0"/>
                    </w:rPr>
                  </w:pPr>
                  <w:r>
                    <w:rPr>
                      <w:rFonts w:hint="default" w:ascii="宋体" w:hAnsi="宋体" w:eastAsia="宋体" w:cs="Times New Roman"/>
                      <w:b w:val="0"/>
                      <w:i w:val="0"/>
                    </w:rPr>
                    <w:t>序号</w:t>
                  </w:r>
                </w:p>
              </w:tc>
              <w:tc>
                <w:tcPr>
                  <w:tcW w:w="1666" w:type="pct"/>
                  <w:tcBorders>
                    <w:top w:val="single" w:color="auto" w:sz="12" w:space="0"/>
                    <w:left w:val="single" w:color="auto" w:sz="4" w:space="0"/>
                    <w:bottom w:val="single" w:color="auto" w:sz="4" w:space="0"/>
                    <w:right w:val="single" w:color="auto" w:sz="4" w:space="0"/>
                  </w:tcBorders>
                  <w:vAlign w:val="center"/>
                </w:tcPr>
                <w:p w14:paraId="338FA0FC">
                  <w:pPr>
                    <w:spacing w:line="240" w:lineRule="atLeast"/>
                    <w:jc w:val="center"/>
                    <w:rPr>
                      <w:rFonts w:hint="default" w:ascii="Times New Roman" w:hAnsi="Times New Roman" w:eastAsia="宋体" w:cs="Times New Roman"/>
                      <w:b w:val="0"/>
                      <w:i w:val="0"/>
                    </w:rPr>
                  </w:pPr>
                  <w:r>
                    <w:rPr>
                      <w:rFonts w:hint="default" w:ascii="宋体" w:hAnsi="宋体" w:eastAsia="宋体" w:cs="Times New Roman"/>
                      <w:b w:val="0"/>
                      <w:i w:val="0"/>
                    </w:rPr>
                    <w:t>名称</w:t>
                  </w:r>
                </w:p>
              </w:tc>
              <w:tc>
                <w:tcPr>
                  <w:tcW w:w="1667" w:type="pct"/>
                  <w:tcBorders>
                    <w:top w:val="single" w:color="auto" w:sz="12" w:space="0"/>
                    <w:left w:val="single" w:color="auto" w:sz="4" w:space="0"/>
                    <w:bottom w:val="single" w:color="auto" w:sz="4" w:space="0"/>
                    <w:right w:val="nil"/>
                  </w:tcBorders>
                  <w:vAlign w:val="center"/>
                </w:tcPr>
                <w:p w14:paraId="31FB51AB">
                  <w:pPr>
                    <w:spacing w:line="240" w:lineRule="atLeast"/>
                    <w:jc w:val="center"/>
                    <w:rPr>
                      <w:rFonts w:hint="default" w:ascii="Times New Roman" w:hAnsi="Times New Roman" w:eastAsia="宋体" w:cs="Times New Roman"/>
                      <w:b w:val="0"/>
                      <w:i w:val="0"/>
                    </w:rPr>
                  </w:pPr>
                  <w:r>
                    <w:rPr>
                      <w:rFonts w:hint="default" w:ascii="宋体" w:hAnsi="宋体" w:eastAsia="宋体" w:cs="Times New Roman"/>
                      <w:b w:val="0"/>
                      <w:i w:val="0"/>
                    </w:rPr>
                    <w:t>技术参数</w:t>
                  </w:r>
                </w:p>
              </w:tc>
            </w:tr>
            <w:tr w14:paraId="55AF89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7" w:type="pct"/>
                  <w:tcBorders>
                    <w:top w:val="single" w:color="auto" w:sz="4" w:space="0"/>
                    <w:left w:val="nil"/>
                    <w:bottom w:val="single" w:color="auto" w:sz="4" w:space="0"/>
                    <w:right w:val="single" w:color="auto" w:sz="4" w:space="0"/>
                  </w:tcBorders>
                  <w:vAlign w:val="center"/>
                </w:tcPr>
                <w:p w14:paraId="21DD6454">
                  <w:pPr>
                    <w:spacing w:line="240" w:lineRule="atLeast"/>
                    <w:jc w:val="center"/>
                    <w:rPr>
                      <w:rFonts w:eastAsia="Times New Roman"/>
                    </w:rPr>
                  </w:pPr>
                  <w:r>
                    <w:rPr>
                      <w:rFonts w:eastAsia="Times New Roman"/>
                    </w:rPr>
                    <w:t>1</w:t>
                  </w:r>
                </w:p>
              </w:tc>
              <w:tc>
                <w:tcPr>
                  <w:tcW w:w="1666" w:type="pct"/>
                  <w:tcBorders>
                    <w:top w:val="single" w:color="auto" w:sz="4" w:space="0"/>
                    <w:left w:val="single" w:color="auto" w:sz="4" w:space="0"/>
                    <w:bottom w:val="single" w:color="auto" w:sz="4" w:space="0"/>
                    <w:right w:val="single" w:color="auto" w:sz="4" w:space="0"/>
                  </w:tcBorders>
                  <w:vAlign w:val="center"/>
                </w:tcPr>
                <w:p w14:paraId="2B58C90F">
                  <w:pPr>
                    <w:spacing w:line="240" w:lineRule="atLeast"/>
                    <w:jc w:val="center"/>
                    <w:rPr>
                      <w:rFonts w:eastAsia="Times New Roman"/>
                    </w:rPr>
                  </w:pPr>
                  <w:r>
                    <w:rPr>
                      <w:rFonts w:hint="eastAsia" w:ascii="宋体" w:hAnsi="宋体" w:eastAsia="Times New Roman"/>
                    </w:rPr>
                    <w:t>标称容量</w:t>
                  </w:r>
                  <w:r>
                    <w:rPr>
                      <w:rFonts w:eastAsia="Times New Roman"/>
                    </w:rPr>
                    <w:t>(Ah)</w:t>
                  </w:r>
                </w:p>
              </w:tc>
              <w:tc>
                <w:tcPr>
                  <w:tcW w:w="1667" w:type="pct"/>
                  <w:tcBorders>
                    <w:top w:val="single" w:color="auto" w:sz="4" w:space="0"/>
                    <w:left w:val="single" w:color="auto" w:sz="4" w:space="0"/>
                    <w:bottom w:val="single" w:color="auto" w:sz="4" w:space="0"/>
                    <w:right w:val="nil"/>
                  </w:tcBorders>
                  <w:vAlign w:val="center"/>
                </w:tcPr>
                <w:p w14:paraId="0ABC017A">
                  <w:pPr>
                    <w:spacing w:line="240" w:lineRule="atLeast"/>
                    <w:jc w:val="center"/>
                    <w:rPr>
                      <w:rFonts w:eastAsia="Times New Roman"/>
                    </w:rPr>
                  </w:pPr>
                  <w:r>
                    <w:rPr>
                      <w:rFonts w:eastAsia="Times New Roman"/>
                      <w:spacing w:val="1"/>
                      <w:position w:val="1"/>
                    </w:rPr>
                    <w:t>314</w:t>
                  </w:r>
                </w:p>
              </w:tc>
            </w:tr>
            <w:tr w14:paraId="77DD97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7" w:type="pct"/>
                  <w:tcBorders>
                    <w:top w:val="single" w:color="auto" w:sz="4" w:space="0"/>
                    <w:left w:val="nil"/>
                    <w:bottom w:val="single" w:color="auto" w:sz="4" w:space="0"/>
                    <w:right w:val="single" w:color="auto" w:sz="4" w:space="0"/>
                  </w:tcBorders>
                  <w:vAlign w:val="center"/>
                </w:tcPr>
                <w:p w14:paraId="19AF7C03">
                  <w:pPr>
                    <w:spacing w:line="240" w:lineRule="atLeast"/>
                    <w:jc w:val="center"/>
                    <w:rPr>
                      <w:rFonts w:eastAsia="Times New Roman"/>
                    </w:rPr>
                  </w:pPr>
                  <w:r>
                    <w:rPr>
                      <w:rFonts w:eastAsia="Times New Roman"/>
                    </w:rPr>
                    <w:t>2</w:t>
                  </w:r>
                </w:p>
              </w:tc>
              <w:tc>
                <w:tcPr>
                  <w:tcW w:w="1666" w:type="pct"/>
                  <w:tcBorders>
                    <w:top w:val="single" w:color="auto" w:sz="4" w:space="0"/>
                    <w:left w:val="single" w:color="auto" w:sz="4" w:space="0"/>
                    <w:bottom w:val="single" w:color="auto" w:sz="4" w:space="0"/>
                    <w:right w:val="single" w:color="auto" w:sz="4" w:space="0"/>
                  </w:tcBorders>
                  <w:vAlign w:val="center"/>
                </w:tcPr>
                <w:p w14:paraId="57F9AD52">
                  <w:pPr>
                    <w:spacing w:line="240" w:lineRule="atLeast"/>
                    <w:jc w:val="center"/>
                    <w:rPr>
                      <w:rFonts w:eastAsia="Times New Roman"/>
                    </w:rPr>
                  </w:pPr>
                  <w:r>
                    <w:rPr>
                      <w:rFonts w:hint="eastAsia" w:ascii="宋体" w:hAnsi="宋体" w:eastAsia="Times New Roman"/>
                    </w:rPr>
                    <w:t>标称电压</w:t>
                  </w:r>
                  <w:r>
                    <w:rPr>
                      <w:rFonts w:eastAsia="Times New Roman"/>
                    </w:rPr>
                    <w:t>(V)</w:t>
                  </w:r>
                </w:p>
              </w:tc>
              <w:tc>
                <w:tcPr>
                  <w:tcW w:w="1667" w:type="pct"/>
                  <w:tcBorders>
                    <w:top w:val="single" w:color="auto" w:sz="4" w:space="0"/>
                    <w:left w:val="single" w:color="auto" w:sz="4" w:space="0"/>
                    <w:bottom w:val="single" w:color="auto" w:sz="4" w:space="0"/>
                    <w:right w:val="nil"/>
                  </w:tcBorders>
                  <w:vAlign w:val="center"/>
                </w:tcPr>
                <w:p w14:paraId="03BAF78C">
                  <w:pPr>
                    <w:spacing w:line="240" w:lineRule="atLeast"/>
                    <w:jc w:val="center"/>
                    <w:rPr>
                      <w:rFonts w:eastAsia="Times New Roman"/>
                    </w:rPr>
                  </w:pPr>
                  <w:r>
                    <w:rPr>
                      <w:rFonts w:eastAsia="Times New Roman"/>
                      <w:position w:val="1"/>
                    </w:rPr>
                    <w:t>3.2</w:t>
                  </w:r>
                </w:p>
              </w:tc>
            </w:tr>
          </w:tbl>
          <w:p w14:paraId="335ED3BF">
            <w:pPr>
              <w:spacing w:line="360" w:lineRule="auto"/>
              <w:ind w:firstLine="482" w:firstLineChars="200"/>
              <w:rPr>
                <w:sz w:val="24"/>
              </w:rPr>
            </w:pPr>
            <w:r>
              <w:rPr>
                <w:rFonts w:hint="eastAsia" w:ascii="宋体" w:hAnsi="宋体"/>
                <w:b/>
                <w:bCs/>
                <w:sz w:val="24"/>
              </w:rPr>
              <w:t>电池预制舱的效果图如下</w:t>
            </w:r>
          </w:p>
          <w:p w14:paraId="1605CFA5">
            <w:pPr>
              <w:pStyle w:val="149"/>
              <w:rPr>
                <w:b/>
                <w:sz w:val="24"/>
                <w:szCs w:val="24"/>
              </w:rPr>
            </w:pPr>
            <w:r>
              <w:drawing>
                <wp:inline distT="0" distB="0" distL="0" distR="0">
                  <wp:extent cx="4878070" cy="3119755"/>
                  <wp:effectExtent l="0" t="0" r="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4887627" cy="3126136"/>
                          </a:xfrm>
                          <a:prstGeom prst="rect">
                            <a:avLst/>
                          </a:prstGeom>
                        </pic:spPr>
                      </pic:pic>
                    </a:graphicData>
                  </a:graphic>
                </wp:inline>
              </w:drawing>
            </w:r>
            <w:r>
              <w:rPr>
                <w:rFonts w:hint="eastAsia" w:ascii="宋体" w:hAnsi="宋体"/>
                <w:b/>
                <w:sz w:val="24"/>
                <w:szCs w:val="24"/>
              </w:rPr>
              <w:t>图</w:t>
            </w:r>
            <w:r>
              <w:rPr>
                <w:rFonts w:hint="eastAsia"/>
                <w:b/>
                <w:sz w:val="24"/>
                <w:szCs w:val="24"/>
              </w:rPr>
              <w:t>2</w:t>
            </w:r>
            <w:r>
              <w:rPr>
                <w:b/>
                <w:sz w:val="24"/>
                <w:szCs w:val="24"/>
              </w:rPr>
              <w:t>-2</w:t>
            </w:r>
            <w:r>
              <w:rPr>
                <w:rFonts w:hint="eastAsia" w:ascii="宋体" w:hAnsi="宋体"/>
                <w:b/>
                <w:bCs/>
                <w:sz w:val="24"/>
                <w:szCs w:val="24"/>
              </w:rPr>
              <w:t>电池预制舱的效果图</w:t>
            </w:r>
          </w:p>
          <w:p w14:paraId="19CC54FA">
            <w:pPr>
              <w:pStyle w:val="10"/>
              <w:ind w:firstLine="482"/>
              <w:rPr>
                <w:b/>
                <w:bCs/>
              </w:rPr>
            </w:pPr>
            <w:r>
              <w:rPr>
                <w:rFonts w:hint="eastAsia"/>
                <w:b/>
                <w:bCs/>
              </w:rPr>
              <w:t>8、劳动定员及工作制度</w:t>
            </w:r>
          </w:p>
          <w:p w14:paraId="0CE4B37C">
            <w:pPr>
              <w:pStyle w:val="10"/>
            </w:pPr>
            <w:r>
              <w:rPr>
                <w:rFonts w:hint="eastAsia"/>
              </w:rPr>
              <w:t>本项目运营期拟配置运行维护人员</w:t>
            </w:r>
            <w:r>
              <w:t>10</w:t>
            </w:r>
            <w:r>
              <w:rPr>
                <w:rFonts w:hint="eastAsia"/>
              </w:rPr>
              <w:t>人，年工作</w:t>
            </w:r>
            <w:r>
              <w:t>365</w:t>
            </w:r>
            <w:r>
              <w:rPr>
                <w:rFonts w:hint="eastAsia"/>
              </w:rPr>
              <w:t>天，实行三班</w:t>
            </w:r>
            <w:r>
              <w:t>24h</w:t>
            </w:r>
            <w:r>
              <w:rPr>
                <w:rFonts w:hint="eastAsia"/>
              </w:rPr>
              <w:t>工作制。</w:t>
            </w:r>
          </w:p>
          <w:p w14:paraId="521A1AD9">
            <w:pPr>
              <w:pStyle w:val="10"/>
              <w:ind w:firstLine="479" w:firstLineChars="199"/>
              <w:rPr>
                <w:b/>
                <w:bCs/>
              </w:rPr>
            </w:pPr>
            <w:r>
              <w:rPr>
                <w:rFonts w:hint="eastAsia"/>
                <w:b/>
                <w:bCs/>
              </w:rPr>
              <w:t>9、公用工程</w:t>
            </w:r>
          </w:p>
          <w:p w14:paraId="7708883A">
            <w:pPr>
              <w:pStyle w:val="10"/>
            </w:pPr>
            <w:r>
              <w:rPr>
                <w:rFonts w:hint="eastAsia"/>
              </w:rPr>
              <w:t>（</w:t>
            </w:r>
            <w:r>
              <w:t>1</w:t>
            </w:r>
            <w:r>
              <w:rPr>
                <w:rFonts w:hint="eastAsia"/>
              </w:rPr>
              <w:t>）供电</w:t>
            </w:r>
          </w:p>
          <w:p w14:paraId="064188DD">
            <w:pPr>
              <w:pStyle w:val="10"/>
            </w:pPr>
            <w:r>
              <w:rPr>
                <w:rFonts w:hint="eastAsia"/>
              </w:rPr>
              <w:t>储能场区站用电源采用辅助变压器自供电</w:t>
            </w:r>
            <w:r>
              <w:t>+</w:t>
            </w:r>
            <w:r>
              <w:rPr>
                <w:rFonts w:hint="eastAsia"/>
              </w:rPr>
              <w:t>储能区备用变供电方式。当电网失电时，电池单元的二级负荷及</w:t>
            </w:r>
            <w:r>
              <w:t>PCS</w:t>
            </w:r>
            <w:r>
              <w:rPr>
                <w:rFonts w:hint="eastAsia"/>
              </w:rPr>
              <w:t>一体机的</w:t>
            </w:r>
            <w:r>
              <w:t>UPS</w:t>
            </w:r>
            <w:r>
              <w:rPr>
                <w:rFonts w:hint="eastAsia"/>
              </w:rPr>
              <w:t>的供电电源取自储能区备用变。升压站设</w:t>
            </w:r>
            <w:r>
              <w:t>1</w:t>
            </w:r>
            <w:r>
              <w:rPr>
                <w:rFonts w:hint="eastAsia"/>
              </w:rPr>
              <w:t>台站用变，另一路电源由站外</w:t>
            </w:r>
            <w:r>
              <w:t>10kV</w:t>
            </w:r>
            <w:r>
              <w:rPr>
                <w:rFonts w:hint="eastAsia"/>
              </w:rPr>
              <w:t>线路引接，施工时作为临时施工电源。</w:t>
            </w:r>
          </w:p>
          <w:p w14:paraId="47212E09">
            <w:pPr>
              <w:pStyle w:val="10"/>
            </w:pPr>
            <w:r>
              <w:rPr>
                <w:rFonts w:hint="eastAsia"/>
              </w:rPr>
              <w:t>（</w:t>
            </w:r>
            <w:r>
              <w:t>2</w:t>
            </w:r>
            <w:r>
              <w:rPr>
                <w:rFonts w:hint="eastAsia"/>
              </w:rPr>
              <w:t>）生活给排水</w:t>
            </w:r>
          </w:p>
          <w:p w14:paraId="7100E0F8">
            <w:pPr>
              <w:spacing w:line="360" w:lineRule="auto"/>
              <w:ind w:firstLine="480" w:firstLineChars="200"/>
              <w:rPr>
                <w:rFonts w:eastAsiaTheme="minorEastAsia"/>
                <w:sz w:val="24"/>
              </w:rPr>
            </w:pPr>
            <w:r>
              <w:rPr>
                <w:rFonts w:eastAsiaTheme="minorEastAsia"/>
                <w:sz w:val="24"/>
              </w:rPr>
              <w:t>1）施工期</w:t>
            </w:r>
          </w:p>
          <w:p w14:paraId="0ACD5C85">
            <w:pPr>
              <w:pStyle w:val="2"/>
              <w:spacing w:before="0" w:after="0" w:line="360" w:lineRule="auto"/>
              <w:ind w:left="0" w:firstLine="480" w:firstLineChars="200"/>
              <w:rPr>
                <w:rFonts w:eastAsiaTheme="minorEastAsia"/>
                <w:b w:val="0"/>
                <w:color w:val="auto"/>
                <w:sz w:val="24"/>
                <w:szCs w:val="24"/>
              </w:rPr>
            </w:pPr>
            <w:r>
              <w:rPr>
                <w:rFonts w:eastAsiaTheme="minorEastAsia"/>
                <w:b w:val="0"/>
                <w:color w:val="auto"/>
                <w:sz w:val="24"/>
                <w:szCs w:val="24"/>
              </w:rPr>
              <w:t>施工期平均每天设施工人员30人，根据广东省《用水定额第3部分：生活》（DB44/T1461.3-2021），惠州市生活用水定额取中等城镇150L/(人.日)，废水排放系数取0.8，则产生生活污水3.6t/d。项目施工期人员不在施工场地内食宿，施工人员的食宿依托附近出租房解决，生活污水经三级化粪池预处理达到广东省《水污染物排放限值》(DB44/26-2001)第二时段三级标准后排入市政污水管网，排入博罗县石湾镇大牛垒生活污水处理厂处理后达标排放</w:t>
            </w:r>
            <w:r>
              <w:rPr>
                <w:rFonts w:hint="eastAsia" w:eastAsiaTheme="minorEastAsia"/>
                <w:b w:val="0"/>
                <w:color w:val="auto"/>
                <w:sz w:val="24"/>
                <w:szCs w:val="24"/>
              </w:rPr>
              <w:t>。</w:t>
            </w:r>
          </w:p>
          <w:p w14:paraId="3A6A45E5">
            <w:pPr>
              <w:spacing w:line="360" w:lineRule="auto"/>
              <w:ind w:firstLine="480" w:firstLineChars="200"/>
              <w:rPr>
                <w:rFonts w:eastAsiaTheme="minorEastAsia"/>
                <w:sz w:val="24"/>
              </w:rPr>
            </w:pPr>
            <w:r>
              <w:rPr>
                <w:rFonts w:eastAsiaTheme="minorEastAsia"/>
                <w:sz w:val="24"/>
              </w:rPr>
              <w:t>2）</w:t>
            </w:r>
            <w:r>
              <w:rPr>
                <w:rFonts w:hint="eastAsia" w:eastAsiaTheme="minorEastAsia"/>
                <w:sz w:val="24"/>
              </w:rPr>
              <w:t>运营</w:t>
            </w:r>
            <w:r>
              <w:rPr>
                <w:rFonts w:eastAsiaTheme="minorEastAsia"/>
                <w:sz w:val="24"/>
              </w:rPr>
              <w:t>期</w:t>
            </w:r>
          </w:p>
          <w:p w14:paraId="40D0DF82">
            <w:pPr>
              <w:pStyle w:val="10"/>
            </w:pPr>
            <w:r>
              <w:rPr>
                <w:rFonts w:hint="eastAsia"/>
              </w:rPr>
              <w:t>本项目运营期拟配置运行维护人员</w:t>
            </w:r>
            <w:r>
              <w:t>10</w:t>
            </w:r>
            <w:r>
              <w:rPr>
                <w:rFonts w:hint="eastAsia"/>
              </w:rPr>
              <w:t>人，不</w:t>
            </w:r>
            <w:r>
              <w:rPr>
                <w:rFonts w:hint="eastAsia"/>
                <w:bCs/>
                <w:szCs w:val="24"/>
              </w:rPr>
              <w:t>在项目内食宿</w:t>
            </w:r>
            <w:r>
              <w:rPr>
                <w:rFonts w:hint="eastAsia"/>
              </w:rPr>
              <w:t>，根据广东省《用水定额第</w:t>
            </w:r>
            <w:r>
              <w:t>3</w:t>
            </w:r>
            <w:r>
              <w:rPr>
                <w:rFonts w:hint="eastAsia"/>
              </w:rPr>
              <w:t>部分：生活》（</w:t>
            </w:r>
            <w:r>
              <w:t>DB44/T1461.3-2021</w:t>
            </w:r>
            <w:r>
              <w:rPr>
                <w:rFonts w:hint="eastAsia"/>
              </w:rPr>
              <w:t>），办公楼无食堂和浴室生活用水定额按先进值</w:t>
            </w:r>
            <w:r>
              <w:t>10m</w:t>
            </w:r>
            <w:r>
              <w:rPr>
                <w:vertAlign w:val="superscript"/>
              </w:rPr>
              <w:t>3</w:t>
            </w:r>
            <w:r>
              <w:t>/</w:t>
            </w:r>
            <w:r>
              <w:rPr>
                <w:rFonts w:hint="eastAsia"/>
              </w:rPr>
              <w:t>人</w:t>
            </w:r>
            <w:r>
              <w:t>a</w:t>
            </w:r>
            <w:r>
              <w:rPr>
                <w:rFonts w:hint="eastAsia"/>
              </w:rPr>
              <w:t>计算。计算得员工办公生活用水量为</w:t>
            </w:r>
            <w:r>
              <w:t>100</w:t>
            </w:r>
            <w:r>
              <w:rPr>
                <w:bCs/>
                <w:szCs w:val="24"/>
              </w:rPr>
              <w:t>t/a</w:t>
            </w:r>
            <w:r>
              <w:rPr>
                <w:rFonts w:hint="eastAsia"/>
              </w:rPr>
              <w:t>（</w:t>
            </w:r>
            <w:r>
              <w:t>0.274t/d</w:t>
            </w:r>
            <w:r>
              <w:rPr>
                <w:rFonts w:hint="eastAsia"/>
              </w:rPr>
              <w:t>），</w:t>
            </w:r>
            <w:r>
              <w:rPr>
                <w:rFonts w:hint="eastAsia"/>
                <w:bCs/>
                <w:szCs w:val="24"/>
              </w:rPr>
              <w:t>排污系数按</w:t>
            </w:r>
            <w:r>
              <w:rPr>
                <w:bCs/>
                <w:szCs w:val="24"/>
              </w:rPr>
              <w:t>0.8</w:t>
            </w:r>
            <w:r>
              <w:rPr>
                <w:rFonts w:hint="eastAsia"/>
                <w:bCs/>
                <w:szCs w:val="24"/>
              </w:rPr>
              <w:t>计，则生活污水的排放量约为</w:t>
            </w:r>
            <w:r>
              <w:rPr>
                <w:bCs/>
                <w:szCs w:val="24"/>
              </w:rPr>
              <w:t>80t/a</w:t>
            </w:r>
            <w:r>
              <w:rPr>
                <w:rFonts w:hint="eastAsia"/>
                <w:bCs/>
                <w:szCs w:val="24"/>
              </w:rPr>
              <w:t>（即</w:t>
            </w:r>
            <w:r>
              <w:rPr>
                <w:bCs/>
                <w:szCs w:val="24"/>
              </w:rPr>
              <w:t>0.219t/d</w:t>
            </w:r>
            <w:r>
              <w:rPr>
                <w:rFonts w:hint="eastAsia"/>
                <w:bCs/>
                <w:szCs w:val="24"/>
              </w:rPr>
              <w:t>）。</w:t>
            </w:r>
            <w:r>
              <w:rPr>
                <w:rFonts w:hint="eastAsia"/>
              </w:rPr>
              <w:t>项目员工生活污水</w:t>
            </w:r>
            <w:r>
              <w:rPr>
                <w:rFonts w:hint="eastAsia"/>
                <w:szCs w:val="24"/>
              </w:rPr>
              <w:t>进入三级化粪池预处理后</w:t>
            </w:r>
            <w:r>
              <w:rPr>
                <w:rFonts w:hint="eastAsia"/>
                <w:lang w:bidi="ar"/>
              </w:rPr>
              <w:t>通过市政污水管网</w:t>
            </w:r>
            <w:r>
              <w:rPr>
                <w:rFonts w:hint="eastAsia"/>
              </w:rPr>
              <w:t>排入博罗县石湾镇大牛垒生活污水处理厂处理后达标排放。</w:t>
            </w:r>
          </w:p>
          <w:p w14:paraId="29FD6EA2">
            <w:pPr>
              <w:pStyle w:val="10"/>
              <w:ind w:firstLine="482"/>
              <w:rPr>
                <w:b/>
                <w:bCs/>
              </w:rPr>
            </w:pPr>
            <w:r>
              <w:rPr>
                <w:b/>
                <w:bCs/>
              </w:rPr>
              <w:t>10</w:t>
            </w:r>
            <w:r>
              <w:rPr>
                <w:rFonts w:hint="eastAsia"/>
                <w:b/>
                <w:bCs/>
              </w:rPr>
              <w:t>、工程占地及移民安置</w:t>
            </w:r>
          </w:p>
          <w:p w14:paraId="74F350D4">
            <w:pPr>
              <w:widowControl/>
              <w:spacing w:line="360" w:lineRule="auto"/>
              <w:ind w:firstLine="480" w:firstLineChars="200"/>
            </w:pPr>
            <w:r>
              <w:rPr>
                <w:kern w:val="0"/>
                <w:sz w:val="24"/>
              </w:rPr>
              <w:t>本项目总占地面积为18406m²，全部为永久占地，不涉及移民安置场地占地类型为草地及其他土地（裸土地）等。</w:t>
            </w:r>
          </w:p>
        </w:tc>
      </w:tr>
      <w:tr w14:paraId="1F2A92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49" w:type="pct"/>
            <w:vAlign w:val="center"/>
          </w:tcPr>
          <w:p w14:paraId="73348060">
            <w:pPr>
              <w:pStyle w:val="27"/>
              <w:adjustRightInd w:val="0"/>
              <w:snapToGrid w:val="0"/>
              <w:spacing w:before="0" w:beforeAutospacing="0" w:after="0" w:afterAutospacing="0"/>
              <w:jc w:val="center"/>
              <w:rPr>
                <w:rFonts w:ascii="Times New Roman" w:hAnsi="Times New Roman"/>
                <w:szCs w:val="24"/>
              </w:rPr>
            </w:pPr>
            <w:r>
              <w:rPr>
                <w:rFonts w:hint="eastAsia" w:ascii="Times New Roman" w:hAnsi="Times New Roman"/>
                <w:szCs w:val="24"/>
              </w:rPr>
              <w:t>总平面及现场布置</w:t>
            </w:r>
          </w:p>
        </w:tc>
        <w:tc>
          <w:tcPr>
            <w:tcW w:w="4751" w:type="pct"/>
          </w:tcPr>
          <w:p w14:paraId="24C86D72">
            <w:pPr>
              <w:pStyle w:val="10"/>
              <w:ind w:firstLine="482"/>
              <w:rPr>
                <w:b/>
                <w:bCs/>
              </w:rPr>
            </w:pPr>
            <w:r>
              <w:rPr>
                <w:b/>
                <w:bCs/>
              </w:rPr>
              <w:t>1</w:t>
            </w:r>
            <w:r>
              <w:rPr>
                <w:rFonts w:hint="eastAsia"/>
                <w:b/>
                <w:bCs/>
              </w:rPr>
              <w:t>、项目总平面布置</w:t>
            </w:r>
          </w:p>
          <w:p w14:paraId="5F642EAA">
            <w:pPr>
              <w:pStyle w:val="10"/>
              <w:ind w:firstLine="482"/>
              <w:rPr>
                <w:b/>
                <w:bCs/>
              </w:rPr>
            </w:pPr>
            <w:r>
              <w:rPr>
                <w:rFonts w:hint="eastAsia"/>
                <w:b/>
                <w:bCs/>
              </w:rPr>
              <w:t>（1）施工场地总平面布置</w:t>
            </w:r>
          </w:p>
          <w:p w14:paraId="29135039">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本工程占地均为永久占地，施工期占地均布置于地块内西北侧空地内，不涉及新增临时占地。</w:t>
            </w:r>
          </w:p>
          <w:p w14:paraId="27BC338E">
            <w:pPr>
              <w:widowControl/>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1）施工出入口</w:t>
            </w:r>
          </w:p>
          <w:p w14:paraId="7CF01D7E">
            <w:pPr>
              <w:widowControl/>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本项目计划布置1个施工出入口，位于地块西侧，衔接西侧已建市政道路。</w:t>
            </w:r>
          </w:p>
          <w:p w14:paraId="153BE2D8">
            <w:pPr>
              <w:widowControl/>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2）施工围蔽</w:t>
            </w:r>
          </w:p>
          <w:p w14:paraId="1955F3FC">
            <w:pPr>
              <w:widowControl/>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项目施工期间建设单位计划在项目建设区四周修建施工围蔽。</w:t>
            </w:r>
          </w:p>
          <w:p w14:paraId="1219A7CA">
            <w:pPr>
              <w:widowControl/>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3）施工营地</w:t>
            </w:r>
          </w:p>
          <w:p w14:paraId="77B4A198">
            <w:pPr>
              <w:widowControl/>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本项目施工营地计划布置于地块内西北侧空地内，不涉及新增临时占地，施工后期，工区拆除，并根据规划建设成为硬化地坪。</w:t>
            </w:r>
          </w:p>
          <w:p w14:paraId="5B8E87AA">
            <w:pPr>
              <w:widowControl/>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4）临时堆土区</w:t>
            </w:r>
          </w:p>
          <w:p w14:paraId="75DC212F">
            <w:pPr>
              <w:widowControl/>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项目场地主要以回填为主，配电装置及建构筑物基础工程、管线工程采用即挖即填的方式，多余土方直接区内周边摊平；消防泵房、消防水箱占地较小，且施工工期较短，除少量用于自身回填土方采用苫盖防护外，其余开挖多余土方直接区内周边摊平，因此不另设本区。</w:t>
            </w:r>
          </w:p>
          <w:p w14:paraId="6AB72736">
            <w:pPr>
              <w:widowControl/>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5）施工临时排水</w:t>
            </w:r>
          </w:p>
          <w:p w14:paraId="45E2F9BE">
            <w:pPr>
              <w:widowControl/>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施工期由于地表扰动，原始地形的渗透功能和排水功能遭到破坏。场地范围内以及周边区域现状排水均为依地势自然排水。项目区建设过程中通过本方案新增的临时排水及沉沙等水土保持措施，项目区施工期地表汇水经沉沙池沉淀后全部排入西侧市政道路雨水管网，最终排出项目区。</w:t>
            </w:r>
          </w:p>
          <w:p w14:paraId="275FE26F">
            <w:pPr>
              <w:pStyle w:val="10"/>
              <w:ind w:firstLine="482"/>
              <w:rPr>
                <w:b/>
                <w:bCs/>
              </w:rPr>
            </w:pPr>
            <w:r>
              <w:rPr>
                <w:b/>
                <w:bCs/>
              </w:rPr>
              <w:t>2</w:t>
            </w:r>
            <w:r>
              <w:rPr>
                <w:rFonts w:hint="eastAsia"/>
                <w:b/>
                <w:bCs/>
              </w:rPr>
              <w:t>、储能电站平面布置</w:t>
            </w:r>
          </w:p>
          <w:p w14:paraId="74136599">
            <w:pPr>
              <w:spacing w:line="360" w:lineRule="auto"/>
              <w:ind w:firstLine="480" w:firstLineChars="200"/>
              <w:rPr>
                <w:sz w:val="24"/>
              </w:rPr>
            </w:pPr>
            <w:bookmarkStart w:id="6" w:name="OLE_LINK58"/>
            <w:r>
              <w:rPr>
                <w:rFonts w:hint="eastAsia"/>
                <w:sz w:val="24"/>
              </w:rPr>
              <w:t>总平面布置结合站区的总体规划及工艺要求，在满足自然条件和工程特点的前提下，充分地考虑了安全、防火、卫生、运行检修、交通运输、环境保护等各方面的因素，根据系统规划出线方向及工艺专业的要求，并考虑到进站道路的位置等因素，与电气专业配合，进行了总平面布置如下：</w:t>
            </w:r>
          </w:p>
          <w:p w14:paraId="7547502B">
            <w:pPr>
              <w:spacing w:line="360" w:lineRule="auto"/>
              <w:ind w:firstLine="480" w:firstLineChars="200"/>
              <w:rPr>
                <w:sz w:val="24"/>
              </w:rPr>
            </w:pPr>
            <w:r>
              <w:rPr>
                <w:rFonts w:hint="eastAsia"/>
                <w:sz w:val="24"/>
              </w:rPr>
              <w:t>项目地块分为储能区和升压站以及西北侧为预留用地。储能区位于地块东侧，</w:t>
            </w:r>
            <w:r>
              <w:rPr>
                <w:sz w:val="24"/>
              </w:rPr>
              <w:t>220kV</w:t>
            </w:r>
            <w:r>
              <w:rPr>
                <w:rFonts w:hint="eastAsia"/>
                <w:sz w:val="24"/>
              </w:rPr>
              <w:t>升压站位于地块西南侧。地块西侧设置了储能电站管理站区进出入口</w:t>
            </w:r>
            <w:r>
              <w:rPr>
                <w:sz w:val="24"/>
              </w:rPr>
              <w:t>1</w:t>
            </w:r>
            <w:r>
              <w:rPr>
                <w:rFonts w:hint="eastAsia"/>
                <w:sz w:val="24"/>
              </w:rPr>
              <w:t>个，管理站区中心区域设置储能设备区域进出入口。站区围墙采用砖砌围墙，高</w:t>
            </w:r>
            <w:r>
              <w:rPr>
                <w:sz w:val="24"/>
              </w:rPr>
              <w:t>2.3m</w:t>
            </w:r>
            <w:r>
              <w:rPr>
                <w:rFonts w:hint="eastAsia"/>
                <w:sz w:val="24"/>
              </w:rPr>
              <w:t>。主变及</w:t>
            </w:r>
            <w:r>
              <w:rPr>
                <w:sz w:val="24"/>
              </w:rPr>
              <w:t>35kV</w:t>
            </w:r>
            <w:r>
              <w:rPr>
                <w:rFonts w:hint="eastAsia"/>
                <w:sz w:val="24"/>
              </w:rPr>
              <w:t>设备布置在站区中央，事故油池布置于</w:t>
            </w:r>
            <w:r>
              <w:rPr>
                <w:sz w:val="24"/>
              </w:rPr>
              <w:t>GIS</w:t>
            </w:r>
            <w:r>
              <w:rPr>
                <w:rFonts w:hint="eastAsia"/>
                <w:sz w:val="24"/>
              </w:rPr>
              <w:t>场地。站用变、接地变小电阻布置于配电室内。变压器西侧布置</w:t>
            </w:r>
            <w:r>
              <w:rPr>
                <w:sz w:val="24"/>
              </w:rPr>
              <w:t>GIS</w:t>
            </w:r>
            <w:r>
              <w:rPr>
                <w:rFonts w:hint="eastAsia"/>
                <w:sz w:val="24"/>
              </w:rPr>
              <w:t>设备，朝向出线侧。变压器东侧区域布置储能系统。整站分区分明，设备与运维生活区间采用隔离围栏，保证运维人员的安全。</w:t>
            </w:r>
          </w:p>
          <w:bookmarkEnd w:id="6"/>
          <w:p w14:paraId="21B0CE3B">
            <w:pPr>
              <w:spacing w:line="360" w:lineRule="auto"/>
              <w:ind w:firstLine="480" w:firstLineChars="200"/>
              <w:rPr>
                <w:sz w:val="24"/>
              </w:rPr>
            </w:pPr>
            <w:r>
              <w:rPr>
                <w:sz w:val="24"/>
              </w:rPr>
              <w:t>220kV</w:t>
            </w:r>
            <w:r>
              <w:rPr>
                <w:rFonts w:hint="eastAsia"/>
                <w:sz w:val="24"/>
              </w:rPr>
              <w:t>配电装置：</w:t>
            </w:r>
            <w:r>
              <w:rPr>
                <w:sz w:val="24"/>
              </w:rPr>
              <w:t>220kV</w:t>
            </w:r>
            <w:r>
              <w:rPr>
                <w:rFonts w:hint="eastAsia"/>
                <w:sz w:val="24"/>
              </w:rPr>
              <w:t>配电装置采用户外</w:t>
            </w:r>
            <w:r>
              <w:rPr>
                <w:sz w:val="24"/>
              </w:rPr>
              <w:t>GIS</w:t>
            </w:r>
            <w:r>
              <w:rPr>
                <w:rFonts w:hint="eastAsia"/>
                <w:sz w:val="24"/>
              </w:rPr>
              <w:t>，架空出线，布置在站区主变的北侧。主变压器架空软导线进线方式。</w:t>
            </w:r>
          </w:p>
          <w:p w14:paraId="1DDF05A5">
            <w:pPr>
              <w:spacing w:line="360" w:lineRule="auto"/>
              <w:ind w:firstLine="480" w:firstLineChars="200"/>
              <w:rPr>
                <w:sz w:val="24"/>
              </w:rPr>
            </w:pPr>
            <w:r>
              <w:rPr>
                <w:rFonts w:hint="eastAsia"/>
                <w:sz w:val="24"/>
              </w:rPr>
              <w:t>主变压器：主变布置在站区西侧，变压器</w:t>
            </w:r>
            <w:r>
              <w:rPr>
                <w:sz w:val="24"/>
              </w:rPr>
              <w:t>220kV</w:t>
            </w:r>
            <w:r>
              <w:rPr>
                <w:rFonts w:hint="eastAsia"/>
                <w:sz w:val="24"/>
              </w:rPr>
              <w:t>进线采用架空线，低压侧靠近</w:t>
            </w:r>
            <w:r>
              <w:rPr>
                <w:sz w:val="24"/>
              </w:rPr>
              <w:t>35kV</w:t>
            </w:r>
            <w:r>
              <w:rPr>
                <w:rFonts w:hint="eastAsia"/>
                <w:sz w:val="24"/>
              </w:rPr>
              <w:t>配电室，与开关柜通过绝缘母线连接。中性点成套装置安装在主变基础油池附近。</w:t>
            </w:r>
          </w:p>
          <w:p w14:paraId="72305EED">
            <w:pPr>
              <w:spacing w:line="360" w:lineRule="auto"/>
              <w:ind w:firstLine="480" w:firstLineChars="200"/>
              <w:rPr>
                <w:sz w:val="24"/>
              </w:rPr>
            </w:pPr>
            <w:r>
              <w:rPr>
                <w:sz w:val="24"/>
              </w:rPr>
              <w:t>35kV</w:t>
            </w:r>
            <w:r>
              <w:rPr>
                <w:rFonts w:hint="eastAsia"/>
                <w:sz w:val="24"/>
              </w:rPr>
              <w:t>配电装置：</w:t>
            </w:r>
            <w:r>
              <w:rPr>
                <w:sz w:val="24"/>
              </w:rPr>
              <w:t>35kV</w:t>
            </w:r>
            <w:r>
              <w:rPr>
                <w:rFonts w:hint="eastAsia"/>
                <w:sz w:val="24"/>
              </w:rPr>
              <w:t>配电装置采用户内交流金属铠装移开式开关柜，单列布置在</w:t>
            </w:r>
            <w:r>
              <w:rPr>
                <w:sz w:val="24"/>
              </w:rPr>
              <w:t>35kV</w:t>
            </w:r>
            <w:r>
              <w:rPr>
                <w:rFonts w:hint="eastAsia"/>
                <w:sz w:val="24"/>
              </w:rPr>
              <w:t>配电室内。</w:t>
            </w:r>
            <w:r>
              <w:rPr>
                <w:sz w:val="24"/>
              </w:rPr>
              <w:t>35kV</w:t>
            </w:r>
            <w:r>
              <w:rPr>
                <w:rFonts w:hint="eastAsia"/>
                <w:sz w:val="24"/>
              </w:rPr>
              <w:t>动态无功补偿装置</w:t>
            </w:r>
            <w:r>
              <w:rPr>
                <w:sz w:val="24"/>
              </w:rPr>
              <w:t>(SVG)</w:t>
            </w:r>
            <w:r>
              <w:rPr>
                <w:rFonts w:hint="eastAsia"/>
                <w:sz w:val="24"/>
              </w:rPr>
              <w:t>集装箱水冷式，本期</w:t>
            </w:r>
            <w:r>
              <w:rPr>
                <w:sz w:val="24"/>
              </w:rPr>
              <w:t>2</w:t>
            </w:r>
            <w:r>
              <w:rPr>
                <w:rFonts w:hint="eastAsia"/>
                <w:sz w:val="24"/>
              </w:rPr>
              <w:t>套动态无功补偿装置</w:t>
            </w:r>
            <w:r>
              <w:rPr>
                <w:sz w:val="24"/>
              </w:rPr>
              <w:t>(SVG)</w:t>
            </w:r>
            <w:r>
              <w:rPr>
                <w:rFonts w:hint="eastAsia"/>
                <w:sz w:val="24"/>
              </w:rPr>
              <w:t>容量为±</w:t>
            </w:r>
            <w:r>
              <w:rPr>
                <w:sz w:val="24"/>
              </w:rPr>
              <w:t>45Mvar</w:t>
            </w:r>
            <w:r>
              <w:rPr>
                <w:rFonts w:hint="eastAsia"/>
                <w:sz w:val="24"/>
              </w:rPr>
              <w:t>。</w:t>
            </w:r>
            <w:r>
              <w:rPr>
                <w:sz w:val="24"/>
              </w:rPr>
              <w:t>35kV</w:t>
            </w:r>
            <w:r>
              <w:rPr>
                <w:rFonts w:hint="eastAsia"/>
                <w:sz w:val="24"/>
              </w:rPr>
              <w:t>集电线路采用电缆出线，设进站电缆沟方便集电线路电缆敷设。</w:t>
            </w:r>
          </w:p>
          <w:p w14:paraId="06E5F2CA">
            <w:pPr>
              <w:spacing w:line="360" w:lineRule="auto"/>
              <w:ind w:firstLine="480" w:firstLineChars="200"/>
              <w:rPr>
                <w:sz w:val="24"/>
              </w:rPr>
            </w:pPr>
            <w:bookmarkStart w:id="7" w:name="OLE_LINK20"/>
            <w:r>
              <w:rPr>
                <w:rFonts w:hint="eastAsia"/>
                <w:sz w:val="24"/>
              </w:rPr>
              <w:t>综合楼：</w:t>
            </w:r>
            <w:bookmarkEnd w:id="7"/>
            <w:r>
              <w:rPr>
                <w:rFonts w:hint="eastAsia"/>
                <w:sz w:val="24"/>
              </w:rPr>
              <w:t>综合楼为单层框架结构，层高为</w:t>
            </w:r>
            <w:r>
              <w:rPr>
                <w:sz w:val="24"/>
              </w:rPr>
              <w:t>3.6m</w:t>
            </w:r>
            <w:r>
              <w:rPr>
                <w:rFonts w:hint="eastAsia"/>
                <w:sz w:val="24"/>
              </w:rPr>
              <w:t>，建筑面积</w:t>
            </w:r>
            <w:r>
              <w:rPr>
                <w:sz w:val="24"/>
              </w:rPr>
              <w:t>124.6m</w:t>
            </w:r>
            <w:r>
              <w:rPr>
                <w:sz w:val="24"/>
                <w:vertAlign w:val="superscript"/>
              </w:rPr>
              <w:t>2</w:t>
            </w:r>
            <w:r>
              <w:rPr>
                <w:rFonts w:hint="eastAsia"/>
                <w:sz w:val="24"/>
              </w:rPr>
              <w:t>。布置有办公室、会议室、资料室、工具间、备用室和卫生间等。</w:t>
            </w:r>
          </w:p>
          <w:p w14:paraId="0077A4F8">
            <w:pPr>
              <w:spacing w:line="360" w:lineRule="auto"/>
              <w:ind w:firstLine="480" w:firstLineChars="200"/>
              <w:rPr>
                <w:sz w:val="24"/>
              </w:rPr>
            </w:pPr>
            <w:r>
              <w:rPr>
                <w:sz w:val="24"/>
              </w:rPr>
              <w:t>35kV</w:t>
            </w:r>
            <w:r>
              <w:rPr>
                <w:rFonts w:hint="eastAsia"/>
                <w:sz w:val="24"/>
              </w:rPr>
              <w:t>配电楼：</w:t>
            </w:r>
            <w:r>
              <w:rPr>
                <w:sz w:val="24"/>
              </w:rPr>
              <w:t>35kV</w:t>
            </w:r>
            <w:r>
              <w:rPr>
                <w:rFonts w:hint="eastAsia"/>
                <w:sz w:val="24"/>
              </w:rPr>
              <w:t>配电楼为两层框架结构，建筑面积</w:t>
            </w:r>
            <w:r>
              <w:rPr>
                <w:sz w:val="24"/>
              </w:rPr>
              <w:t>371m</w:t>
            </w:r>
            <w:r>
              <w:rPr>
                <w:sz w:val="24"/>
                <w:vertAlign w:val="superscript"/>
              </w:rPr>
              <w:t>2</w:t>
            </w:r>
            <w:r>
              <w:rPr>
                <w:rFonts w:hint="eastAsia"/>
                <w:sz w:val="24"/>
              </w:rPr>
              <w:t>。布置有配电装置室、主控室、继保室等。</w:t>
            </w:r>
          </w:p>
          <w:p w14:paraId="52BE5CF4">
            <w:pPr>
              <w:pStyle w:val="10"/>
            </w:pPr>
            <w:r>
              <w:rPr>
                <w:rFonts w:hint="eastAsia"/>
              </w:rPr>
              <w:t>站区内电缆沟、上下水管、油管沿道路、建（构）筑物平行布置，在平面与竖向上相互协调，减少交叉。电缆沟盖板应高出场地</w:t>
            </w:r>
            <w:r>
              <w:t>0.1m</w:t>
            </w:r>
            <w:r>
              <w:rPr>
                <w:rFonts w:hint="eastAsia"/>
              </w:rPr>
              <w:t>～</w:t>
            </w:r>
            <w:r>
              <w:t>0.15m</w:t>
            </w:r>
            <w:r>
              <w:rPr>
                <w:rFonts w:hint="eastAsia"/>
              </w:rPr>
              <w:t>，穿越厂内道路时盖板与路面整体浇筑，沟底按不小于</w:t>
            </w:r>
            <w:r>
              <w:t>0.3%</w:t>
            </w:r>
            <w:r>
              <w:rPr>
                <w:rFonts w:hint="eastAsia"/>
              </w:rPr>
              <w:t>的排水坡度接入排水系统。</w:t>
            </w:r>
          </w:p>
          <w:p w14:paraId="3F54DCA9">
            <w:pPr>
              <w:pStyle w:val="10"/>
            </w:pPr>
            <w:r>
              <w:rPr>
                <w:rFonts w:hint="eastAsia"/>
              </w:rPr>
              <w:t>升压站生活区和生产区采用围栏进行分隔。生活区地坪采用绿化处理，生产区采用卵石铺地处理，局部采用硬化处理。</w:t>
            </w:r>
          </w:p>
          <w:p w14:paraId="2821C822">
            <w:pPr>
              <w:pStyle w:val="10"/>
            </w:pPr>
            <w:r>
              <w:rPr>
                <w:rFonts w:hint="eastAsia"/>
              </w:rPr>
              <w:t>站区竖向设计主要考虑生产及雨季时站区雨水排放，在路边设置雨水篦子，收集雨水后汇集至雨水检查井，通过埋地雨水管道排至站外。</w:t>
            </w:r>
          </w:p>
          <w:p w14:paraId="6D8AD378">
            <w:pPr>
              <w:pStyle w:val="10"/>
            </w:pPr>
            <w:r>
              <w:rPr>
                <w:rFonts w:hint="eastAsia"/>
              </w:rPr>
              <w:t>整个站区布置合理，功能分区清晰明确，站内道路设置合理顺畅。站区主运输道路直接通往主变场地，方便大件设备运输；同时各建、构筑物之间间距均满足防火规范的要求。</w:t>
            </w:r>
          </w:p>
          <w:p w14:paraId="42861906">
            <w:pPr>
              <w:pStyle w:val="10"/>
              <w:ind w:firstLine="479" w:firstLineChars="199"/>
              <w:rPr>
                <w:b/>
                <w:bCs/>
              </w:rPr>
            </w:pPr>
            <w:r>
              <w:rPr>
                <w:rFonts w:hint="eastAsia"/>
                <w:b/>
                <w:bCs/>
              </w:rPr>
              <w:t>3、土石方平衡</w:t>
            </w:r>
          </w:p>
          <w:p w14:paraId="20C989BB">
            <w:pPr>
              <w:spacing w:line="360" w:lineRule="auto"/>
              <w:ind w:firstLine="480" w:firstLineChars="200"/>
              <w:rPr>
                <w:sz w:val="24"/>
              </w:rPr>
            </w:pPr>
            <w:r>
              <w:rPr>
                <w:rFonts w:hint="eastAsia"/>
                <w:sz w:val="24"/>
              </w:rPr>
              <w:t>项目占地面积</w:t>
            </w:r>
            <w:r>
              <w:rPr>
                <w:sz w:val="24"/>
              </w:rPr>
              <w:t>18406</w:t>
            </w:r>
            <w:r>
              <w:rPr>
                <w:rFonts w:hint="eastAsia"/>
                <w:sz w:val="24"/>
              </w:rPr>
              <w:t>平方米，建筑面积</w:t>
            </w:r>
            <w:r>
              <w:rPr>
                <w:sz w:val="24"/>
              </w:rPr>
              <w:t>3461.33</w:t>
            </w:r>
            <w:r>
              <w:rPr>
                <w:rFonts w:hint="eastAsia"/>
                <w:sz w:val="24"/>
              </w:rPr>
              <w:t>平方米。储能电站施工总挖方量为</w:t>
            </w:r>
            <w:r>
              <w:rPr>
                <w:sz w:val="24"/>
              </w:rPr>
              <w:t>0.46</w:t>
            </w:r>
            <w:r>
              <w:rPr>
                <w:rFonts w:hint="eastAsia"/>
                <w:sz w:val="24"/>
              </w:rPr>
              <w:t>万</w:t>
            </w:r>
            <w:r>
              <w:rPr>
                <w:sz w:val="24"/>
              </w:rPr>
              <w:t>m</w:t>
            </w:r>
            <w:r>
              <w:rPr>
                <w:sz w:val="24"/>
                <w:vertAlign w:val="superscript"/>
              </w:rPr>
              <w:t>3</w:t>
            </w:r>
            <w:r>
              <w:rPr>
                <w:rFonts w:hint="eastAsia"/>
                <w:sz w:val="24"/>
              </w:rPr>
              <w:t>，回填方量为</w:t>
            </w:r>
            <w:r>
              <w:rPr>
                <w:sz w:val="24"/>
              </w:rPr>
              <w:t>1.22</w:t>
            </w:r>
            <w:r>
              <w:rPr>
                <w:rFonts w:hint="eastAsia"/>
                <w:sz w:val="24"/>
              </w:rPr>
              <w:t>万</w:t>
            </w:r>
            <w:r>
              <w:rPr>
                <w:sz w:val="24"/>
              </w:rPr>
              <w:t>m</w:t>
            </w:r>
            <w:r>
              <w:rPr>
                <w:sz w:val="24"/>
                <w:vertAlign w:val="superscript"/>
              </w:rPr>
              <w:t>3</w:t>
            </w:r>
            <w:r>
              <w:rPr>
                <w:rFonts w:hint="eastAsia"/>
                <w:sz w:val="24"/>
              </w:rPr>
              <w:t>，借方量</w:t>
            </w:r>
            <w:r>
              <w:rPr>
                <w:sz w:val="24"/>
              </w:rPr>
              <w:t>0.76</w:t>
            </w:r>
            <w:r>
              <w:rPr>
                <w:rFonts w:hint="eastAsia"/>
                <w:sz w:val="24"/>
              </w:rPr>
              <w:t>万</w:t>
            </w:r>
            <w:r>
              <w:rPr>
                <w:sz w:val="24"/>
              </w:rPr>
              <w:t>m</w:t>
            </w:r>
            <w:r>
              <w:rPr>
                <w:sz w:val="24"/>
                <w:vertAlign w:val="superscript"/>
              </w:rPr>
              <w:t>3</w:t>
            </w:r>
            <w:r>
              <w:rPr>
                <w:rFonts w:hint="eastAsia"/>
                <w:sz w:val="24"/>
              </w:rPr>
              <w:t>，采用合法外购形式，无弃方，弃方量</w:t>
            </w:r>
            <w:r>
              <w:rPr>
                <w:sz w:val="24"/>
              </w:rPr>
              <w:t>0m</w:t>
            </w:r>
            <w:r>
              <w:rPr>
                <w:sz w:val="24"/>
                <w:vertAlign w:val="superscript"/>
              </w:rPr>
              <w:t>3</w:t>
            </w:r>
            <w:r>
              <w:rPr>
                <w:rFonts w:hint="eastAsia"/>
                <w:sz w:val="24"/>
              </w:rPr>
              <w:t>。项目土方平衡见下表。</w:t>
            </w:r>
          </w:p>
          <w:p w14:paraId="513617F1">
            <w:pPr>
              <w:pStyle w:val="132"/>
              <w:rPr>
                <w:b/>
              </w:rPr>
            </w:pPr>
            <w:r>
              <w:rPr>
                <w:rFonts w:hint="eastAsia"/>
                <w:b/>
              </w:rPr>
              <w:t>表</w:t>
            </w:r>
            <w:r>
              <w:rPr>
                <w:b/>
              </w:rPr>
              <w:t>2-6</w:t>
            </w:r>
            <w:r>
              <w:rPr>
                <w:rFonts w:hint="eastAsia"/>
                <w:b/>
              </w:rPr>
              <w:t>项目土石方平衡表（单位：万</w:t>
            </w:r>
            <w:r>
              <w:rPr>
                <w:b/>
              </w:rPr>
              <w:t>m</w:t>
            </w:r>
            <w:r>
              <w:rPr>
                <w:b/>
                <w:vertAlign w:val="superscript"/>
              </w:rPr>
              <w:t>3</w:t>
            </w:r>
            <w:r>
              <w:rPr>
                <w:rFonts w:hint="eastAsia"/>
                <w:b/>
              </w:rPr>
              <w:t>）</w:t>
            </w:r>
          </w:p>
          <w:tbl>
            <w:tblPr>
              <w:tblStyle w:val="15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993"/>
              <w:gridCol w:w="2526"/>
              <w:gridCol w:w="1315"/>
              <w:gridCol w:w="1323"/>
              <w:gridCol w:w="1119"/>
              <w:gridCol w:w="1111"/>
            </w:tblGrid>
            <w:tr w14:paraId="5AC9B1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592" w:type="pct"/>
                  <w:vMerge w:val="restart"/>
                  <w:noWrap/>
                  <w:vAlign w:val="center"/>
                </w:tcPr>
                <w:p w14:paraId="4539513F">
                  <w:pPr>
                    <w:pStyle w:val="149"/>
                    <w:rPr>
                      <w:rFonts w:hint="default" w:ascii="Times New Roman" w:hAnsi="Times New Roman" w:eastAsia="宋体" w:cs="Times New Roman"/>
                      <w:b/>
                      <w:i w:val="0"/>
                    </w:rPr>
                  </w:pPr>
                  <w:r>
                    <w:rPr>
                      <w:rFonts w:hint="eastAsia" w:ascii="Times New Roman" w:hAnsi="Times New Roman" w:eastAsia="宋体" w:cs="Times New Roman"/>
                      <w:b/>
                      <w:i w:val="0"/>
                    </w:rPr>
                    <w:t>序号</w:t>
                  </w:r>
                </w:p>
              </w:tc>
              <w:tc>
                <w:tcPr>
                  <w:tcW w:w="1506" w:type="pct"/>
                  <w:vMerge w:val="restart"/>
                  <w:noWrap/>
                  <w:vAlign w:val="center"/>
                </w:tcPr>
                <w:p w14:paraId="7B8391C5">
                  <w:pPr>
                    <w:pStyle w:val="149"/>
                    <w:rPr>
                      <w:rFonts w:hint="default" w:ascii="Times New Roman" w:hAnsi="Times New Roman" w:eastAsia="宋体" w:cs="Times New Roman"/>
                      <w:b/>
                      <w:i w:val="0"/>
                    </w:rPr>
                  </w:pPr>
                  <w:r>
                    <w:rPr>
                      <w:rFonts w:hint="eastAsia" w:ascii="Times New Roman" w:hAnsi="Times New Roman" w:eastAsia="宋体" w:cs="Times New Roman"/>
                      <w:b/>
                      <w:i w:val="0"/>
                    </w:rPr>
                    <w:t>项目组成</w:t>
                  </w:r>
                </w:p>
              </w:tc>
              <w:tc>
                <w:tcPr>
                  <w:tcW w:w="784" w:type="pct"/>
                  <w:vMerge w:val="restart"/>
                  <w:noWrap/>
                  <w:vAlign w:val="center"/>
                </w:tcPr>
                <w:p w14:paraId="22994F8D">
                  <w:pPr>
                    <w:pStyle w:val="149"/>
                    <w:rPr>
                      <w:rFonts w:hint="default" w:ascii="Times New Roman" w:hAnsi="Times New Roman" w:eastAsia="宋体" w:cs="Times New Roman"/>
                      <w:b/>
                      <w:i w:val="0"/>
                    </w:rPr>
                  </w:pPr>
                  <w:r>
                    <w:rPr>
                      <w:rFonts w:hint="eastAsia" w:ascii="Times New Roman" w:hAnsi="Times New Roman" w:eastAsia="宋体" w:cs="Times New Roman"/>
                      <w:b/>
                      <w:i w:val="0"/>
                    </w:rPr>
                    <w:t>开挖</w:t>
                  </w:r>
                </w:p>
              </w:tc>
              <w:tc>
                <w:tcPr>
                  <w:tcW w:w="789" w:type="pct"/>
                  <w:vMerge w:val="restart"/>
                  <w:noWrap/>
                  <w:vAlign w:val="center"/>
                </w:tcPr>
                <w:p w14:paraId="166604A8">
                  <w:pPr>
                    <w:pStyle w:val="149"/>
                    <w:rPr>
                      <w:rFonts w:hint="default" w:ascii="Times New Roman" w:hAnsi="Times New Roman" w:eastAsia="宋体" w:cs="Times New Roman"/>
                      <w:b/>
                      <w:i w:val="0"/>
                    </w:rPr>
                  </w:pPr>
                  <w:r>
                    <w:rPr>
                      <w:rFonts w:hint="eastAsia" w:ascii="Times New Roman" w:hAnsi="Times New Roman" w:eastAsia="宋体" w:cs="Times New Roman"/>
                      <w:b/>
                      <w:i w:val="0"/>
                    </w:rPr>
                    <w:t>回填</w:t>
                  </w:r>
                </w:p>
              </w:tc>
              <w:tc>
                <w:tcPr>
                  <w:tcW w:w="667" w:type="pct"/>
                  <w:vAlign w:val="center"/>
                </w:tcPr>
                <w:p w14:paraId="151A6572">
                  <w:pPr>
                    <w:pStyle w:val="149"/>
                    <w:rPr>
                      <w:rFonts w:hint="default" w:ascii="Times New Roman" w:hAnsi="Times New Roman" w:eastAsia="宋体" w:cs="Times New Roman"/>
                      <w:b/>
                      <w:i w:val="0"/>
                    </w:rPr>
                  </w:pPr>
                  <w:r>
                    <w:rPr>
                      <w:rFonts w:hint="eastAsia" w:ascii="Times New Roman" w:hAnsi="Times New Roman" w:eastAsia="宋体" w:cs="Times New Roman"/>
                      <w:b/>
                      <w:i w:val="0"/>
                    </w:rPr>
                    <w:t>外借</w:t>
                  </w:r>
                </w:p>
              </w:tc>
              <w:tc>
                <w:tcPr>
                  <w:tcW w:w="662" w:type="pct"/>
                  <w:vAlign w:val="center"/>
                </w:tcPr>
                <w:p w14:paraId="7AED1F8E">
                  <w:pPr>
                    <w:pStyle w:val="149"/>
                    <w:rPr>
                      <w:rFonts w:hint="default" w:ascii="Times New Roman" w:hAnsi="Times New Roman" w:eastAsia="宋体" w:cs="Times New Roman"/>
                      <w:b/>
                      <w:i w:val="0"/>
                    </w:rPr>
                  </w:pPr>
                  <w:r>
                    <w:rPr>
                      <w:rFonts w:hint="eastAsia" w:ascii="Times New Roman" w:hAnsi="Times New Roman" w:eastAsia="宋体" w:cs="Times New Roman"/>
                      <w:b/>
                      <w:i w:val="0"/>
                    </w:rPr>
                    <w:t>外弃</w:t>
                  </w:r>
                </w:p>
              </w:tc>
            </w:tr>
            <w:tr w14:paraId="7D6040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592" w:type="pct"/>
                  <w:vMerge w:val="continue"/>
                  <w:noWrap/>
                  <w:vAlign w:val="center"/>
                </w:tcPr>
                <w:p w14:paraId="0CF4B560">
                  <w:pPr>
                    <w:pStyle w:val="149"/>
                    <w:rPr>
                      <w:rFonts w:eastAsia="Times New Roman"/>
                    </w:rPr>
                  </w:pPr>
                </w:p>
              </w:tc>
              <w:tc>
                <w:tcPr>
                  <w:tcW w:w="1506" w:type="pct"/>
                  <w:vMerge w:val="continue"/>
                  <w:vAlign w:val="center"/>
                </w:tcPr>
                <w:p w14:paraId="1247516B">
                  <w:pPr>
                    <w:pStyle w:val="149"/>
                    <w:rPr>
                      <w:rFonts w:eastAsia="Times New Roman"/>
                    </w:rPr>
                  </w:pPr>
                </w:p>
              </w:tc>
              <w:tc>
                <w:tcPr>
                  <w:tcW w:w="784" w:type="pct"/>
                  <w:vMerge w:val="continue"/>
                  <w:vAlign w:val="center"/>
                </w:tcPr>
                <w:p w14:paraId="79F03D30">
                  <w:pPr>
                    <w:pStyle w:val="149"/>
                    <w:rPr>
                      <w:rFonts w:eastAsia="Times New Roman"/>
                    </w:rPr>
                  </w:pPr>
                </w:p>
              </w:tc>
              <w:tc>
                <w:tcPr>
                  <w:tcW w:w="789" w:type="pct"/>
                  <w:vMerge w:val="continue"/>
                  <w:vAlign w:val="center"/>
                </w:tcPr>
                <w:p w14:paraId="3C2FB05C">
                  <w:pPr>
                    <w:pStyle w:val="149"/>
                    <w:rPr>
                      <w:rFonts w:eastAsia="Times New Roman"/>
                    </w:rPr>
                  </w:pPr>
                </w:p>
              </w:tc>
              <w:tc>
                <w:tcPr>
                  <w:tcW w:w="667" w:type="pct"/>
                  <w:vAlign w:val="center"/>
                </w:tcPr>
                <w:p w14:paraId="6B2165C6">
                  <w:pPr>
                    <w:pStyle w:val="149"/>
                    <w:rPr>
                      <w:rFonts w:eastAsia="Times New Roman"/>
                    </w:rPr>
                  </w:pPr>
                  <w:r>
                    <w:rPr>
                      <w:rFonts w:hint="eastAsia" w:ascii="宋体" w:hAnsi="宋体" w:eastAsia="宋体" w:cs="宋体"/>
                    </w:rPr>
                    <w:t>外购数量</w:t>
                  </w:r>
                </w:p>
              </w:tc>
              <w:tc>
                <w:tcPr>
                  <w:tcW w:w="662" w:type="pct"/>
                  <w:vAlign w:val="center"/>
                </w:tcPr>
                <w:p w14:paraId="2BB6FA22">
                  <w:pPr>
                    <w:pStyle w:val="149"/>
                    <w:rPr>
                      <w:rFonts w:eastAsia="Times New Roman"/>
                    </w:rPr>
                  </w:pPr>
                  <w:r>
                    <w:rPr>
                      <w:rFonts w:hint="eastAsia" w:ascii="宋体" w:hAnsi="宋体" w:eastAsia="宋体" w:cs="宋体"/>
                    </w:rPr>
                    <w:t>数量</w:t>
                  </w:r>
                </w:p>
              </w:tc>
            </w:tr>
            <w:tr w14:paraId="6DB49E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592" w:type="pct"/>
                  <w:noWrap/>
                  <w:vAlign w:val="center"/>
                </w:tcPr>
                <w:p w14:paraId="08E58058">
                  <w:pPr>
                    <w:pStyle w:val="149"/>
                    <w:rPr>
                      <w:rFonts w:eastAsia="Times New Roman"/>
                    </w:rPr>
                  </w:pPr>
                  <w:r>
                    <w:rPr>
                      <w:rFonts w:eastAsia="宋体"/>
                    </w:rPr>
                    <w:t>1</w:t>
                  </w:r>
                </w:p>
              </w:tc>
              <w:tc>
                <w:tcPr>
                  <w:tcW w:w="1506" w:type="pct"/>
                  <w:vAlign w:val="center"/>
                </w:tcPr>
                <w:p w14:paraId="789A2851">
                  <w:pPr>
                    <w:pStyle w:val="149"/>
                    <w:rPr>
                      <w:rFonts w:eastAsia="Times New Roman"/>
                    </w:rPr>
                  </w:pPr>
                  <w:r>
                    <w:rPr>
                      <w:rFonts w:hint="eastAsia" w:ascii="宋体" w:hAnsi="宋体" w:eastAsia="宋体" w:cs="宋体"/>
                    </w:rPr>
                    <w:t>基坑工程</w:t>
                  </w:r>
                </w:p>
              </w:tc>
              <w:tc>
                <w:tcPr>
                  <w:tcW w:w="784" w:type="pct"/>
                  <w:vAlign w:val="center"/>
                </w:tcPr>
                <w:p w14:paraId="3056F5FE">
                  <w:pPr>
                    <w:pStyle w:val="149"/>
                    <w:rPr>
                      <w:rFonts w:eastAsia="Times New Roman"/>
                    </w:rPr>
                  </w:pPr>
                  <w:r>
                    <w:rPr>
                      <w:rFonts w:eastAsia="Times New Roman"/>
                    </w:rPr>
                    <w:t>0.14</w:t>
                  </w:r>
                </w:p>
              </w:tc>
              <w:tc>
                <w:tcPr>
                  <w:tcW w:w="789" w:type="pct"/>
                  <w:vAlign w:val="center"/>
                </w:tcPr>
                <w:p w14:paraId="7DF58707">
                  <w:pPr>
                    <w:pStyle w:val="149"/>
                    <w:rPr>
                      <w:rFonts w:eastAsia="Times New Roman"/>
                    </w:rPr>
                  </w:pPr>
                  <w:r>
                    <w:rPr>
                      <w:rFonts w:eastAsia="Times New Roman"/>
                    </w:rPr>
                    <w:t>0.07</w:t>
                  </w:r>
                </w:p>
              </w:tc>
              <w:tc>
                <w:tcPr>
                  <w:tcW w:w="667" w:type="pct"/>
                  <w:vAlign w:val="center"/>
                </w:tcPr>
                <w:p w14:paraId="61C7C0D1">
                  <w:pPr>
                    <w:pStyle w:val="149"/>
                    <w:rPr>
                      <w:rFonts w:eastAsia="Times New Roman"/>
                    </w:rPr>
                  </w:pPr>
                  <w:r>
                    <w:rPr>
                      <w:rFonts w:eastAsia="Times New Roman"/>
                    </w:rPr>
                    <w:t>/</w:t>
                  </w:r>
                </w:p>
              </w:tc>
              <w:tc>
                <w:tcPr>
                  <w:tcW w:w="662" w:type="pct"/>
                  <w:vAlign w:val="center"/>
                </w:tcPr>
                <w:p w14:paraId="73BB3E64">
                  <w:pPr>
                    <w:pStyle w:val="149"/>
                    <w:rPr>
                      <w:rFonts w:eastAsia="Times New Roman"/>
                    </w:rPr>
                  </w:pPr>
                  <w:r>
                    <w:rPr>
                      <w:rFonts w:eastAsia="Times New Roman"/>
                    </w:rPr>
                    <w:t>0</w:t>
                  </w:r>
                </w:p>
              </w:tc>
            </w:tr>
            <w:tr w14:paraId="12F84B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592" w:type="pct"/>
                  <w:noWrap/>
                  <w:vAlign w:val="center"/>
                </w:tcPr>
                <w:p w14:paraId="5134C838">
                  <w:pPr>
                    <w:pStyle w:val="149"/>
                    <w:rPr>
                      <w:rFonts w:eastAsia="Times New Roman"/>
                    </w:rPr>
                  </w:pPr>
                  <w:r>
                    <w:rPr>
                      <w:rFonts w:eastAsia="宋体"/>
                    </w:rPr>
                    <w:t>2</w:t>
                  </w:r>
                </w:p>
              </w:tc>
              <w:tc>
                <w:tcPr>
                  <w:tcW w:w="1506" w:type="pct"/>
                  <w:vAlign w:val="center"/>
                </w:tcPr>
                <w:p w14:paraId="4F3864EF">
                  <w:pPr>
                    <w:pStyle w:val="149"/>
                    <w:rPr>
                      <w:rFonts w:eastAsia="Times New Roman"/>
                    </w:rPr>
                  </w:pPr>
                  <w:r>
                    <w:rPr>
                      <w:rFonts w:hint="eastAsia" w:ascii="宋体" w:hAnsi="宋体" w:eastAsia="宋体" w:cs="宋体"/>
                    </w:rPr>
                    <w:t>场地平整工程</w:t>
                  </w:r>
                </w:p>
              </w:tc>
              <w:tc>
                <w:tcPr>
                  <w:tcW w:w="784" w:type="pct"/>
                  <w:vAlign w:val="center"/>
                </w:tcPr>
                <w:p w14:paraId="2F5702EE">
                  <w:pPr>
                    <w:pStyle w:val="149"/>
                    <w:rPr>
                      <w:rFonts w:eastAsia="Times New Roman"/>
                    </w:rPr>
                  </w:pPr>
                  <w:r>
                    <w:rPr>
                      <w:rFonts w:eastAsia="Times New Roman"/>
                    </w:rPr>
                    <w:t>0.08</w:t>
                  </w:r>
                </w:p>
              </w:tc>
              <w:tc>
                <w:tcPr>
                  <w:tcW w:w="789" w:type="pct"/>
                  <w:vAlign w:val="center"/>
                </w:tcPr>
                <w:p w14:paraId="62CFEDA5">
                  <w:pPr>
                    <w:pStyle w:val="149"/>
                    <w:rPr>
                      <w:rFonts w:eastAsia="Times New Roman"/>
                    </w:rPr>
                  </w:pPr>
                  <w:r>
                    <w:rPr>
                      <w:rFonts w:eastAsia="Times New Roman"/>
                    </w:rPr>
                    <w:t>1.06</w:t>
                  </w:r>
                </w:p>
              </w:tc>
              <w:tc>
                <w:tcPr>
                  <w:tcW w:w="667" w:type="pct"/>
                  <w:vAlign w:val="center"/>
                </w:tcPr>
                <w:p w14:paraId="3141EA65">
                  <w:pPr>
                    <w:pStyle w:val="149"/>
                    <w:rPr>
                      <w:rFonts w:eastAsia="Times New Roman"/>
                    </w:rPr>
                  </w:pPr>
                  <w:r>
                    <w:rPr>
                      <w:rFonts w:eastAsia="Times New Roman"/>
                    </w:rPr>
                    <w:t>0.76</w:t>
                  </w:r>
                </w:p>
              </w:tc>
              <w:tc>
                <w:tcPr>
                  <w:tcW w:w="662" w:type="pct"/>
                  <w:vAlign w:val="center"/>
                </w:tcPr>
                <w:p w14:paraId="6B158109">
                  <w:pPr>
                    <w:pStyle w:val="149"/>
                    <w:rPr>
                      <w:rFonts w:eastAsia="Times New Roman"/>
                    </w:rPr>
                  </w:pPr>
                  <w:r>
                    <w:rPr>
                      <w:rFonts w:eastAsia="Times New Roman"/>
                    </w:rPr>
                    <w:t>0</w:t>
                  </w:r>
                </w:p>
              </w:tc>
            </w:tr>
            <w:tr w14:paraId="488EE3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592" w:type="pct"/>
                  <w:noWrap/>
                  <w:vAlign w:val="center"/>
                </w:tcPr>
                <w:p w14:paraId="3EE65E60">
                  <w:pPr>
                    <w:pStyle w:val="149"/>
                    <w:rPr>
                      <w:rFonts w:eastAsia="Times New Roman"/>
                    </w:rPr>
                  </w:pPr>
                  <w:r>
                    <w:rPr>
                      <w:rFonts w:eastAsia="宋体"/>
                    </w:rPr>
                    <w:t>3</w:t>
                  </w:r>
                </w:p>
              </w:tc>
              <w:tc>
                <w:tcPr>
                  <w:tcW w:w="1506" w:type="pct"/>
                  <w:vAlign w:val="center"/>
                </w:tcPr>
                <w:p w14:paraId="3369D069">
                  <w:pPr>
                    <w:pStyle w:val="149"/>
                    <w:rPr>
                      <w:rFonts w:eastAsia="Times New Roman"/>
                    </w:rPr>
                  </w:pPr>
                  <w:r>
                    <w:rPr>
                      <w:rFonts w:hint="eastAsia" w:ascii="宋体" w:hAnsi="宋体" w:eastAsia="宋体" w:cs="宋体"/>
                    </w:rPr>
                    <w:t>基槽施工工程</w:t>
                  </w:r>
                </w:p>
              </w:tc>
              <w:tc>
                <w:tcPr>
                  <w:tcW w:w="784" w:type="pct"/>
                  <w:vAlign w:val="center"/>
                </w:tcPr>
                <w:p w14:paraId="091A127D">
                  <w:pPr>
                    <w:pStyle w:val="149"/>
                    <w:rPr>
                      <w:rFonts w:eastAsia="Times New Roman"/>
                    </w:rPr>
                  </w:pPr>
                  <w:r>
                    <w:rPr>
                      <w:rFonts w:eastAsia="Times New Roman"/>
                    </w:rPr>
                    <w:t>0.24</w:t>
                  </w:r>
                </w:p>
              </w:tc>
              <w:tc>
                <w:tcPr>
                  <w:tcW w:w="789" w:type="pct"/>
                  <w:vAlign w:val="center"/>
                </w:tcPr>
                <w:p w14:paraId="38B5DF88">
                  <w:pPr>
                    <w:pStyle w:val="149"/>
                    <w:rPr>
                      <w:rFonts w:eastAsia="Times New Roman"/>
                    </w:rPr>
                  </w:pPr>
                  <w:r>
                    <w:rPr>
                      <w:rFonts w:eastAsia="Times New Roman"/>
                    </w:rPr>
                    <w:t>0.09</w:t>
                  </w:r>
                </w:p>
              </w:tc>
              <w:tc>
                <w:tcPr>
                  <w:tcW w:w="667" w:type="pct"/>
                  <w:vAlign w:val="center"/>
                </w:tcPr>
                <w:p w14:paraId="67DCFBF5">
                  <w:pPr>
                    <w:pStyle w:val="149"/>
                    <w:rPr>
                      <w:rFonts w:eastAsia="Times New Roman"/>
                    </w:rPr>
                  </w:pPr>
                  <w:r>
                    <w:rPr>
                      <w:rFonts w:eastAsia="Times New Roman"/>
                    </w:rPr>
                    <w:t>/</w:t>
                  </w:r>
                </w:p>
              </w:tc>
              <w:tc>
                <w:tcPr>
                  <w:tcW w:w="662" w:type="pct"/>
                  <w:vAlign w:val="center"/>
                </w:tcPr>
                <w:p w14:paraId="238BF386">
                  <w:pPr>
                    <w:pStyle w:val="149"/>
                    <w:rPr>
                      <w:rFonts w:eastAsia="Times New Roman"/>
                    </w:rPr>
                  </w:pPr>
                  <w:r>
                    <w:rPr>
                      <w:rFonts w:eastAsia="Times New Roman"/>
                    </w:rPr>
                    <w:t>0</w:t>
                  </w:r>
                </w:p>
              </w:tc>
            </w:tr>
            <w:tr w14:paraId="4D6A87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2097" w:type="pct"/>
                  <w:gridSpan w:val="2"/>
                  <w:noWrap/>
                  <w:vAlign w:val="center"/>
                </w:tcPr>
                <w:p w14:paraId="56F06E86">
                  <w:pPr>
                    <w:pStyle w:val="149"/>
                    <w:rPr>
                      <w:rFonts w:eastAsia="Times New Roman"/>
                    </w:rPr>
                  </w:pPr>
                  <w:r>
                    <w:rPr>
                      <w:rFonts w:hint="eastAsia" w:ascii="宋体" w:hAnsi="宋体" w:eastAsia="宋体" w:cs="宋体"/>
                    </w:rPr>
                    <w:t>合计</w:t>
                  </w:r>
                </w:p>
              </w:tc>
              <w:tc>
                <w:tcPr>
                  <w:tcW w:w="784" w:type="pct"/>
                  <w:vAlign w:val="center"/>
                </w:tcPr>
                <w:p w14:paraId="1E78FA28">
                  <w:pPr>
                    <w:pStyle w:val="149"/>
                    <w:rPr>
                      <w:rFonts w:eastAsia="Times New Roman"/>
                    </w:rPr>
                  </w:pPr>
                  <w:r>
                    <w:rPr>
                      <w:rFonts w:eastAsia="Times New Roman"/>
                    </w:rPr>
                    <w:t>0.46</w:t>
                  </w:r>
                </w:p>
              </w:tc>
              <w:tc>
                <w:tcPr>
                  <w:tcW w:w="789" w:type="pct"/>
                  <w:vAlign w:val="center"/>
                </w:tcPr>
                <w:p w14:paraId="1D26D081">
                  <w:pPr>
                    <w:pStyle w:val="149"/>
                    <w:rPr>
                      <w:rFonts w:eastAsia="Times New Roman"/>
                    </w:rPr>
                  </w:pPr>
                  <w:r>
                    <w:rPr>
                      <w:rFonts w:eastAsia="Times New Roman"/>
                    </w:rPr>
                    <w:t>1.22</w:t>
                  </w:r>
                </w:p>
              </w:tc>
              <w:tc>
                <w:tcPr>
                  <w:tcW w:w="667" w:type="pct"/>
                  <w:vAlign w:val="center"/>
                </w:tcPr>
                <w:p w14:paraId="70CE6140">
                  <w:pPr>
                    <w:pStyle w:val="149"/>
                    <w:rPr>
                      <w:rFonts w:eastAsia="Times New Roman"/>
                    </w:rPr>
                  </w:pPr>
                  <w:r>
                    <w:rPr>
                      <w:rFonts w:eastAsia="Times New Roman"/>
                    </w:rPr>
                    <w:t>0.76</w:t>
                  </w:r>
                </w:p>
              </w:tc>
              <w:tc>
                <w:tcPr>
                  <w:tcW w:w="662" w:type="pct"/>
                  <w:vAlign w:val="center"/>
                </w:tcPr>
                <w:p w14:paraId="6D42D8F7">
                  <w:pPr>
                    <w:pStyle w:val="149"/>
                    <w:rPr>
                      <w:rFonts w:eastAsia="Times New Roman"/>
                    </w:rPr>
                  </w:pPr>
                  <w:r>
                    <w:rPr>
                      <w:rFonts w:eastAsia="Times New Roman"/>
                    </w:rPr>
                    <w:t>0</w:t>
                  </w:r>
                </w:p>
              </w:tc>
            </w:tr>
          </w:tbl>
          <w:p w14:paraId="27F62A28">
            <w:pPr>
              <w:jc w:val="center"/>
            </w:pPr>
          </w:p>
        </w:tc>
      </w:tr>
      <w:tr w14:paraId="3F46D4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49" w:type="pct"/>
            <w:vAlign w:val="center"/>
          </w:tcPr>
          <w:p w14:paraId="4F27EF41">
            <w:pPr>
              <w:pStyle w:val="27"/>
              <w:adjustRightInd w:val="0"/>
              <w:snapToGrid w:val="0"/>
              <w:spacing w:before="0" w:beforeAutospacing="0" w:after="0" w:afterAutospacing="0"/>
              <w:jc w:val="center"/>
              <w:rPr>
                <w:rFonts w:ascii="Times New Roman" w:hAnsi="Times New Roman"/>
                <w:szCs w:val="24"/>
              </w:rPr>
            </w:pPr>
            <w:r>
              <w:rPr>
                <w:rFonts w:hint="eastAsia" w:ascii="Times New Roman" w:hAnsi="Times New Roman"/>
                <w:szCs w:val="24"/>
              </w:rPr>
              <w:t>施工方案</w:t>
            </w:r>
          </w:p>
        </w:tc>
        <w:tc>
          <w:tcPr>
            <w:tcW w:w="4751" w:type="pct"/>
          </w:tcPr>
          <w:p w14:paraId="23B94CC8">
            <w:pPr>
              <w:spacing w:before="120" w:beforeLines="50" w:line="360" w:lineRule="auto"/>
              <w:ind w:firstLine="482" w:firstLineChars="200"/>
              <w:rPr>
                <w:rFonts w:ascii="宋体" w:hAnsi="宋体"/>
                <w:b/>
                <w:bCs/>
                <w:sz w:val="24"/>
              </w:rPr>
            </w:pPr>
            <w:r>
              <w:rPr>
                <w:b/>
                <w:bCs/>
                <w:sz w:val="24"/>
              </w:rPr>
              <w:t>1</w:t>
            </w:r>
            <w:r>
              <w:rPr>
                <w:rFonts w:hint="eastAsia"/>
                <w:b/>
                <w:bCs/>
                <w:sz w:val="24"/>
              </w:rPr>
              <w:t>、</w:t>
            </w:r>
            <w:r>
              <w:rPr>
                <w:rFonts w:hint="eastAsia" w:ascii="宋体" w:hAnsi="宋体"/>
                <w:b/>
                <w:bCs/>
                <w:sz w:val="24"/>
              </w:rPr>
              <w:t>施工工艺</w:t>
            </w:r>
          </w:p>
          <w:p w14:paraId="67770C6D">
            <w:pPr>
              <w:widowControl/>
              <w:spacing w:line="360" w:lineRule="auto"/>
              <w:ind w:firstLine="480" w:firstLineChars="200"/>
              <w:rPr>
                <w:sz w:val="24"/>
                <w:lang w:bidi="ar"/>
              </w:rPr>
            </w:pPr>
            <w:r>
              <w:rPr>
                <w:rFonts w:hint="eastAsia"/>
                <w:sz w:val="24"/>
              </w:rPr>
              <w:t>储能电站</w:t>
            </w:r>
            <w:r>
              <w:rPr>
                <w:rFonts w:hint="eastAsia"/>
                <w:sz w:val="24"/>
                <w:lang w:bidi="ar"/>
              </w:rPr>
              <w:t>施工包括基础施工、主体施工和设备安装，施工时产生的污染因素主要为噪声、扬尘、车辆尾气、余土、生活污水和生活垃圾。施工期的工艺流程如图所示。</w:t>
            </w:r>
          </w:p>
          <w:p w14:paraId="1DD0984B">
            <w:pPr>
              <w:pStyle w:val="149"/>
            </w:pPr>
            <w:r>
              <w:drawing>
                <wp:inline distT="0" distB="0" distL="114300" distR="114300">
                  <wp:extent cx="4939665" cy="3167380"/>
                  <wp:effectExtent l="0" t="0" r="0" b="0"/>
                  <wp:docPr id="106"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249"/>
                          <pic:cNvPicPr>
                            <a:picLocks noChangeAspect="1"/>
                          </pic:cNvPicPr>
                        </pic:nvPicPr>
                        <pic:blipFill>
                          <a:blip r:embed="rId12"/>
                          <a:stretch>
                            <a:fillRect/>
                          </a:stretch>
                        </pic:blipFill>
                        <pic:spPr>
                          <a:xfrm>
                            <a:off x="0" y="0"/>
                            <a:ext cx="4948106" cy="3172492"/>
                          </a:xfrm>
                          <a:prstGeom prst="rect">
                            <a:avLst/>
                          </a:prstGeom>
                          <a:noFill/>
                          <a:ln>
                            <a:noFill/>
                          </a:ln>
                        </pic:spPr>
                      </pic:pic>
                    </a:graphicData>
                  </a:graphic>
                </wp:inline>
              </w:drawing>
            </w:r>
          </w:p>
          <w:p w14:paraId="60CA3081">
            <w:pPr>
              <w:pStyle w:val="143"/>
            </w:pPr>
            <w:r>
              <w:rPr>
                <w:rFonts w:hint="eastAsia"/>
              </w:rPr>
              <w:t>图</w:t>
            </w:r>
            <w:r>
              <w:t>2-3</w:t>
            </w:r>
            <w:r>
              <w:rPr>
                <w:rFonts w:hint="eastAsia"/>
              </w:rPr>
              <w:t>本工程施工期、运营期工艺流程图</w:t>
            </w:r>
          </w:p>
          <w:p w14:paraId="2D19267D">
            <w:pPr>
              <w:pStyle w:val="125"/>
              <w:rPr>
                <w:color w:val="auto"/>
              </w:rPr>
            </w:pPr>
            <w:r>
              <w:rPr>
                <w:rFonts w:hint="eastAsia"/>
                <w:color w:val="auto"/>
              </w:rPr>
              <w:t>储能电站主要施工有：场平、围墙及道路施工；主变及构架、</w:t>
            </w:r>
            <w:r>
              <w:rPr>
                <w:color w:val="auto"/>
              </w:rPr>
              <w:t>GIS</w:t>
            </w:r>
            <w:r>
              <w:rPr>
                <w:rFonts w:hint="eastAsia"/>
                <w:color w:val="auto"/>
              </w:rPr>
              <w:t>等基础施工和设备安装及调试；综合楼基础施工和主体施工、装饰装修及水电安装；电池集装箱吊装；火灾报警、消防、视频监控系统安装及调试；电缆沟及电缆敷设等。</w:t>
            </w:r>
          </w:p>
          <w:p w14:paraId="2A2ACFD3">
            <w:pPr>
              <w:pStyle w:val="29"/>
            </w:pPr>
            <w:r>
              <w:rPr>
                <w:rFonts w:hint="eastAsia"/>
              </w:rPr>
              <w:t>（</w:t>
            </w:r>
            <w:r>
              <w:t>1</w:t>
            </w:r>
            <w:r>
              <w:rPr>
                <w:rFonts w:hint="eastAsia"/>
              </w:rPr>
              <w:t>）基础及场坪施工</w:t>
            </w:r>
          </w:p>
          <w:p w14:paraId="3C8E0FD5">
            <w:pPr>
              <w:pStyle w:val="29"/>
            </w:pPr>
            <w:r>
              <w:rPr>
                <w:rFonts w:hint="eastAsia"/>
              </w:rPr>
              <w:t>升压站场地由推土机配合人工摊铺。然后用振动碾，将场地压实，场地施工要达到设计要求。压站内建筑物的基础开挖，均采用小型挖掘机配合人工开挖清理（包括基础之间的地下电缆沟）。人工清槽后，经验槽合格，方可进行基础混凝土施工及回填。</w:t>
            </w:r>
          </w:p>
          <w:p w14:paraId="5CDD9EAF">
            <w:pPr>
              <w:pStyle w:val="29"/>
            </w:pPr>
            <w:r>
              <w:rPr>
                <w:rFonts w:hint="eastAsia"/>
              </w:rPr>
              <w:t>（</w:t>
            </w:r>
            <w:r>
              <w:t>2</w:t>
            </w:r>
            <w:r>
              <w:rPr>
                <w:rFonts w:hint="eastAsia"/>
              </w:rPr>
              <w:t>）建筑工程施工</w:t>
            </w:r>
          </w:p>
          <w:p w14:paraId="371A6BF3">
            <w:pPr>
              <w:pStyle w:val="29"/>
            </w:pPr>
            <w:r>
              <w:rPr>
                <w:rFonts w:hint="eastAsia"/>
              </w:rPr>
              <w:t>主体构筑物均为预制舱式结构。先进行地基处理，使承载力达到设计要求；然后进行钢筋砼基础施工；砼强度达到允许强度后进行舱体吊装；最后进行水电安装。围墙为条形基础，人工开挖，现场砂浆搅拌、人工砌筑。围墙为实体围墙。</w:t>
            </w:r>
          </w:p>
          <w:p w14:paraId="034272FD">
            <w:pPr>
              <w:pStyle w:val="29"/>
            </w:pPr>
            <w:r>
              <w:rPr>
                <w:rFonts w:hint="eastAsia"/>
              </w:rPr>
              <w:t>（</w:t>
            </w:r>
            <w:r>
              <w:t>3</w:t>
            </w:r>
            <w:r>
              <w:rPr>
                <w:rFonts w:hint="eastAsia"/>
              </w:rPr>
              <w:t>）电气设备的安装</w:t>
            </w:r>
          </w:p>
          <w:p w14:paraId="2981ECAA">
            <w:pPr>
              <w:pStyle w:val="29"/>
            </w:pPr>
            <w:r>
              <w:rPr>
                <w:rFonts w:hint="eastAsia"/>
              </w:rPr>
              <w:t>主变压器较重，采用吊车吊装。吊装时索具必须检查合格，钢丝绳必须系在油箱的吊钩上。主变压器的安装程序为：施工准备</w:t>
            </w:r>
            <w:r>
              <w:t>――</w:t>
            </w:r>
            <w:r>
              <w:rPr>
                <w:rFonts w:hint="eastAsia"/>
              </w:rPr>
              <w:t>基础检查</w:t>
            </w:r>
            <w:r>
              <w:t>――</w:t>
            </w:r>
            <w:r>
              <w:rPr>
                <w:rFonts w:hint="eastAsia"/>
              </w:rPr>
              <w:t>设备开箱检查</w:t>
            </w:r>
            <w:r>
              <w:t>――</w:t>
            </w:r>
            <w:r>
              <w:rPr>
                <w:rFonts w:hint="eastAsia"/>
              </w:rPr>
              <w:t>吊装就位</w:t>
            </w:r>
            <w:r>
              <w:t>――</w:t>
            </w:r>
            <w:r>
              <w:rPr>
                <w:rFonts w:hint="eastAsia"/>
              </w:rPr>
              <w:t>附件安装</w:t>
            </w:r>
            <w:r>
              <w:t>――</w:t>
            </w:r>
            <w:r>
              <w:rPr>
                <w:rFonts w:hint="eastAsia"/>
              </w:rPr>
              <w:t>绝缘油处理</w:t>
            </w:r>
            <w:r>
              <w:t>――</w:t>
            </w:r>
            <w:r>
              <w:rPr>
                <w:rFonts w:hint="eastAsia"/>
              </w:rPr>
              <w:t>真空注油试验</w:t>
            </w:r>
            <w:r>
              <w:t>――</w:t>
            </w:r>
            <w:r>
              <w:rPr>
                <w:rFonts w:hint="eastAsia"/>
              </w:rPr>
              <w:t>调试运行。电力线路的进线与母线一同安装调试，分回路接线投产。当第一批组件投产后，其它回路接线时要注意人身及设备的安全，应有运行人员监护。电气设备的安装必须严格按设计要求、设备安装说明、电气设备安装规程及验收规范进行，及时进行测试、调试，确保电气设备的安装质量和试车一次成功。</w:t>
            </w:r>
          </w:p>
          <w:p w14:paraId="6906045F">
            <w:pPr>
              <w:pStyle w:val="29"/>
            </w:pPr>
            <w:r>
              <w:rPr>
                <w:rFonts w:hint="eastAsia"/>
              </w:rPr>
              <w:t>（</w:t>
            </w:r>
            <w:r>
              <w:t>4</w:t>
            </w:r>
            <w:r>
              <w:rPr>
                <w:rFonts w:hint="eastAsia"/>
              </w:rPr>
              <w:t>）电池集装箱吊装</w:t>
            </w:r>
          </w:p>
          <w:p w14:paraId="71478F22">
            <w:pPr>
              <w:pStyle w:val="29"/>
            </w:pPr>
            <w:r>
              <w:rPr>
                <w:rFonts w:hint="eastAsia"/>
              </w:rPr>
              <w:t>磷酸铁锂电池集装箱的主要用途是将电池、</w:t>
            </w:r>
            <w:r>
              <w:t>BMS</w:t>
            </w:r>
            <w:r>
              <w:rPr>
                <w:rFonts w:hint="eastAsia"/>
              </w:rPr>
              <w:t>、通讯监控、消防、智能辅助系统等设备有机的集成到</w:t>
            </w:r>
            <w:r>
              <w:t>1</w:t>
            </w:r>
            <w:r>
              <w:rPr>
                <w:rFonts w:hint="eastAsia"/>
              </w:rPr>
              <w:t>个标准的单元中，该标准单元拥有自己独立的供电系统、温度控制系统、隔热系统、阻燃系统、火灾报警及可燃气体探测系统、视频监控系统、安全逃生系统、应急系统、消防系统和防爆泄压系统等自动控制和安全保障系统，配备二氧化碳灭火器。电池集装箱系统必须具备优异的可维修性和可更换性，方便设备维护、维修和更换。柜面的布置应整齐、简洁、美观。柜面上部应设测量表计、故障信号显示装置、指示灯、按钮等。进出线要求：柜体进出线采用下进下出的引线及连接线方式。电池预制舱防护等级不低于</w:t>
            </w:r>
            <w:r>
              <w:t>IP54</w:t>
            </w:r>
            <w:r>
              <w:rPr>
                <w:rFonts w:hint="eastAsia"/>
              </w:rPr>
              <w:t>且在电池预制舱在寿命期限内（</w:t>
            </w:r>
            <w:r>
              <w:t>5</w:t>
            </w:r>
            <w:r>
              <w:rPr>
                <w:rFonts w:hint="eastAsia"/>
              </w:rPr>
              <w:t>年内）具备无限次满载吊装强度。</w:t>
            </w:r>
          </w:p>
          <w:p w14:paraId="41F27EA5">
            <w:pPr>
              <w:spacing w:line="360" w:lineRule="auto"/>
              <w:ind w:firstLine="482" w:firstLineChars="200"/>
              <w:rPr>
                <w:b/>
                <w:bCs/>
                <w:sz w:val="24"/>
              </w:rPr>
            </w:pPr>
            <w:r>
              <w:rPr>
                <w:rFonts w:hint="eastAsia"/>
                <w:b/>
                <w:bCs/>
                <w:sz w:val="24"/>
              </w:rPr>
              <w:t>2、施工周期和人员配置</w:t>
            </w:r>
          </w:p>
          <w:p w14:paraId="34A5F058">
            <w:pPr>
              <w:pStyle w:val="29"/>
            </w:pPr>
            <w:r>
              <w:rPr>
                <w:rFonts w:hint="eastAsia"/>
              </w:rPr>
              <w:t>惠州欣城新能源有限公司</w:t>
            </w:r>
            <w:r>
              <w:t>200MW/400MWh</w:t>
            </w:r>
            <w:r>
              <w:rPr>
                <w:rFonts w:hint="eastAsia"/>
              </w:rPr>
              <w:t>独立储能电站新建项目施工周期约需</w:t>
            </w:r>
            <w:r>
              <w:t>4~6</w:t>
            </w:r>
            <w:r>
              <w:rPr>
                <w:rFonts w:hint="eastAsia"/>
              </w:rPr>
              <w:t>个月，平均每天需布署施工人员</w:t>
            </w:r>
            <w:r>
              <w:t>30</w:t>
            </w:r>
            <w:r>
              <w:rPr>
                <w:rFonts w:hint="eastAsia"/>
              </w:rPr>
              <w:t>人左右。</w:t>
            </w:r>
          </w:p>
        </w:tc>
      </w:tr>
      <w:tr w14:paraId="570A91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49" w:type="pct"/>
          </w:tcPr>
          <w:p w14:paraId="076DECAC">
            <w:pPr>
              <w:pStyle w:val="27"/>
              <w:adjustRightInd w:val="0"/>
              <w:snapToGrid w:val="0"/>
              <w:spacing w:before="0" w:beforeAutospacing="0" w:after="0" w:afterAutospacing="0"/>
              <w:jc w:val="both"/>
              <w:rPr>
                <w:rFonts w:ascii="Times New Roman" w:hAnsi="Times New Roman"/>
                <w:szCs w:val="24"/>
              </w:rPr>
            </w:pPr>
            <w:r>
              <w:rPr>
                <w:rFonts w:hint="eastAsia" w:ascii="Times New Roman" w:hAnsi="Times New Roman"/>
                <w:szCs w:val="24"/>
              </w:rPr>
              <w:t>其他</w:t>
            </w:r>
          </w:p>
        </w:tc>
        <w:tc>
          <w:tcPr>
            <w:tcW w:w="4751" w:type="pct"/>
          </w:tcPr>
          <w:p w14:paraId="44B31A89">
            <w:pPr>
              <w:pStyle w:val="29"/>
            </w:pPr>
            <w:r>
              <w:rPr>
                <w:rFonts w:hint="eastAsia"/>
              </w:rPr>
              <w:t>无。</w:t>
            </w:r>
          </w:p>
        </w:tc>
      </w:tr>
    </w:tbl>
    <w:p w14:paraId="6842CF29">
      <w:pPr>
        <w:pStyle w:val="27"/>
        <w:adjustRightInd w:val="0"/>
        <w:snapToGrid w:val="0"/>
        <w:spacing w:before="0" w:beforeAutospacing="0" w:after="0" w:afterAutospacing="0"/>
        <w:jc w:val="both"/>
        <w:rPr>
          <w:rFonts w:ascii="Times New Roman" w:hAnsi="Times New Roman"/>
          <w:szCs w:val="24"/>
        </w:rPr>
      </w:pPr>
    </w:p>
    <w:p w14:paraId="680D099F">
      <w:pPr>
        <w:pStyle w:val="27"/>
        <w:jc w:val="center"/>
        <w:rPr>
          <w:rFonts w:ascii="Times New Roman" w:hAnsi="Times New Roman" w:eastAsia="黑体"/>
          <w:snapToGrid w:val="0"/>
          <w:sz w:val="36"/>
          <w:szCs w:val="36"/>
        </w:rPr>
        <w:sectPr>
          <w:footerReference r:id="rId6" w:type="default"/>
          <w:pgSz w:w="11905" w:h="16838"/>
          <w:pgMar w:top="1417" w:right="1531" w:bottom="1417" w:left="1531" w:header="851" w:footer="1077" w:gutter="0"/>
          <w:cols w:space="720" w:num="1"/>
          <w:docGrid w:linePitch="312" w:charSpace="0"/>
        </w:sectPr>
      </w:pPr>
    </w:p>
    <w:p w14:paraId="61C4743A">
      <w:pPr>
        <w:pStyle w:val="27"/>
        <w:jc w:val="center"/>
        <w:outlineLvl w:val="0"/>
        <w:rPr>
          <w:rFonts w:ascii="Times New Roman" w:hAnsi="Times New Roman" w:eastAsia="黑体"/>
          <w:snapToGrid w:val="0"/>
          <w:sz w:val="30"/>
          <w:szCs w:val="30"/>
        </w:rPr>
      </w:pPr>
      <w:bookmarkStart w:id="8" w:name="_Toc6586"/>
      <w:bookmarkStart w:id="9" w:name="_Toc14292"/>
      <w:bookmarkStart w:id="10" w:name="_Toc21353"/>
      <w:r>
        <w:rPr>
          <w:rFonts w:hint="eastAsia" w:ascii="Times New Roman" w:hAnsi="Times New Roman" w:eastAsia="黑体"/>
          <w:snapToGrid w:val="0"/>
          <w:sz w:val="30"/>
          <w:szCs w:val="30"/>
        </w:rPr>
        <w:t>三、生态环境现状、保护目标及评价标准</w:t>
      </w:r>
    </w:p>
    <w:tbl>
      <w:tblPr>
        <w:tblStyle w:val="31"/>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546"/>
      </w:tblGrid>
      <w:tr w14:paraId="055BB2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tcMar>
              <w:top w:w="0" w:type="dxa"/>
              <w:left w:w="51" w:type="dxa"/>
              <w:bottom w:w="0" w:type="dxa"/>
              <w:right w:w="51" w:type="dxa"/>
            </w:tcMar>
            <w:vAlign w:val="center"/>
          </w:tcPr>
          <w:p w14:paraId="5535147D">
            <w:pPr>
              <w:pStyle w:val="29"/>
              <w:ind w:firstLine="0" w:firstLineChars="0"/>
              <w:jc w:val="center"/>
            </w:pPr>
            <w:r>
              <w:rPr>
                <w:rFonts w:hint="eastAsia"/>
              </w:rPr>
              <w:t>生态环境现状</w:t>
            </w:r>
          </w:p>
        </w:tc>
        <w:tc>
          <w:tcPr>
            <w:tcW w:w="4761" w:type="pct"/>
            <w:vAlign w:val="center"/>
          </w:tcPr>
          <w:p w14:paraId="7D1D203D">
            <w:pPr>
              <w:pStyle w:val="145"/>
              <w:spacing w:line="360" w:lineRule="auto"/>
              <w:ind w:firstLine="482"/>
              <w:rPr>
                <w:sz w:val="24"/>
              </w:rPr>
            </w:pPr>
            <w:r>
              <w:rPr>
                <w:b/>
                <w:sz w:val="24"/>
              </w:rPr>
              <w:t>1</w:t>
            </w:r>
            <w:r>
              <w:rPr>
                <w:rFonts w:hint="eastAsia"/>
                <w:b/>
                <w:sz w:val="24"/>
              </w:rPr>
              <w:t>、主体功能区规划和生态功能区划</w:t>
            </w:r>
          </w:p>
          <w:p w14:paraId="04691833">
            <w:pPr>
              <w:spacing w:line="360" w:lineRule="auto"/>
              <w:ind w:firstLine="482" w:firstLineChars="200"/>
              <w:rPr>
                <w:b/>
                <w:bCs/>
                <w:sz w:val="24"/>
              </w:rPr>
            </w:pPr>
            <w:r>
              <w:rPr>
                <w:rFonts w:hint="eastAsia"/>
                <w:b/>
                <w:sz w:val="24"/>
              </w:rPr>
              <w:t>（</w:t>
            </w:r>
            <w:r>
              <w:rPr>
                <w:b/>
                <w:sz w:val="24"/>
              </w:rPr>
              <w:t>1</w:t>
            </w:r>
            <w:r>
              <w:rPr>
                <w:rFonts w:hint="eastAsia"/>
                <w:b/>
                <w:sz w:val="24"/>
              </w:rPr>
              <w:t>）</w:t>
            </w:r>
            <w:r>
              <w:rPr>
                <w:rFonts w:hint="eastAsia"/>
                <w:b/>
                <w:bCs/>
                <w:sz w:val="24"/>
              </w:rPr>
              <w:t>主体功能区划</w:t>
            </w:r>
          </w:p>
          <w:p w14:paraId="3C502E53">
            <w:pPr>
              <w:pStyle w:val="2"/>
              <w:spacing w:before="0" w:after="0" w:line="360" w:lineRule="auto"/>
              <w:ind w:left="0" w:firstLine="480" w:firstLineChars="200"/>
              <w:rPr>
                <w:rFonts w:ascii="宋体" w:hAnsi="宋体" w:eastAsia="宋体"/>
                <w:b w:val="0"/>
                <w:color w:val="auto"/>
                <w:sz w:val="24"/>
                <w:szCs w:val="24"/>
              </w:rPr>
            </w:pPr>
            <w:r>
              <w:rPr>
                <w:rFonts w:hint="eastAsia" w:ascii="宋体" w:hAnsi="宋体" w:eastAsia="宋体"/>
                <w:b w:val="0"/>
                <w:color w:val="auto"/>
                <w:sz w:val="24"/>
                <w:szCs w:val="24"/>
              </w:rPr>
              <w:t>根据《惠州市人民政府关于印发惠州市主体功能区划的通知》（惠府[2014]125号），项目所在地位于广东省惠州市博罗县石湾镇，属于惠州市主体功能区划图（见附图</w:t>
            </w:r>
            <w:r>
              <w:rPr>
                <w:rFonts w:eastAsia="宋体"/>
                <w:b w:val="0"/>
                <w:color w:val="auto"/>
                <w:sz w:val="24"/>
                <w:szCs w:val="24"/>
              </w:rPr>
              <w:t>24</w:t>
            </w:r>
            <w:r>
              <w:rPr>
                <w:rFonts w:hint="eastAsia" w:ascii="宋体" w:hAnsi="宋体" w:eastAsia="宋体"/>
                <w:b w:val="0"/>
                <w:color w:val="auto"/>
                <w:sz w:val="24"/>
                <w:szCs w:val="24"/>
              </w:rPr>
              <w:t>）中的重点拓展区。</w:t>
            </w:r>
          </w:p>
          <w:p w14:paraId="04167476">
            <w:pPr>
              <w:spacing w:line="360" w:lineRule="auto"/>
              <w:ind w:firstLine="482" w:firstLineChars="200"/>
              <w:rPr>
                <w:b/>
                <w:sz w:val="24"/>
              </w:rPr>
            </w:pPr>
            <w:r>
              <w:rPr>
                <w:rFonts w:hint="eastAsia"/>
                <w:b/>
                <w:sz w:val="24"/>
              </w:rPr>
              <w:t>（</w:t>
            </w:r>
            <w:r>
              <w:rPr>
                <w:b/>
                <w:sz w:val="24"/>
              </w:rPr>
              <w:t>2</w:t>
            </w:r>
            <w:r>
              <w:rPr>
                <w:rFonts w:hint="eastAsia"/>
                <w:b/>
                <w:sz w:val="24"/>
              </w:rPr>
              <w:t>）生态功能区划</w:t>
            </w:r>
          </w:p>
          <w:p w14:paraId="0564D22C">
            <w:pPr>
              <w:spacing w:line="360" w:lineRule="auto"/>
              <w:ind w:firstLine="480" w:firstLineChars="200"/>
              <w:rPr>
                <w:sz w:val="24"/>
              </w:rPr>
            </w:pPr>
            <w:r>
              <w:rPr>
                <w:rFonts w:hint="eastAsia"/>
                <w:sz w:val="24"/>
              </w:rPr>
              <w:t>项目位于广东省惠州市博罗县石湾镇，根据《博罗县生态保护红线、环境质量底线、资源利用上线和环境准入清单研究报告》（2</w:t>
            </w:r>
            <w:r>
              <w:rPr>
                <w:sz w:val="24"/>
              </w:rPr>
              <w:t>021</w:t>
            </w:r>
            <w:r>
              <w:rPr>
                <w:rFonts w:hint="eastAsia"/>
                <w:sz w:val="24"/>
              </w:rPr>
              <w:t>年1</w:t>
            </w:r>
            <w:r>
              <w:rPr>
                <w:sz w:val="24"/>
              </w:rPr>
              <w:t>2</w:t>
            </w:r>
            <w:r>
              <w:rPr>
                <w:rFonts w:hint="eastAsia"/>
                <w:sz w:val="24"/>
              </w:rPr>
              <w:t>月）的表3.3-2和《博罗县“三线一单”生态环境分区管控图集》（2</w:t>
            </w:r>
            <w:r>
              <w:rPr>
                <w:sz w:val="24"/>
              </w:rPr>
              <w:t>021</w:t>
            </w:r>
            <w:r>
              <w:rPr>
                <w:rFonts w:hint="eastAsia"/>
                <w:sz w:val="24"/>
              </w:rPr>
              <w:t>年1</w:t>
            </w:r>
            <w:r>
              <w:rPr>
                <w:sz w:val="24"/>
              </w:rPr>
              <w:t>2</w:t>
            </w:r>
            <w:r>
              <w:rPr>
                <w:rFonts w:hint="eastAsia"/>
                <w:sz w:val="24"/>
              </w:rPr>
              <w:t>月）图7生态空间最终划定情况（本项目附图1</w:t>
            </w:r>
            <w:r>
              <w:rPr>
                <w:sz w:val="24"/>
              </w:rPr>
              <w:t>2</w:t>
            </w:r>
            <w:r>
              <w:rPr>
                <w:rFonts w:hint="eastAsia"/>
                <w:sz w:val="24"/>
              </w:rPr>
              <w:t>），博罗产业转移园（博西片区）重点管控单元区域（</w:t>
            </w:r>
            <w:r>
              <w:rPr>
                <w:sz w:val="24"/>
              </w:rPr>
              <w:t>ZH44132220005</w:t>
            </w:r>
            <w:r>
              <w:rPr>
                <w:rFonts w:hint="eastAsia"/>
                <w:sz w:val="24"/>
              </w:rPr>
              <w:t>），位于生态空间一般管控区内，不属于一般生态空间内，也不在生态保护红线内。</w:t>
            </w:r>
          </w:p>
          <w:p w14:paraId="27B5F500">
            <w:pPr>
              <w:spacing w:line="360" w:lineRule="auto"/>
              <w:ind w:firstLine="482" w:firstLineChars="200"/>
              <w:rPr>
                <w:sz w:val="24"/>
              </w:rPr>
            </w:pPr>
            <w:r>
              <w:rPr>
                <w:rFonts w:hint="eastAsia"/>
                <w:b/>
                <w:bCs/>
                <w:sz w:val="24"/>
              </w:rPr>
              <w:t>（</w:t>
            </w:r>
            <w:r>
              <w:rPr>
                <w:b/>
                <w:bCs/>
                <w:sz w:val="24"/>
              </w:rPr>
              <w:t>3</w:t>
            </w:r>
            <w:r>
              <w:rPr>
                <w:rFonts w:hint="eastAsia"/>
                <w:b/>
                <w:bCs/>
                <w:sz w:val="24"/>
              </w:rPr>
              <w:t>）</w:t>
            </w:r>
            <w:r>
              <w:rPr>
                <w:rFonts w:hint="eastAsia"/>
                <w:b/>
                <w:sz w:val="24"/>
              </w:rPr>
              <w:t>大气环境功能区划</w:t>
            </w:r>
          </w:p>
          <w:p w14:paraId="18C04FDC">
            <w:pPr>
              <w:spacing w:line="360" w:lineRule="auto"/>
              <w:ind w:firstLine="480" w:firstLineChars="200"/>
              <w:rPr>
                <w:sz w:val="24"/>
              </w:rPr>
            </w:pPr>
            <w:r>
              <w:rPr>
                <w:rFonts w:hint="eastAsia"/>
                <w:sz w:val="24"/>
              </w:rPr>
              <w:t>根据《惠州市环境空气质量功能区划（</w:t>
            </w:r>
            <w:r>
              <w:rPr>
                <w:sz w:val="24"/>
              </w:rPr>
              <w:t>2024</w:t>
            </w:r>
            <w:r>
              <w:rPr>
                <w:rFonts w:hint="eastAsia"/>
                <w:sz w:val="24"/>
              </w:rPr>
              <w:t>年修订）》</w:t>
            </w:r>
            <w:r>
              <w:rPr>
                <w:rFonts w:hint="eastAsia"/>
                <w:sz w:val="24"/>
                <w:lang w:bidi="ar"/>
              </w:rPr>
              <w:t>（惠市环〔</w:t>
            </w:r>
            <w:r>
              <w:rPr>
                <w:sz w:val="24"/>
                <w:lang w:bidi="ar"/>
              </w:rPr>
              <w:t>2024</w:t>
            </w:r>
            <w:r>
              <w:rPr>
                <w:rFonts w:hint="eastAsia"/>
                <w:sz w:val="24"/>
                <w:lang w:bidi="ar"/>
              </w:rPr>
              <w:t>〕</w:t>
            </w:r>
            <w:r>
              <w:rPr>
                <w:sz w:val="24"/>
                <w:lang w:bidi="ar"/>
              </w:rPr>
              <w:t>16</w:t>
            </w:r>
            <w:r>
              <w:rPr>
                <w:rFonts w:hint="eastAsia"/>
                <w:sz w:val="24"/>
                <w:lang w:bidi="ar"/>
              </w:rPr>
              <w:t>号）</w:t>
            </w:r>
            <w:r>
              <w:rPr>
                <w:rFonts w:hint="eastAsia"/>
                <w:sz w:val="24"/>
              </w:rPr>
              <w:t>，（见附图</w:t>
            </w:r>
            <w:r>
              <w:rPr>
                <w:sz w:val="24"/>
              </w:rPr>
              <w:t>9</w:t>
            </w:r>
            <w:r>
              <w:rPr>
                <w:rFonts w:hint="eastAsia"/>
                <w:sz w:val="24"/>
              </w:rPr>
              <w:t>）项目位于环境空气质量二类功能区，执行《环境空气质量标准》（</w:t>
            </w:r>
            <w:r>
              <w:rPr>
                <w:sz w:val="24"/>
              </w:rPr>
              <w:t>GB3095-2012</w:t>
            </w:r>
            <w:r>
              <w:rPr>
                <w:rFonts w:hint="eastAsia"/>
                <w:sz w:val="24"/>
              </w:rPr>
              <w:t>）及其修改单二级标准。</w:t>
            </w:r>
          </w:p>
          <w:p w14:paraId="55AFEB3E">
            <w:pPr>
              <w:spacing w:line="360" w:lineRule="auto"/>
              <w:ind w:firstLine="482" w:firstLineChars="200"/>
              <w:rPr>
                <w:b/>
                <w:sz w:val="24"/>
              </w:rPr>
            </w:pPr>
            <w:r>
              <w:rPr>
                <w:rFonts w:hint="eastAsia"/>
                <w:b/>
                <w:sz w:val="24"/>
              </w:rPr>
              <w:t>（</w:t>
            </w:r>
            <w:r>
              <w:rPr>
                <w:b/>
                <w:sz w:val="24"/>
              </w:rPr>
              <w:t>4</w:t>
            </w:r>
            <w:r>
              <w:rPr>
                <w:rFonts w:hint="eastAsia"/>
                <w:b/>
                <w:sz w:val="24"/>
              </w:rPr>
              <w:t>）声环</w:t>
            </w:r>
            <w:r>
              <w:rPr>
                <w:rFonts w:hint="eastAsia"/>
                <w:b/>
                <w:bCs/>
                <w:sz w:val="24"/>
              </w:rPr>
              <w:t>境功能</w:t>
            </w:r>
            <w:r>
              <w:rPr>
                <w:rFonts w:hint="eastAsia"/>
                <w:b/>
                <w:sz w:val="24"/>
              </w:rPr>
              <w:t>区划</w:t>
            </w:r>
          </w:p>
          <w:p w14:paraId="10B29E65">
            <w:pPr>
              <w:spacing w:line="360" w:lineRule="auto"/>
              <w:ind w:firstLine="480" w:firstLineChars="200"/>
              <w:rPr>
                <w:sz w:val="24"/>
              </w:rPr>
            </w:pPr>
            <w:r>
              <w:rPr>
                <w:rFonts w:hint="eastAsia"/>
                <w:sz w:val="24"/>
              </w:rPr>
              <w:t>项目选址范围涉及未划定声环境功能区，根据《惠州市生态环境局关于印发&lt;惠州市声环境功能区划分方案（2022年）&gt;的通知》：“（二）划分范围以外的区域执行以下标准：4．独立于村庄、集镇之外的工业、仓储集中区执行3类声环境功能区要求”。项目位于博罗智能装备产业园，属于工业集中区，因此项目所在区域执行《声环境质量标准》（GB3096-2008）3类标准</w:t>
            </w:r>
            <w:r>
              <w:rPr>
                <w:rFonts w:hint="eastAsia"/>
                <w:sz w:val="24"/>
                <w:lang w:bidi="ar"/>
              </w:rPr>
              <w:t>。</w:t>
            </w:r>
          </w:p>
          <w:p w14:paraId="4D35A061">
            <w:pPr>
              <w:spacing w:line="360" w:lineRule="auto"/>
              <w:ind w:firstLine="482" w:firstLineChars="200"/>
              <w:rPr>
                <w:sz w:val="24"/>
              </w:rPr>
            </w:pPr>
            <w:r>
              <w:rPr>
                <w:rFonts w:hint="eastAsia"/>
                <w:b/>
                <w:sz w:val="24"/>
              </w:rPr>
              <w:t>（</w:t>
            </w:r>
            <w:r>
              <w:rPr>
                <w:b/>
                <w:sz w:val="24"/>
              </w:rPr>
              <w:t>5</w:t>
            </w:r>
            <w:r>
              <w:rPr>
                <w:rFonts w:hint="eastAsia"/>
                <w:b/>
                <w:sz w:val="24"/>
              </w:rPr>
              <w:t>）</w:t>
            </w:r>
            <w:r>
              <w:rPr>
                <w:rFonts w:hint="eastAsia"/>
                <w:b/>
                <w:bCs/>
                <w:sz w:val="24"/>
              </w:rPr>
              <w:t>土地利用情况</w:t>
            </w:r>
          </w:p>
          <w:p w14:paraId="3B200228">
            <w:pPr>
              <w:spacing w:line="360" w:lineRule="auto"/>
              <w:ind w:firstLine="480" w:firstLineChars="200"/>
              <w:rPr>
                <w:sz w:val="24"/>
              </w:rPr>
            </w:pPr>
            <w:r>
              <w:rPr>
                <w:rFonts w:hint="eastAsia"/>
                <w:sz w:val="24"/>
              </w:rPr>
              <w:t>根据《博罗县石湾镇国土空间总体规划（</w:t>
            </w:r>
            <w:r>
              <w:rPr>
                <w:sz w:val="24"/>
              </w:rPr>
              <w:t>2021-2035</w:t>
            </w:r>
            <w:r>
              <w:rPr>
                <w:rFonts w:hint="eastAsia"/>
                <w:sz w:val="24"/>
              </w:rPr>
              <w:t>年）》，详见附图</w:t>
            </w:r>
            <w:r>
              <w:rPr>
                <w:sz w:val="24"/>
              </w:rPr>
              <w:t>4</w:t>
            </w:r>
            <w:r>
              <w:rPr>
                <w:rFonts w:hint="eastAsia"/>
                <w:sz w:val="24"/>
              </w:rPr>
              <w:t>，项目用地涉及工业用地，不涉及基本农田保护区、生态环境安全控制区、自然与文化遗产保护区等需要特别保护的区域，项目用地符合当地片区规划。</w:t>
            </w:r>
          </w:p>
          <w:p w14:paraId="4A3BC3FC">
            <w:pPr>
              <w:pStyle w:val="10"/>
              <w:rPr>
                <w:szCs w:val="24"/>
              </w:rPr>
            </w:pPr>
            <w:r>
              <w:rPr>
                <w:rFonts w:hint="eastAsia"/>
                <w:szCs w:val="24"/>
              </w:rPr>
              <w:t>本项目所在区域环境功能属性见下表。</w:t>
            </w:r>
          </w:p>
          <w:p w14:paraId="093B6999">
            <w:pPr>
              <w:pStyle w:val="132"/>
              <w:rPr>
                <w:b/>
              </w:rPr>
            </w:pPr>
            <w:r>
              <w:rPr>
                <w:rFonts w:hint="eastAsia"/>
                <w:b/>
              </w:rPr>
              <w:t>表</w:t>
            </w:r>
            <w:r>
              <w:rPr>
                <w:b/>
              </w:rPr>
              <w:t>3-1</w:t>
            </w:r>
            <w:r>
              <w:rPr>
                <w:rFonts w:hint="eastAsia"/>
                <w:b/>
              </w:rPr>
              <w:t>区域环境功能属性表</w:t>
            </w:r>
          </w:p>
          <w:tbl>
            <w:tblPr>
              <w:tblStyle w:val="15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60"/>
              <w:gridCol w:w="2661"/>
              <w:gridCol w:w="1279"/>
              <w:gridCol w:w="3730"/>
            </w:tblGrid>
            <w:tr w14:paraId="13B81D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trPr>
              <w:tc>
                <w:tcPr>
                  <w:tcW w:w="396" w:type="pct"/>
                  <w:vAlign w:val="center"/>
                </w:tcPr>
                <w:p w14:paraId="775CCEA3">
                  <w:pPr>
                    <w:pStyle w:val="149"/>
                    <w:rPr>
                      <w:rFonts w:hint="default" w:ascii="Times New Roman" w:hAnsi="Times New Roman" w:eastAsia="宋体" w:cs="Times New Roman"/>
                      <w:b/>
                      <w:i w:val="0"/>
                    </w:rPr>
                  </w:pPr>
                  <w:r>
                    <w:rPr>
                      <w:rFonts w:hint="eastAsia" w:ascii="Times New Roman" w:hAnsi="Times New Roman" w:eastAsia="宋体" w:cs="Times New Roman"/>
                      <w:b/>
                      <w:i w:val="0"/>
                    </w:rPr>
                    <w:t>编号</w:t>
                  </w:r>
                </w:p>
              </w:tc>
              <w:tc>
                <w:tcPr>
                  <w:tcW w:w="1597" w:type="pct"/>
                  <w:vAlign w:val="center"/>
                </w:tcPr>
                <w:p w14:paraId="2B2E930C">
                  <w:pPr>
                    <w:pStyle w:val="149"/>
                    <w:rPr>
                      <w:rFonts w:hint="default" w:ascii="Times New Roman" w:hAnsi="Times New Roman" w:eastAsia="宋体" w:cs="Times New Roman"/>
                      <w:b/>
                      <w:i w:val="0"/>
                    </w:rPr>
                  </w:pPr>
                  <w:r>
                    <w:rPr>
                      <w:rFonts w:hint="eastAsia" w:ascii="Times New Roman" w:hAnsi="Times New Roman" w:eastAsia="宋体" w:cs="Times New Roman"/>
                      <w:b/>
                      <w:i w:val="0"/>
                    </w:rPr>
                    <w:t>项目</w:t>
                  </w:r>
                </w:p>
              </w:tc>
              <w:tc>
                <w:tcPr>
                  <w:tcW w:w="3007" w:type="pct"/>
                  <w:gridSpan w:val="2"/>
                  <w:vAlign w:val="center"/>
                </w:tcPr>
                <w:p w14:paraId="0C2D0A0A">
                  <w:pPr>
                    <w:pStyle w:val="149"/>
                    <w:rPr>
                      <w:rFonts w:hint="default" w:ascii="Times New Roman" w:hAnsi="Times New Roman" w:eastAsia="宋体" w:cs="Times New Roman"/>
                      <w:b/>
                      <w:i w:val="0"/>
                    </w:rPr>
                  </w:pPr>
                  <w:r>
                    <w:rPr>
                      <w:rFonts w:hint="eastAsia" w:ascii="Times New Roman" w:hAnsi="Times New Roman" w:eastAsia="宋体" w:cs="Times New Roman"/>
                      <w:b/>
                      <w:i w:val="0"/>
                    </w:rPr>
                    <w:t>功能属性及执行标准</w:t>
                  </w:r>
                </w:p>
              </w:tc>
            </w:tr>
            <w:tr w14:paraId="7F8861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Merge w:val="restart"/>
                  <w:vAlign w:val="center"/>
                </w:tcPr>
                <w:p w14:paraId="0CEB242E">
                  <w:pPr>
                    <w:pStyle w:val="149"/>
                    <w:rPr>
                      <w:rFonts w:eastAsia="Times New Roman"/>
                      <w:bCs/>
                    </w:rPr>
                  </w:pPr>
                  <w:r>
                    <w:rPr>
                      <w:rFonts w:eastAsia="Times New Roman"/>
                      <w:bCs/>
                    </w:rPr>
                    <w:t>1</w:t>
                  </w:r>
                </w:p>
              </w:tc>
              <w:tc>
                <w:tcPr>
                  <w:tcW w:w="1597" w:type="pct"/>
                  <w:vMerge w:val="restart"/>
                  <w:vAlign w:val="center"/>
                </w:tcPr>
                <w:p w14:paraId="15CB7AEB">
                  <w:pPr>
                    <w:pStyle w:val="149"/>
                    <w:rPr>
                      <w:rFonts w:eastAsia="Times New Roman"/>
                      <w:bCs/>
                    </w:rPr>
                  </w:pPr>
                  <w:r>
                    <w:rPr>
                      <w:rFonts w:hint="eastAsia" w:ascii="宋体" w:hAnsi="宋体" w:eastAsia="宋体" w:cs="宋体"/>
                      <w:bCs/>
                    </w:rPr>
                    <w:t>水环境功能区</w:t>
                  </w:r>
                </w:p>
              </w:tc>
              <w:tc>
                <w:tcPr>
                  <w:tcW w:w="768" w:type="pct"/>
                  <w:vAlign w:val="center"/>
                </w:tcPr>
                <w:p w14:paraId="2AEDC87A">
                  <w:pPr>
                    <w:pStyle w:val="149"/>
                    <w:rPr>
                      <w:rFonts w:eastAsia="Times New Roman"/>
                      <w:bCs/>
                    </w:rPr>
                  </w:pPr>
                  <w:r>
                    <w:rPr>
                      <w:rFonts w:hint="eastAsia" w:ascii="宋体" w:hAnsi="宋体" w:eastAsia="宋体" w:cs="宋体"/>
                    </w:rPr>
                    <w:t>石湾镇中心排渠</w:t>
                  </w:r>
                </w:p>
              </w:tc>
              <w:tc>
                <w:tcPr>
                  <w:tcW w:w="2239" w:type="pct"/>
                  <w:vAlign w:val="center"/>
                </w:tcPr>
                <w:p w14:paraId="026CE9D9">
                  <w:pPr>
                    <w:pStyle w:val="149"/>
                    <w:rPr>
                      <w:rFonts w:eastAsia="Times New Roman"/>
                      <w:bCs/>
                    </w:rPr>
                  </w:pPr>
                  <w:r>
                    <w:rPr>
                      <w:rFonts w:eastAsia="Times New Roman"/>
                    </w:rPr>
                    <w:t>V</w:t>
                  </w:r>
                  <w:r>
                    <w:rPr>
                      <w:rFonts w:hint="eastAsia" w:ascii="宋体" w:hAnsi="宋体" w:eastAsia="宋体" w:cs="宋体"/>
                      <w:bCs/>
                    </w:rPr>
                    <w:t>类，执行《地表水环境质量标准》（</w:t>
                  </w:r>
                  <w:r>
                    <w:rPr>
                      <w:rFonts w:eastAsia="Times New Roman"/>
                      <w:bCs/>
                    </w:rPr>
                    <w:t>GB3838-2002</w:t>
                  </w:r>
                  <w:r>
                    <w:rPr>
                      <w:rFonts w:hint="eastAsia" w:ascii="宋体" w:hAnsi="宋体" w:eastAsia="宋体" w:cs="宋体"/>
                      <w:bCs/>
                    </w:rPr>
                    <w:t>）</w:t>
                  </w:r>
                  <w:r>
                    <w:rPr>
                      <w:rFonts w:eastAsia="Times New Roman"/>
                    </w:rPr>
                    <w:t>V</w:t>
                  </w:r>
                  <w:r>
                    <w:rPr>
                      <w:rFonts w:hint="eastAsia" w:ascii="宋体" w:hAnsi="宋体" w:eastAsia="宋体" w:cs="宋体"/>
                      <w:bCs/>
                    </w:rPr>
                    <w:t>类标准。</w:t>
                  </w:r>
                </w:p>
              </w:tc>
            </w:tr>
            <w:tr w14:paraId="24E195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Merge w:val="continue"/>
                  <w:vAlign w:val="center"/>
                </w:tcPr>
                <w:p w14:paraId="3477D7A1">
                  <w:pPr>
                    <w:pStyle w:val="149"/>
                    <w:rPr>
                      <w:rFonts w:eastAsia="Times New Roman"/>
                      <w:bCs/>
                    </w:rPr>
                  </w:pPr>
                </w:p>
              </w:tc>
              <w:tc>
                <w:tcPr>
                  <w:tcW w:w="1597" w:type="pct"/>
                  <w:vMerge w:val="continue"/>
                  <w:vAlign w:val="center"/>
                </w:tcPr>
                <w:p w14:paraId="33E4780F">
                  <w:pPr>
                    <w:pStyle w:val="149"/>
                    <w:rPr>
                      <w:rFonts w:eastAsia="Times New Roman"/>
                      <w:bCs/>
                    </w:rPr>
                  </w:pPr>
                </w:p>
              </w:tc>
              <w:tc>
                <w:tcPr>
                  <w:tcW w:w="768" w:type="pct"/>
                  <w:vAlign w:val="center"/>
                </w:tcPr>
                <w:p w14:paraId="11F410EC">
                  <w:pPr>
                    <w:pStyle w:val="149"/>
                    <w:rPr>
                      <w:rFonts w:eastAsia="Times New Roman"/>
                      <w:bCs/>
                    </w:rPr>
                  </w:pPr>
                  <w:r>
                    <w:rPr>
                      <w:rFonts w:hint="eastAsia" w:ascii="宋体" w:hAnsi="宋体" w:eastAsia="宋体" w:cs="宋体"/>
                    </w:rPr>
                    <w:t>紧水河</w:t>
                  </w:r>
                </w:p>
              </w:tc>
              <w:tc>
                <w:tcPr>
                  <w:tcW w:w="2239" w:type="pct"/>
                  <w:vAlign w:val="center"/>
                </w:tcPr>
                <w:p w14:paraId="2458308A">
                  <w:pPr>
                    <w:pStyle w:val="149"/>
                    <w:rPr>
                      <w:rFonts w:eastAsia="Times New Roman"/>
                      <w:bCs/>
                    </w:rPr>
                  </w:pPr>
                  <w:r>
                    <w:rPr>
                      <w:rFonts w:eastAsia="Times New Roman"/>
                      <w:bCs/>
                    </w:rPr>
                    <w:t>III</w:t>
                  </w:r>
                  <w:r>
                    <w:rPr>
                      <w:rFonts w:hint="eastAsia" w:ascii="宋体" w:hAnsi="宋体" w:eastAsia="宋体" w:cs="宋体"/>
                      <w:bCs/>
                    </w:rPr>
                    <w:t>类，执行《地表水环境质量标准》（</w:t>
                  </w:r>
                  <w:r>
                    <w:rPr>
                      <w:rFonts w:eastAsia="Times New Roman"/>
                      <w:bCs/>
                    </w:rPr>
                    <w:t>GB3838-2002</w:t>
                  </w:r>
                  <w:r>
                    <w:rPr>
                      <w:rFonts w:hint="eastAsia" w:ascii="宋体" w:hAnsi="宋体" w:eastAsia="宋体" w:cs="宋体"/>
                      <w:bCs/>
                    </w:rPr>
                    <w:t>）</w:t>
                  </w:r>
                  <w:r>
                    <w:rPr>
                      <w:rFonts w:eastAsia="Times New Roman"/>
                      <w:bCs/>
                    </w:rPr>
                    <w:t>III</w:t>
                  </w:r>
                  <w:r>
                    <w:rPr>
                      <w:rFonts w:hint="eastAsia" w:ascii="宋体" w:hAnsi="宋体" w:eastAsia="宋体" w:cs="宋体"/>
                      <w:bCs/>
                    </w:rPr>
                    <w:t>类标准。</w:t>
                  </w:r>
                </w:p>
              </w:tc>
            </w:tr>
            <w:tr w14:paraId="1CF461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Merge w:val="continue"/>
                  <w:vAlign w:val="center"/>
                </w:tcPr>
                <w:p w14:paraId="43D14D50">
                  <w:pPr>
                    <w:pStyle w:val="149"/>
                    <w:rPr>
                      <w:rFonts w:eastAsia="Times New Roman"/>
                      <w:bCs/>
                    </w:rPr>
                  </w:pPr>
                </w:p>
              </w:tc>
              <w:tc>
                <w:tcPr>
                  <w:tcW w:w="1597" w:type="pct"/>
                  <w:vMerge w:val="continue"/>
                  <w:vAlign w:val="center"/>
                </w:tcPr>
                <w:p w14:paraId="1327A142">
                  <w:pPr>
                    <w:pStyle w:val="149"/>
                    <w:rPr>
                      <w:rFonts w:eastAsia="Times New Roman"/>
                      <w:bCs/>
                    </w:rPr>
                  </w:pPr>
                </w:p>
              </w:tc>
              <w:tc>
                <w:tcPr>
                  <w:tcW w:w="768" w:type="pct"/>
                  <w:vAlign w:val="center"/>
                </w:tcPr>
                <w:p w14:paraId="4AB69F85">
                  <w:pPr>
                    <w:pStyle w:val="149"/>
                    <w:rPr>
                      <w:rFonts w:eastAsia="Times New Roman"/>
                      <w:bCs/>
                    </w:rPr>
                  </w:pPr>
                  <w:r>
                    <w:rPr>
                      <w:rFonts w:hint="eastAsia" w:ascii="宋体" w:hAnsi="宋体" w:eastAsia="宋体" w:cs="宋体"/>
                      <w:bCs/>
                    </w:rPr>
                    <w:t>东江</w:t>
                  </w:r>
                </w:p>
              </w:tc>
              <w:tc>
                <w:tcPr>
                  <w:tcW w:w="2239" w:type="pct"/>
                  <w:vAlign w:val="center"/>
                </w:tcPr>
                <w:p w14:paraId="37D2537D">
                  <w:pPr>
                    <w:pStyle w:val="149"/>
                    <w:rPr>
                      <w:rFonts w:eastAsia="Times New Roman"/>
                      <w:bCs/>
                    </w:rPr>
                  </w:pPr>
                  <w:r>
                    <w:rPr>
                      <w:rFonts w:hint="eastAsia" w:eastAsia="Times New Roman"/>
                    </w:rPr>
                    <w:t>Ⅱ</w:t>
                  </w:r>
                  <w:r>
                    <w:rPr>
                      <w:rFonts w:hint="eastAsia" w:ascii="宋体" w:hAnsi="宋体" w:eastAsia="宋体" w:cs="宋体"/>
                    </w:rPr>
                    <w:t>类，</w:t>
                  </w:r>
                  <w:r>
                    <w:rPr>
                      <w:rFonts w:hint="eastAsia" w:ascii="宋体" w:hAnsi="宋体" w:eastAsia="宋体" w:cs="宋体"/>
                      <w:bCs/>
                    </w:rPr>
                    <w:t>执行《地表水环境质量标准》（</w:t>
                  </w:r>
                  <w:r>
                    <w:rPr>
                      <w:rFonts w:eastAsia="Times New Roman"/>
                      <w:bCs/>
                    </w:rPr>
                    <w:t>GB3838-2002</w:t>
                  </w:r>
                  <w:r>
                    <w:rPr>
                      <w:rFonts w:hint="eastAsia" w:ascii="宋体" w:hAnsi="宋体" w:eastAsia="宋体" w:cs="宋体"/>
                      <w:bCs/>
                    </w:rPr>
                    <w:t>）</w:t>
                  </w:r>
                  <w:r>
                    <w:rPr>
                      <w:rFonts w:hint="eastAsia" w:eastAsia="Times New Roman"/>
                    </w:rPr>
                    <w:t>Ⅱ</w:t>
                  </w:r>
                  <w:r>
                    <w:rPr>
                      <w:rFonts w:hint="eastAsia" w:ascii="宋体" w:hAnsi="宋体" w:eastAsia="宋体" w:cs="宋体"/>
                      <w:bCs/>
                    </w:rPr>
                    <w:t>类标准。</w:t>
                  </w:r>
                </w:p>
              </w:tc>
            </w:tr>
            <w:tr w14:paraId="3B4985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Align w:val="center"/>
                </w:tcPr>
                <w:p w14:paraId="46922084">
                  <w:pPr>
                    <w:pStyle w:val="149"/>
                    <w:rPr>
                      <w:rFonts w:eastAsia="Times New Roman"/>
                      <w:bCs/>
                    </w:rPr>
                  </w:pPr>
                  <w:r>
                    <w:rPr>
                      <w:rFonts w:eastAsia="Times New Roman"/>
                      <w:bCs/>
                    </w:rPr>
                    <w:t>2</w:t>
                  </w:r>
                </w:p>
              </w:tc>
              <w:tc>
                <w:tcPr>
                  <w:tcW w:w="1597" w:type="pct"/>
                  <w:vAlign w:val="center"/>
                </w:tcPr>
                <w:p w14:paraId="4330C784">
                  <w:pPr>
                    <w:pStyle w:val="149"/>
                    <w:rPr>
                      <w:rFonts w:eastAsia="Times New Roman"/>
                      <w:bCs/>
                    </w:rPr>
                  </w:pPr>
                  <w:r>
                    <w:rPr>
                      <w:rFonts w:hint="eastAsia" w:ascii="宋体" w:hAnsi="宋体" w:eastAsia="宋体" w:cs="宋体"/>
                      <w:bCs/>
                    </w:rPr>
                    <w:t>环境空气质量功能区</w:t>
                  </w:r>
                </w:p>
              </w:tc>
              <w:tc>
                <w:tcPr>
                  <w:tcW w:w="3007" w:type="pct"/>
                  <w:gridSpan w:val="2"/>
                  <w:vAlign w:val="center"/>
                </w:tcPr>
                <w:p w14:paraId="2E785585">
                  <w:pPr>
                    <w:pStyle w:val="149"/>
                    <w:rPr>
                      <w:rFonts w:eastAsia="Times New Roman"/>
                      <w:bCs/>
                    </w:rPr>
                  </w:pPr>
                  <w:r>
                    <w:rPr>
                      <w:rFonts w:hint="eastAsia" w:ascii="宋体" w:hAnsi="宋体" w:eastAsia="宋体" w:cs="宋体"/>
                      <w:bCs/>
                    </w:rPr>
                    <w:t>二类区，执行《环境空气质量标准》</w:t>
                  </w:r>
                  <w:r>
                    <w:rPr>
                      <w:rFonts w:eastAsia="Times New Roman"/>
                      <w:bCs/>
                    </w:rPr>
                    <w:t>(GB3095-2012)</w:t>
                  </w:r>
                  <w:r>
                    <w:rPr>
                      <w:rFonts w:hint="eastAsia" w:ascii="宋体" w:hAnsi="宋体" w:eastAsia="宋体" w:cs="宋体"/>
                      <w:bCs/>
                    </w:rPr>
                    <w:t>及其修改单中的二级标准。</w:t>
                  </w:r>
                </w:p>
              </w:tc>
            </w:tr>
            <w:tr w14:paraId="09D19950">
              <w:tblPrEx>
                <w:tblCellMar>
                  <w:top w:w="0" w:type="dxa"/>
                  <w:left w:w="0" w:type="dxa"/>
                  <w:bottom w:w="0" w:type="dxa"/>
                  <w:right w:w="0" w:type="dxa"/>
                </w:tblCellMar>
              </w:tblPrEx>
              <w:trPr>
                <w:trHeight w:val="397" w:hRule="atLeast"/>
              </w:trPr>
              <w:tc>
                <w:tcPr>
                  <w:tcW w:w="396" w:type="pct"/>
                  <w:vAlign w:val="center"/>
                </w:tcPr>
                <w:p w14:paraId="14ABAC6B">
                  <w:pPr>
                    <w:pStyle w:val="149"/>
                    <w:rPr>
                      <w:rFonts w:eastAsia="Times New Roman"/>
                      <w:bCs/>
                    </w:rPr>
                  </w:pPr>
                  <w:r>
                    <w:rPr>
                      <w:rFonts w:eastAsia="Times New Roman"/>
                      <w:bCs/>
                    </w:rPr>
                    <w:t>3</w:t>
                  </w:r>
                </w:p>
              </w:tc>
              <w:tc>
                <w:tcPr>
                  <w:tcW w:w="1597" w:type="pct"/>
                  <w:vAlign w:val="center"/>
                </w:tcPr>
                <w:p w14:paraId="41781ACF">
                  <w:pPr>
                    <w:pStyle w:val="149"/>
                    <w:rPr>
                      <w:rFonts w:eastAsia="Times New Roman"/>
                      <w:bCs/>
                    </w:rPr>
                  </w:pPr>
                  <w:r>
                    <w:rPr>
                      <w:rFonts w:hint="eastAsia" w:ascii="宋体" w:hAnsi="宋体" w:eastAsia="宋体" w:cs="宋体"/>
                      <w:bCs/>
                    </w:rPr>
                    <w:t>声环境功能区</w:t>
                  </w:r>
                </w:p>
              </w:tc>
              <w:tc>
                <w:tcPr>
                  <w:tcW w:w="3007" w:type="pct"/>
                  <w:gridSpan w:val="2"/>
                  <w:vAlign w:val="center"/>
                </w:tcPr>
                <w:p w14:paraId="0987D680">
                  <w:pPr>
                    <w:pStyle w:val="149"/>
                    <w:rPr>
                      <w:rFonts w:eastAsia="Times New Roman"/>
                      <w:bCs/>
                      <w:lang w:bidi="ar"/>
                    </w:rPr>
                  </w:pPr>
                  <w:r>
                    <w:rPr>
                      <w:rFonts w:hint="eastAsia" w:ascii="宋体" w:hAnsi="宋体" w:eastAsia="宋体" w:cs="宋体"/>
                      <w:bCs/>
                      <w:lang w:bidi="ar"/>
                    </w:rPr>
                    <w:t>执行《声环境质量标准》（</w:t>
                  </w:r>
                  <w:r>
                    <w:rPr>
                      <w:rFonts w:eastAsia="Times New Roman"/>
                      <w:bCs/>
                      <w:lang w:bidi="ar"/>
                    </w:rPr>
                    <w:t>GB3096-2008</w:t>
                  </w:r>
                  <w:r>
                    <w:rPr>
                      <w:rFonts w:hint="eastAsia" w:ascii="宋体" w:hAnsi="宋体" w:eastAsia="宋体" w:cs="宋体"/>
                      <w:bCs/>
                      <w:lang w:bidi="ar"/>
                    </w:rPr>
                    <w:t>）中</w:t>
                  </w:r>
                  <w:r>
                    <w:rPr>
                      <w:rFonts w:eastAsia="Times New Roman"/>
                      <w:bCs/>
                      <w:lang w:bidi="ar"/>
                    </w:rPr>
                    <w:t>3</w:t>
                  </w:r>
                  <w:r>
                    <w:rPr>
                      <w:rFonts w:hint="eastAsia" w:ascii="宋体" w:hAnsi="宋体" w:eastAsia="宋体" w:cs="宋体"/>
                      <w:bCs/>
                      <w:lang w:bidi="ar"/>
                    </w:rPr>
                    <w:t>类标准。</w:t>
                  </w:r>
                </w:p>
              </w:tc>
            </w:tr>
            <w:tr w14:paraId="16BE46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Align w:val="center"/>
                </w:tcPr>
                <w:p w14:paraId="48663662">
                  <w:pPr>
                    <w:pStyle w:val="149"/>
                    <w:rPr>
                      <w:rFonts w:eastAsia="Times New Roman"/>
                      <w:bCs/>
                    </w:rPr>
                  </w:pPr>
                  <w:r>
                    <w:rPr>
                      <w:rFonts w:eastAsia="Times New Roman"/>
                      <w:bCs/>
                    </w:rPr>
                    <w:t>4</w:t>
                  </w:r>
                </w:p>
              </w:tc>
              <w:tc>
                <w:tcPr>
                  <w:tcW w:w="1597" w:type="pct"/>
                  <w:vAlign w:val="center"/>
                </w:tcPr>
                <w:p w14:paraId="03058426">
                  <w:pPr>
                    <w:pStyle w:val="149"/>
                    <w:rPr>
                      <w:rFonts w:eastAsia="Times New Roman"/>
                      <w:bCs/>
                    </w:rPr>
                  </w:pPr>
                  <w:r>
                    <w:rPr>
                      <w:rFonts w:hint="eastAsia" w:ascii="宋体" w:hAnsi="宋体" w:eastAsia="宋体" w:cs="宋体"/>
                      <w:bCs/>
                    </w:rPr>
                    <w:t>是否饮用水源保护区</w:t>
                  </w:r>
                </w:p>
              </w:tc>
              <w:tc>
                <w:tcPr>
                  <w:tcW w:w="3007" w:type="pct"/>
                  <w:gridSpan w:val="2"/>
                  <w:vAlign w:val="center"/>
                </w:tcPr>
                <w:p w14:paraId="2B20F281">
                  <w:pPr>
                    <w:pStyle w:val="149"/>
                    <w:rPr>
                      <w:rFonts w:eastAsia="Times New Roman"/>
                      <w:bCs/>
                    </w:rPr>
                  </w:pPr>
                  <w:r>
                    <w:rPr>
                      <w:rFonts w:hint="eastAsia" w:ascii="宋体" w:hAnsi="宋体" w:eastAsia="宋体" w:cs="宋体"/>
                      <w:bCs/>
                    </w:rPr>
                    <w:t>否</w:t>
                  </w:r>
                </w:p>
              </w:tc>
            </w:tr>
            <w:tr w14:paraId="68A6BC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Align w:val="center"/>
                </w:tcPr>
                <w:p w14:paraId="5615B3C8">
                  <w:pPr>
                    <w:pStyle w:val="149"/>
                    <w:rPr>
                      <w:rFonts w:eastAsia="Times New Roman"/>
                      <w:bCs/>
                    </w:rPr>
                  </w:pPr>
                  <w:r>
                    <w:rPr>
                      <w:rFonts w:eastAsia="Times New Roman"/>
                      <w:bCs/>
                    </w:rPr>
                    <w:t>5</w:t>
                  </w:r>
                </w:p>
              </w:tc>
              <w:tc>
                <w:tcPr>
                  <w:tcW w:w="1597" w:type="pct"/>
                  <w:vAlign w:val="center"/>
                </w:tcPr>
                <w:p w14:paraId="331EA760">
                  <w:pPr>
                    <w:pStyle w:val="149"/>
                    <w:rPr>
                      <w:rFonts w:eastAsia="Times New Roman"/>
                      <w:bCs/>
                    </w:rPr>
                  </w:pPr>
                  <w:r>
                    <w:rPr>
                      <w:rFonts w:hint="eastAsia" w:ascii="宋体" w:hAnsi="宋体" w:eastAsia="宋体" w:cs="宋体"/>
                      <w:bCs/>
                    </w:rPr>
                    <w:t>是否自然保护区</w:t>
                  </w:r>
                </w:p>
              </w:tc>
              <w:tc>
                <w:tcPr>
                  <w:tcW w:w="3007" w:type="pct"/>
                  <w:gridSpan w:val="2"/>
                  <w:vAlign w:val="center"/>
                </w:tcPr>
                <w:p w14:paraId="28774A80">
                  <w:pPr>
                    <w:pStyle w:val="149"/>
                    <w:rPr>
                      <w:rFonts w:eastAsia="Times New Roman"/>
                      <w:bCs/>
                    </w:rPr>
                  </w:pPr>
                  <w:r>
                    <w:rPr>
                      <w:rFonts w:hint="eastAsia" w:ascii="宋体" w:hAnsi="宋体" w:eastAsia="宋体" w:cs="宋体"/>
                      <w:bCs/>
                    </w:rPr>
                    <w:t>否</w:t>
                  </w:r>
                </w:p>
              </w:tc>
            </w:tr>
            <w:tr w14:paraId="4B00FB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Align w:val="center"/>
                </w:tcPr>
                <w:p w14:paraId="12F8DA30">
                  <w:pPr>
                    <w:pStyle w:val="149"/>
                    <w:rPr>
                      <w:rFonts w:eastAsia="Times New Roman"/>
                      <w:bCs/>
                    </w:rPr>
                  </w:pPr>
                  <w:r>
                    <w:rPr>
                      <w:rFonts w:eastAsia="Times New Roman"/>
                      <w:bCs/>
                    </w:rPr>
                    <w:t>6</w:t>
                  </w:r>
                </w:p>
              </w:tc>
              <w:tc>
                <w:tcPr>
                  <w:tcW w:w="1597" w:type="pct"/>
                  <w:vAlign w:val="center"/>
                </w:tcPr>
                <w:p w14:paraId="73CDEC15">
                  <w:pPr>
                    <w:pStyle w:val="149"/>
                    <w:rPr>
                      <w:rFonts w:eastAsia="Times New Roman"/>
                      <w:bCs/>
                    </w:rPr>
                  </w:pPr>
                  <w:r>
                    <w:rPr>
                      <w:rFonts w:hint="eastAsia" w:ascii="宋体" w:hAnsi="宋体" w:eastAsia="宋体" w:cs="宋体"/>
                      <w:bCs/>
                    </w:rPr>
                    <w:t>是否风景名胜保护区</w:t>
                  </w:r>
                </w:p>
              </w:tc>
              <w:tc>
                <w:tcPr>
                  <w:tcW w:w="3007" w:type="pct"/>
                  <w:gridSpan w:val="2"/>
                  <w:vAlign w:val="center"/>
                </w:tcPr>
                <w:p w14:paraId="7C8E8663">
                  <w:pPr>
                    <w:pStyle w:val="149"/>
                    <w:rPr>
                      <w:rFonts w:eastAsia="Times New Roman"/>
                      <w:bCs/>
                    </w:rPr>
                  </w:pPr>
                  <w:r>
                    <w:rPr>
                      <w:rFonts w:hint="eastAsia" w:ascii="宋体" w:hAnsi="宋体" w:eastAsia="宋体" w:cs="宋体"/>
                      <w:bCs/>
                    </w:rPr>
                    <w:t>否</w:t>
                  </w:r>
                </w:p>
              </w:tc>
            </w:tr>
            <w:tr w14:paraId="78CF17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Align w:val="center"/>
                </w:tcPr>
                <w:p w14:paraId="7E8B6EAE">
                  <w:pPr>
                    <w:pStyle w:val="149"/>
                    <w:rPr>
                      <w:rFonts w:eastAsia="Times New Roman"/>
                      <w:bCs/>
                    </w:rPr>
                  </w:pPr>
                  <w:r>
                    <w:rPr>
                      <w:rFonts w:eastAsia="Times New Roman"/>
                      <w:bCs/>
                    </w:rPr>
                    <w:t>7</w:t>
                  </w:r>
                </w:p>
              </w:tc>
              <w:tc>
                <w:tcPr>
                  <w:tcW w:w="1597" w:type="pct"/>
                  <w:vAlign w:val="center"/>
                </w:tcPr>
                <w:p w14:paraId="11C9F133">
                  <w:pPr>
                    <w:pStyle w:val="149"/>
                    <w:rPr>
                      <w:rFonts w:eastAsia="Times New Roman"/>
                      <w:bCs/>
                    </w:rPr>
                  </w:pPr>
                  <w:r>
                    <w:rPr>
                      <w:rFonts w:hint="eastAsia" w:ascii="宋体" w:hAnsi="宋体" w:eastAsia="宋体" w:cs="宋体"/>
                      <w:bCs/>
                    </w:rPr>
                    <w:t>是否基本农田保护区</w:t>
                  </w:r>
                </w:p>
              </w:tc>
              <w:tc>
                <w:tcPr>
                  <w:tcW w:w="3007" w:type="pct"/>
                  <w:gridSpan w:val="2"/>
                  <w:vAlign w:val="center"/>
                </w:tcPr>
                <w:p w14:paraId="759C7CAD">
                  <w:pPr>
                    <w:pStyle w:val="149"/>
                    <w:rPr>
                      <w:rFonts w:eastAsia="Times New Roman"/>
                      <w:bCs/>
                    </w:rPr>
                  </w:pPr>
                  <w:r>
                    <w:rPr>
                      <w:rFonts w:hint="eastAsia" w:ascii="宋体" w:hAnsi="宋体" w:eastAsia="宋体" w:cs="宋体"/>
                      <w:bCs/>
                    </w:rPr>
                    <w:t>否</w:t>
                  </w:r>
                </w:p>
              </w:tc>
            </w:tr>
            <w:tr w14:paraId="72E54F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Align w:val="center"/>
                </w:tcPr>
                <w:p w14:paraId="6FE0094D">
                  <w:pPr>
                    <w:pStyle w:val="149"/>
                    <w:rPr>
                      <w:rFonts w:eastAsia="Times New Roman"/>
                      <w:bCs/>
                    </w:rPr>
                  </w:pPr>
                  <w:r>
                    <w:rPr>
                      <w:rFonts w:eastAsia="Times New Roman"/>
                      <w:bCs/>
                    </w:rPr>
                    <w:t>8</w:t>
                  </w:r>
                </w:p>
              </w:tc>
              <w:tc>
                <w:tcPr>
                  <w:tcW w:w="1597" w:type="pct"/>
                  <w:vAlign w:val="center"/>
                </w:tcPr>
                <w:p w14:paraId="583C3D35">
                  <w:pPr>
                    <w:pStyle w:val="149"/>
                    <w:rPr>
                      <w:rFonts w:eastAsia="Times New Roman"/>
                      <w:bCs/>
                    </w:rPr>
                  </w:pPr>
                  <w:r>
                    <w:rPr>
                      <w:rFonts w:hint="eastAsia" w:ascii="宋体" w:hAnsi="宋体" w:eastAsia="宋体" w:cs="宋体"/>
                      <w:bCs/>
                    </w:rPr>
                    <w:t>是否生态敏感与脆弱区</w:t>
                  </w:r>
                </w:p>
              </w:tc>
              <w:tc>
                <w:tcPr>
                  <w:tcW w:w="3007" w:type="pct"/>
                  <w:gridSpan w:val="2"/>
                  <w:vAlign w:val="center"/>
                </w:tcPr>
                <w:p w14:paraId="1CFAD29F">
                  <w:pPr>
                    <w:pStyle w:val="149"/>
                    <w:rPr>
                      <w:rFonts w:eastAsia="Times New Roman"/>
                      <w:bCs/>
                    </w:rPr>
                  </w:pPr>
                  <w:r>
                    <w:rPr>
                      <w:rFonts w:hint="eastAsia" w:ascii="宋体" w:hAnsi="宋体" w:eastAsia="宋体" w:cs="宋体"/>
                      <w:bCs/>
                    </w:rPr>
                    <w:t>否</w:t>
                  </w:r>
                </w:p>
              </w:tc>
            </w:tr>
            <w:tr w14:paraId="24E566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Align w:val="center"/>
                </w:tcPr>
                <w:p w14:paraId="217C79DF">
                  <w:pPr>
                    <w:pStyle w:val="149"/>
                    <w:rPr>
                      <w:rFonts w:eastAsia="Times New Roman"/>
                      <w:bCs/>
                    </w:rPr>
                  </w:pPr>
                  <w:r>
                    <w:rPr>
                      <w:rFonts w:eastAsia="Times New Roman"/>
                      <w:bCs/>
                    </w:rPr>
                    <w:t>9</w:t>
                  </w:r>
                </w:p>
              </w:tc>
              <w:tc>
                <w:tcPr>
                  <w:tcW w:w="1597" w:type="pct"/>
                  <w:vAlign w:val="center"/>
                </w:tcPr>
                <w:p w14:paraId="6718E4E9">
                  <w:pPr>
                    <w:pStyle w:val="149"/>
                    <w:rPr>
                      <w:rFonts w:eastAsia="Times New Roman"/>
                      <w:bCs/>
                    </w:rPr>
                  </w:pPr>
                  <w:r>
                    <w:rPr>
                      <w:rFonts w:hint="eastAsia" w:ascii="宋体" w:hAnsi="宋体" w:eastAsia="宋体" w:cs="宋体"/>
                      <w:bCs/>
                    </w:rPr>
                    <w:t>是否人口密集区</w:t>
                  </w:r>
                </w:p>
              </w:tc>
              <w:tc>
                <w:tcPr>
                  <w:tcW w:w="3007" w:type="pct"/>
                  <w:gridSpan w:val="2"/>
                  <w:vAlign w:val="center"/>
                </w:tcPr>
                <w:p w14:paraId="3B56C661">
                  <w:pPr>
                    <w:pStyle w:val="149"/>
                    <w:rPr>
                      <w:rFonts w:eastAsia="Times New Roman"/>
                      <w:bCs/>
                    </w:rPr>
                  </w:pPr>
                  <w:r>
                    <w:rPr>
                      <w:rFonts w:hint="eastAsia" w:ascii="宋体" w:hAnsi="宋体" w:eastAsia="宋体" w:cs="宋体"/>
                      <w:bCs/>
                    </w:rPr>
                    <w:t>否</w:t>
                  </w:r>
                </w:p>
              </w:tc>
            </w:tr>
            <w:tr w14:paraId="6B2567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Align w:val="center"/>
                </w:tcPr>
                <w:p w14:paraId="635BE9DD">
                  <w:pPr>
                    <w:pStyle w:val="149"/>
                    <w:rPr>
                      <w:rFonts w:eastAsia="Times New Roman"/>
                      <w:bCs/>
                    </w:rPr>
                  </w:pPr>
                  <w:r>
                    <w:rPr>
                      <w:rFonts w:eastAsia="Times New Roman"/>
                      <w:bCs/>
                    </w:rPr>
                    <w:t>10</w:t>
                  </w:r>
                </w:p>
              </w:tc>
              <w:tc>
                <w:tcPr>
                  <w:tcW w:w="1597" w:type="pct"/>
                  <w:vAlign w:val="center"/>
                </w:tcPr>
                <w:p w14:paraId="7F4D0FB9">
                  <w:pPr>
                    <w:pStyle w:val="149"/>
                    <w:rPr>
                      <w:rFonts w:eastAsia="Times New Roman"/>
                      <w:bCs/>
                    </w:rPr>
                  </w:pPr>
                  <w:r>
                    <w:rPr>
                      <w:rFonts w:hint="eastAsia" w:ascii="宋体" w:hAnsi="宋体" w:eastAsia="宋体" w:cs="宋体"/>
                      <w:bCs/>
                    </w:rPr>
                    <w:t>是否重点文物保护单位</w:t>
                  </w:r>
                </w:p>
              </w:tc>
              <w:tc>
                <w:tcPr>
                  <w:tcW w:w="3007" w:type="pct"/>
                  <w:gridSpan w:val="2"/>
                  <w:vAlign w:val="center"/>
                </w:tcPr>
                <w:p w14:paraId="698D0B06">
                  <w:pPr>
                    <w:pStyle w:val="149"/>
                    <w:rPr>
                      <w:rFonts w:eastAsia="Times New Roman"/>
                      <w:bCs/>
                    </w:rPr>
                  </w:pPr>
                  <w:r>
                    <w:rPr>
                      <w:rFonts w:hint="eastAsia" w:ascii="宋体" w:hAnsi="宋体" w:eastAsia="宋体" w:cs="宋体"/>
                      <w:bCs/>
                    </w:rPr>
                    <w:t>否</w:t>
                  </w:r>
                </w:p>
              </w:tc>
            </w:tr>
            <w:tr w14:paraId="4BF382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Align w:val="center"/>
                </w:tcPr>
                <w:p w14:paraId="287FF278">
                  <w:pPr>
                    <w:pStyle w:val="149"/>
                    <w:rPr>
                      <w:rFonts w:eastAsia="Times New Roman"/>
                      <w:bCs/>
                    </w:rPr>
                  </w:pPr>
                  <w:r>
                    <w:rPr>
                      <w:rFonts w:eastAsia="Times New Roman"/>
                      <w:bCs/>
                    </w:rPr>
                    <w:t>11</w:t>
                  </w:r>
                </w:p>
              </w:tc>
              <w:tc>
                <w:tcPr>
                  <w:tcW w:w="1597" w:type="pct"/>
                  <w:vAlign w:val="center"/>
                </w:tcPr>
                <w:p w14:paraId="57F06308">
                  <w:pPr>
                    <w:pStyle w:val="149"/>
                    <w:rPr>
                      <w:rFonts w:eastAsia="Times New Roman"/>
                      <w:bCs/>
                    </w:rPr>
                  </w:pPr>
                  <w:r>
                    <w:rPr>
                      <w:rFonts w:hint="eastAsia" w:ascii="宋体" w:hAnsi="宋体" w:eastAsia="宋体" w:cs="宋体"/>
                      <w:bCs/>
                    </w:rPr>
                    <w:t>是否涉及古树名木</w:t>
                  </w:r>
                </w:p>
              </w:tc>
              <w:tc>
                <w:tcPr>
                  <w:tcW w:w="3007" w:type="pct"/>
                  <w:gridSpan w:val="2"/>
                  <w:vAlign w:val="center"/>
                </w:tcPr>
                <w:p w14:paraId="1566F924">
                  <w:pPr>
                    <w:pStyle w:val="149"/>
                    <w:rPr>
                      <w:rFonts w:eastAsia="Times New Roman"/>
                      <w:bCs/>
                    </w:rPr>
                  </w:pPr>
                  <w:r>
                    <w:rPr>
                      <w:rFonts w:hint="eastAsia" w:ascii="宋体" w:hAnsi="宋体" w:eastAsia="宋体" w:cs="宋体"/>
                      <w:bCs/>
                    </w:rPr>
                    <w:t>否</w:t>
                  </w:r>
                </w:p>
              </w:tc>
            </w:tr>
            <w:tr w14:paraId="72C5EE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396" w:type="pct"/>
                  <w:vAlign w:val="center"/>
                </w:tcPr>
                <w:p w14:paraId="25A87066">
                  <w:pPr>
                    <w:pStyle w:val="149"/>
                    <w:rPr>
                      <w:rFonts w:eastAsia="Times New Roman"/>
                      <w:bCs/>
                    </w:rPr>
                  </w:pPr>
                  <w:r>
                    <w:rPr>
                      <w:rFonts w:eastAsia="Times New Roman"/>
                      <w:bCs/>
                    </w:rPr>
                    <w:t>12</w:t>
                  </w:r>
                </w:p>
              </w:tc>
              <w:tc>
                <w:tcPr>
                  <w:tcW w:w="1597" w:type="pct"/>
                  <w:vAlign w:val="center"/>
                </w:tcPr>
                <w:p w14:paraId="58FFBCDF">
                  <w:pPr>
                    <w:pStyle w:val="149"/>
                    <w:rPr>
                      <w:rFonts w:eastAsia="Times New Roman"/>
                      <w:bCs/>
                    </w:rPr>
                  </w:pPr>
                  <w:r>
                    <w:rPr>
                      <w:rFonts w:hint="eastAsia" w:ascii="宋体" w:hAnsi="宋体" w:eastAsia="宋体" w:cs="宋体"/>
                      <w:bCs/>
                    </w:rPr>
                    <w:t>是否属于生态敏感与脆弱区</w:t>
                  </w:r>
                </w:p>
              </w:tc>
              <w:tc>
                <w:tcPr>
                  <w:tcW w:w="3007" w:type="pct"/>
                  <w:gridSpan w:val="2"/>
                  <w:vAlign w:val="center"/>
                </w:tcPr>
                <w:p w14:paraId="341E128E">
                  <w:pPr>
                    <w:pStyle w:val="149"/>
                    <w:rPr>
                      <w:rFonts w:eastAsia="Times New Roman"/>
                      <w:bCs/>
                    </w:rPr>
                  </w:pPr>
                  <w:r>
                    <w:rPr>
                      <w:rFonts w:hint="eastAsia" w:ascii="宋体" w:hAnsi="宋体" w:eastAsia="宋体" w:cs="宋体"/>
                      <w:bCs/>
                    </w:rPr>
                    <w:t>否</w:t>
                  </w:r>
                </w:p>
              </w:tc>
            </w:tr>
            <w:tr w14:paraId="4ABBC2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4" w:hRule="atLeast"/>
              </w:trPr>
              <w:tc>
                <w:tcPr>
                  <w:tcW w:w="396" w:type="pct"/>
                  <w:vAlign w:val="center"/>
                </w:tcPr>
                <w:p w14:paraId="1946901F">
                  <w:pPr>
                    <w:pStyle w:val="149"/>
                    <w:rPr>
                      <w:rFonts w:eastAsia="Times New Roman"/>
                      <w:bCs/>
                    </w:rPr>
                  </w:pPr>
                  <w:r>
                    <w:rPr>
                      <w:rFonts w:eastAsia="Times New Roman"/>
                      <w:bCs/>
                    </w:rPr>
                    <w:t>13</w:t>
                  </w:r>
                </w:p>
              </w:tc>
              <w:tc>
                <w:tcPr>
                  <w:tcW w:w="1597" w:type="pct"/>
                  <w:vAlign w:val="center"/>
                </w:tcPr>
                <w:p w14:paraId="5457F422">
                  <w:pPr>
                    <w:pStyle w:val="149"/>
                    <w:rPr>
                      <w:rFonts w:eastAsia="Times New Roman"/>
                      <w:bCs/>
                    </w:rPr>
                  </w:pPr>
                  <w:r>
                    <w:rPr>
                      <w:rFonts w:hint="eastAsia" w:ascii="宋体" w:hAnsi="宋体" w:eastAsia="宋体" w:cs="宋体"/>
                      <w:bCs/>
                    </w:rPr>
                    <w:t>是否城市污水处理厂纳污范围</w:t>
                  </w:r>
                </w:p>
              </w:tc>
              <w:tc>
                <w:tcPr>
                  <w:tcW w:w="3007" w:type="pct"/>
                  <w:gridSpan w:val="2"/>
                  <w:vAlign w:val="center"/>
                </w:tcPr>
                <w:p w14:paraId="2B82DC95">
                  <w:pPr>
                    <w:pStyle w:val="149"/>
                    <w:rPr>
                      <w:rFonts w:eastAsia="Times New Roman"/>
                      <w:bCs/>
                    </w:rPr>
                  </w:pPr>
                  <w:r>
                    <w:rPr>
                      <w:rFonts w:hint="eastAsia" w:ascii="宋体" w:hAnsi="宋体" w:eastAsia="宋体" w:cs="宋体"/>
                      <w:bCs/>
                    </w:rPr>
                    <w:t>是，博罗县石湾镇大牛垒生活污水处理厂纳污范围</w:t>
                  </w:r>
                </w:p>
              </w:tc>
            </w:tr>
            <w:tr w14:paraId="74E13B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4" w:hRule="atLeast"/>
              </w:trPr>
              <w:tc>
                <w:tcPr>
                  <w:tcW w:w="396" w:type="pct"/>
                  <w:vAlign w:val="center"/>
                </w:tcPr>
                <w:p w14:paraId="55B2D7E3">
                  <w:pPr>
                    <w:pStyle w:val="149"/>
                    <w:rPr>
                      <w:rFonts w:eastAsia="Times New Roman"/>
                      <w:bCs/>
                    </w:rPr>
                  </w:pPr>
                  <w:r>
                    <w:rPr>
                      <w:rFonts w:eastAsia="Times New Roman"/>
                      <w:bCs/>
                    </w:rPr>
                    <w:t>14</w:t>
                  </w:r>
                </w:p>
              </w:tc>
              <w:tc>
                <w:tcPr>
                  <w:tcW w:w="1597" w:type="pct"/>
                  <w:vAlign w:val="center"/>
                </w:tcPr>
                <w:p w14:paraId="73177659">
                  <w:pPr>
                    <w:pStyle w:val="149"/>
                    <w:rPr>
                      <w:rFonts w:eastAsia="Times New Roman"/>
                      <w:bCs/>
                    </w:rPr>
                  </w:pPr>
                  <w:r>
                    <w:rPr>
                      <w:rFonts w:hint="eastAsia" w:ascii="宋体" w:hAnsi="宋体" w:eastAsia="宋体" w:cs="宋体"/>
                      <w:bCs/>
                    </w:rPr>
                    <w:t>是否河道管理范围</w:t>
                  </w:r>
                </w:p>
              </w:tc>
              <w:tc>
                <w:tcPr>
                  <w:tcW w:w="3007" w:type="pct"/>
                  <w:gridSpan w:val="2"/>
                  <w:vAlign w:val="center"/>
                </w:tcPr>
                <w:p w14:paraId="223A5148">
                  <w:pPr>
                    <w:pStyle w:val="149"/>
                    <w:rPr>
                      <w:rFonts w:eastAsia="Times New Roman"/>
                      <w:bCs/>
                    </w:rPr>
                  </w:pPr>
                  <w:r>
                    <w:rPr>
                      <w:rFonts w:hint="eastAsia" w:ascii="宋体" w:hAnsi="宋体" w:eastAsia="宋体" w:cs="宋体"/>
                      <w:bCs/>
                    </w:rPr>
                    <w:t>否</w:t>
                  </w:r>
                </w:p>
              </w:tc>
            </w:tr>
          </w:tbl>
          <w:p w14:paraId="0BB01D89">
            <w:pPr>
              <w:pStyle w:val="145"/>
              <w:spacing w:line="360" w:lineRule="auto"/>
              <w:ind w:firstLine="482"/>
              <w:rPr>
                <w:sz w:val="24"/>
              </w:rPr>
            </w:pPr>
            <w:r>
              <w:rPr>
                <w:b/>
                <w:sz w:val="24"/>
              </w:rPr>
              <w:t>2</w:t>
            </w:r>
            <w:r>
              <w:rPr>
                <w:rFonts w:hint="eastAsia"/>
                <w:b/>
                <w:sz w:val="24"/>
              </w:rPr>
              <w:t>、环境质量现状</w:t>
            </w:r>
          </w:p>
          <w:p w14:paraId="53282EAB">
            <w:pPr>
              <w:spacing w:line="360" w:lineRule="auto"/>
              <w:ind w:firstLine="482" w:firstLineChars="200"/>
              <w:rPr>
                <w:b/>
                <w:sz w:val="24"/>
              </w:rPr>
            </w:pPr>
            <w:r>
              <w:rPr>
                <w:rFonts w:hint="eastAsia"/>
                <w:b/>
                <w:bCs/>
                <w:sz w:val="24"/>
              </w:rPr>
              <w:t>（</w:t>
            </w:r>
            <w:r>
              <w:rPr>
                <w:b/>
                <w:bCs/>
                <w:sz w:val="24"/>
              </w:rPr>
              <w:t>1</w:t>
            </w:r>
            <w:r>
              <w:rPr>
                <w:rFonts w:hint="eastAsia"/>
                <w:b/>
                <w:bCs/>
                <w:sz w:val="24"/>
              </w:rPr>
              <w:t>）</w:t>
            </w:r>
            <w:r>
              <w:rPr>
                <w:rFonts w:hint="eastAsia"/>
                <w:b/>
                <w:sz w:val="24"/>
              </w:rPr>
              <w:t>大气环境质量现状</w:t>
            </w:r>
          </w:p>
          <w:p w14:paraId="5210F8FA">
            <w:pPr>
              <w:spacing w:line="360" w:lineRule="auto"/>
              <w:ind w:firstLine="482" w:firstLineChars="200"/>
              <w:rPr>
                <w:sz w:val="24"/>
              </w:rPr>
            </w:pPr>
            <w:r>
              <w:rPr>
                <w:rFonts w:hint="eastAsia"/>
                <w:b/>
                <w:sz w:val="24"/>
              </w:rPr>
              <w:t>1）大气环境功能区划</w:t>
            </w:r>
          </w:p>
          <w:p w14:paraId="62EFC18C">
            <w:pPr>
              <w:spacing w:line="360" w:lineRule="auto"/>
              <w:ind w:firstLine="480" w:firstLineChars="200"/>
              <w:rPr>
                <w:bCs/>
                <w:sz w:val="24"/>
              </w:rPr>
            </w:pPr>
            <w:r>
              <w:rPr>
                <w:rFonts w:hint="eastAsia"/>
                <w:bCs/>
                <w:sz w:val="24"/>
              </w:rPr>
              <w:t>根据《2024年惠州市生态环境状况公报》：</w:t>
            </w:r>
          </w:p>
          <w:p w14:paraId="61D4D66E">
            <w:pPr>
              <w:spacing w:line="360" w:lineRule="auto"/>
              <w:ind w:firstLine="480" w:firstLineChars="200"/>
              <w:rPr>
                <w:bCs/>
                <w:sz w:val="24"/>
              </w:rPr>
            </w:pPr>
            <w:r>
              <w:rPr>
                <w:rFonts w:hint="eastAsia"/>
                <w:bCs/>
                <w:sz w:val="24"/>
              </w:rPr>
              <w:t>①城市空气：2024年，惠州市环境空气质量优良。六项污染物年评价浓度均达标，其中，二氧化硫、二氧化氮、一氧化碳和可吸入颗粒物PM10年评价浓度达到国家一级标准；细颗粒物PM2.5和臭氧年评价浓度达到国家二级标准。综合指数为2.48，AQI达标率为95.9%，其中，优224天，良127天，轻度污染15天，无中度及以上污染，超标污染物为臭氧。</w:t>
            </w:r>
          </w:p>
          <w:p w14:paraId="0018D1EB">
            <w:pPr>
              <w:spacing w:line="360" w:lineRule="auto"/>
              <w:ind w:firstLine="480" w:firstLineChars="200"/>
              <w:rPr>
                <w:bCs/>
                <w:sz w:val="24"/>
              </w:rPr>
            </w:pPr>
            <w:r>
              <w:rPr>
                <w:rFonts w:hint="eastAsia"/>
                <w:bCs/>
                <w:sz w:val="24"/>
              </w:rPr>
              <w:t>与2023年相比，综合指数改善3.1%，AQI达标率下降2.5个百分点，可吸入颗粒物PM10、细颗粒物PM2.5、二氧化氮分别改善11.1%、5.3%、12.5%，一氧化碳和二氧化硫持平，臭氧上升6.2%。</w:t>
            </w:r>
          </w:p>
          <w:p w14:paraId="23F5707A">
            <w:pPr>
              <w:spacing w:line="360" w:lineRule="auto"/>
              <w:ind w:firstLine="480" w:firstLineChars="200"/>
              <w:rPr>
                <w:bCs/>
                <w:sz w:val="24"/>
              </w:rPr>
            </w:pPr>
            <w:r>
              <w:rPr>
                <w:rFonts w:hint="eastAsia"/>
                <w:bCs/>
                <w:sz w:val="24"/>
              </w:rPr>
              <w:t>②各县区空气：2024年，各县区环境空气质量总体优良。六项污染物年评价浓度均达标，综合指数1.88（龙门县）～2.57（惠阳区），AQI达标率96.2%（惠阳区）～100%（龙门县），超标污染物均为臭氧。与2023年相比，各县区空气质量综合指数均有所改善，改善幅度为0.8%～8.7%。</w:t>
            </w:r>
          </w:p>
          <w:p w14:paraId="1069CEC2">
            <w:pPr>
              <w:pStyle w:val="149"/>
            </w:pPr>
            <w:r>
              <w:drawing>
                <wp:inline distT="0" distB="0" distL="0" distR="0">
                  <wp:extent cx="5002530" cy="3340735"/>
                  <wp:effectExtent l="0" t="0" r="762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5016616" cy="3350462"/>
                          </a:xfrm>
                          <a:prstGeom prst="rect">
                            <a:avLst/>
                          </a:prstGeom>
                        </pic:spPr>
                      </pic:pic>
                    </a:graphicData>
                  </a:graphic>
                </wp:inline>
              </w:drawing>
            </w:r>
          </w:p>
          <w:p w14:paraId="57907961">
            <w:pPr>
              <w:jc w:val="center"/>
              <w:rPr>
                <w:bCs/>
                <w:sz w:val="24"/>
              </w:rPr>
            </w:pPr>
            <w:r>
              <w:rPr>
                <w:rFonts w:hint="eastAsia"/>
                <w:b/>
                <w:bCs/>
                <w:sz w:val="24"/>
              </w:rPr>
              <w:t>图</w:t>
            </w:r>
            <w:r>
              <w:rPr>
                <w:b/>
                <w:bCs/>
                <w:sz w:val="24"/>
              </w:rPr>
              <w:t>3-12024</w:t>
            </w:r>
            <w:r>
              <w:rPr>
                <w:rFonts w:hint="eastAsia"/>
                <w:b/>
                <w:bCs/>
                <w:sz w:val="24"/>
              </w:rPr>
              <w:t>年惠州市生态环境状况公报截图（环境空气质量摘录）</w:t>
            </w:r>
          </w:p>
          <w:p w14:paraId="1AAFDCE6">
            <w:pPr>
              <w:pStyle w:val="10"/>
              <w:ind w:firstLine="482"/>
              <w:rPr>
                <w:b/>
                <w:bCs/>
              </w:rPr>
            </w:pPr>
            <w:r>
              <w:rPr>
                <w:rFonts w:hint="eastAsia"/>
                <w:b/>
                <w:bCs/>
              </w:rPr>
              <w:t>（2）地表水环境质量现状</w:t>
            </w:r>
          </w:p>
          <w:p w14:paraId="561E3F4B">
            <w:pPr>
              <w:pStyle w:val="10"/>
            </w:pPr>
            <w:r>
              <w:rPr>
                <w:rFonts w:hint="eastAsia"/>
                <w:bCs/>
              </w:rPr>
              <w:t>项目无生产废水外排，主要为员工办公过程产生的生活污水，生活污水经三级化粪池预处理后排入博罗县石湾镇大牛垒生活污水处理厂处理，后排入石湾中心排渠，经紧水河汇入东江。</w:t>
            </w:r>
          </w:p>
          <w:p w14:paraId="064167BF">
            <w:pPr>
              <w:pStyle w:val="10"/>
            </w:pPr>
            <w:r>
              <w:rPr>
                <w:rFonts w:hint="eastAsia"/>
              </w:rPr>
              <w:t>本项目纳污水体为石湾镇中心排渠、紧水河和东江，石湾镇中心排渠在《广东省地表水环境功能区划》（粤环</w:t>
            </w:r>
            <w:r>
              <w:t>[2011]14</w:t>
            </w:r>
            <w:r>
              <w:rPr>
                <w:rFonts w:hint="eastAsia"/>
              </w:rPr>
              <w:t>号）中没有明确规划，根据《博罗县</w:t>
            </w:r>
            <w:r>
              <w:t>2023</w:t>
            </w:r>
            <w:r>
              <w:rPr>
                <w:rFonts w:hint="eastAsia"/>
              </w:rPr>
              <w:t>年水污染防治攻坚战工作方案》（博环攻坚办〔</w:t>
            </w:r>
            <w:r>
              <w:t>2023</w:t>
            </w:r>
            <w:r>
              <w:rPr>
                <w:rFonts w:hint="eastAsia"/>
              </w:rPr>
              <w:t>〕</w:t>
            </w:r>
            <w:r>
              <w:t>67</w:t>
            </w:r>
            <w:r>
              <w:rPr>
                <w:rFonts w:hint="eastAsia"/>
              </w:rPr>
              <w:t>号），石湾镇中心排渠水质目标为《地表水环境质量标准》（</w:t>
            </w:r>
            <w:r>
              <w:t>GB3838-2002</w:t>
            </w:r>
            <w:r>
              <w:rPr>
                <w:rFonts w:hint="eastAsia"/>
              </w:rPr>
              <w:t>）</w:t>
            </w:r>
            <w:r>
              <w:t xml:space="preserve">V </w:t>
            </w:r>
            <w:r>
              <w:rPr>
                <w:rFonts w:hint="eastAsia"/>
              </w:rPr>
              <w:t>类，紧水河水质目标为Ⅲ类，东江水质目标为Ⅱ类。</w:t>
            </w:r>
          </w:p>
          <w:p w14:paraId="4763CA22">
            <w:pPr>
              <w:pStyle w:val="10"/>
            </w:pPr>
            <w:r>
              <w:rPr>
                <w:rFonts w:hint="eastAsia"/>
              </w:rPr>
              <w:t>为评价项目周边地表水环境质量状况，本项目引用博罗产业转移工业园管理委员会委托广东宏科检测技术有限公司于</w:t>
            </w:r>
            <w:r>
              <w:t>2023</w:t>
            </w:r>
            <w:r>
              <w:rPr>
                <w:rFonts w:hint="eastAsia"/>
              </w:rPr>
              <w:t>年</w:t>
            </w:r>
            <w:r>
              <w:t>11</w:t>
            </w:r>
            <w:r>
              <w:rPr>
                <w:rFonts w:hint="eastAsia"/>
              </w:rPr>
              <w:t>月</w:t>
            </w:r>
            <w:r>
              <w:t>20</w:t>
            </w:r>
            <w:r>
              <w:rPr>
                <w:rFonts w:hint="eastAsia"/>
              </w:rPr>
              <w:t>日</w:t>
            </w:r>
            <w:r>
              <w:t>~2023</w:t>
            </w:r>
            <w:r>
              <w:rPr>
                <w:rFonts w:hint="eastAsia"/>
              </w:rPr>
              <w:t>年</w:t>
            </w:r>
            <w:r>
              <w:t>11</w:t>
            </w:r>
            <w:r>
              <w:rPr>
                <w:rFonts w:hint="eastAsia"/>
              </w:rPr>
              <w:t>月</w:t>
            </w:r>
            <w:r>
              <w:t>22</w:t>
            </w:r>
            <w:r>
              <w:rPr>
                <w:rFonts w:hint="eastAsia"/>
              </w:rPr>
              <w:t>日对石湾镇中心排渠进行监测的报告数据（报告编号：</w:t>
            </w:r>
            <w:r>
              <w:t>HK2311E0470</w:t>
            </w:r>
            <w:r>
              <w:rPr>
                <w:rFonts w:hint="eastAsia"/>
              </w:rPr>
              <w:t>），连续监测</w:t>
            </w:r>
            <w:r>
              <w:t>3</w:t>
            </w:r>
            <w:r>
              <w:rPr>
                <w:rFonts w:hint="eastAsia"/>
              </w:rPr>
              <w:t>天，每日监测</w:t>
            </w:r>
            <w:r>
              <w:t>1</w:t>
            </w:r>
            <w:r>
              <w:rPr>
                <w:rFonts w:hint="eastAsia"/>
              </w:rPr>
              <w:t>次。引用项目地表水监测与本项目受纳水体属同一条河流，属于近</w:t>
            </w:r>
            <w:r>
              <w:t>3</w:t>
            </w:r>
            <w:r>
              <w:rPr>
                <w:rFonts w:hint="eastAsia"/>
              </w:rPr>
              <w:t>年的监测数据，因此引用数据具有可行性。具体位置和各水质监测结果见下表，监测断面示意图见附图</w:t>
            </w:r>
            <w:r>
              <w:t>20</w:t>
            </w:r>
            <w:r>
              <w:rPr>
                <w:rFonts w:hint="eastAsia"/>
              </w:rPr>
              <w:t>。</w:t>
            </w:r>
          </w:p>
          <w:p w14:paraId="343C820F">
            <w:pPr>
              <w:pStyle w:val="132"/>
              <w:rPr>
                <w:b/>
              </w:rPr>
            </w:pPr>
            <w:r>
              <w:rPr>
                <w:rFonts w:hint="eastAsia"/>
                <w:b/>
              </w:rPr>
              <w:t>表</w:t>
            </w:r>
            <w:r>
              <w:rPr>
                <w:b/>
              </w:rPr>
              <w:t>3-2</w:t>
            </w:r>
            <w:r>
              <w:rPr>
                <w:rFonts w:hint="eastAsia"/>
                <w:b/>
              </w:rPr>
              <w:t>地表水监测断面一览表</w:t>
            </w:r>
          </w:p>
          <w:tbl>
            <w:tblPr>
              <w:tblStyle w:val="150"/>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3"/>
              <w:gridCol w:w="4860"/>
              <w:gridCol w:w="1794"/>
              <w:gridCol w:w="1133"/>
            </w:tblGrid>
            <w:tr w14:paraId="042E64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326" w:type="pct"/>
                  <w:vAlign w:val="center"/>
                </w:tcPr>
                <w:p w14:paraId="09EFF6F3">
                  <w:pPr>
                    <w:pStyle w:val="149"/>
                    <w:rPr>
                      <w:rFonts w:hint="default" w:ascii="Times New Roman" w:hAnsi="Times New Roman" w:eastAsia="宋体" w:cs="Times New Roman"/>
                      <w:b/>
                      <w:i w:val="0"/>
                    </w:rPr>
                  </w:pPr>
                  <w:r>
                    <w:rPr>
                      <w:rFonts w:hint="eastAsia" w:ascii="Times New Roman" w:hAnsi="Times New Roman" w:eastAsia="宋体" w:cs="Times New Roman"/>
                      <w:b/>
                      <w:i w:val="0"/>
                    </w:rPr>
                    <w:t>编号</w:t>
                  </w:r>
                </w:p>
              </w:tc>
              <w:tc>
                <w:tcPr>
                  <w:tcW w:w="2917" w:type="pct"/>
                  <w:vAlign w:val="center"/>
                </w:tcPr>
                <w:p w14:paraId="5A552E38">
                  <w:pPr>
                    <w:pStyle w:val="149"/>
                    <w:rPr>
                      <w:rFonts w:hint="default" w:ascii="Times New Roman" w:hAnsi="Times New Roman" w:eastAsia="宋体" w:cs="Times New Roman"/>
                      <w:b/>
                      <w:i w:val="0"/>
                    </w:rPr>
                  </w:pPr>
                  <w:r>
                    <w:rPr>
                      <w:rFonts w:hint="eastAsia" w:ascii="Times New Roman" w:hAnsi="Times New Roman" w:eastAsia="宋体" w:cs="Times New Roman"/>
                      <w:b/>
                      <w:i w:val="0"/>
                    </w:rPr>
                    <w:t>断面位置</w:t>
                  </w:r>
                </w:p>
              </w:tc>
              <w:tc>
                <w:tcPr>
                  <w:tcW w:w="1077" w:type="pct"/>
                  <w:vAlign w:val="center"/>
                </w:tcPr>
                <w:p w14:paraId="1535DA1D">
                  <w:pPr>
                    <w:pStyle w:val="149"/>
                    <w:rPr>
                      <w:rFonts w:hint="default" w:ascii="Times New Roman" w:hAnsi="Times New Roman" w:eastAsia="宋体" w:cs="Times New Roman"/>
                      <w:b/>
                      <w:i w:val="0"/>
                    </w:rPr>
                  </w:pPr>
                  <w:r>
                    <w:rPr>
                      <w:rFonts w:hint="eastAsia" w:ascii="Times New Roman" w:hAnsi="Times New Roman" w:eastAsia="宋体" w:cs="Times New Roman"/>
                      <w:b/>
                      <w:i w:val="0"/>
                    </w:rPr>
                    <w:t>水质控制级别</w:t>
                  </w:r>
                </w:p>
              </w:tc>
              <w:tc>
                <w:tcPr>
                  <w:tcW w:w="681" w:type="pct"/>
                  <w:vAlign w:val="center"/>
                </w:tcPr>
                <w:p w14:paraId="31003427">
                  <w:pPr>
                    <w:pStyle w:val="149"/>
                    <w:rPr>
                      <w:rFonts w:hint="default" w:ascii="Times New Roman" w:hAnsi="Times New Roman" w:eastAsia="宋体" w:cs="Times New Roman"/>
                      <w:b/>
                      <w:i w:val="0"/>
                    </w:rPr>
                  </w:pPr>
                  <w:r>
                    <w:rPr>
                      <w:rFonts w:hint="eastAsia" w:ascii="Times New Roman" w:hAnsi="Times New Roman" w:eastAsia="宋体" w:cs="Times New Roman"/>
                      <w:b/>
                      <w:i w:val="0"/>
                    </w:rPr>
                    <w:t>所属水体</w:t>
                  </w:r>
                </w:p>
              </w:tc>
            </w:tr>
            <w:tr w14:paraId="3E8083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326" w:type="pct"/>
                  <w:vAlign w:val="center"/>
                </w:tcPr>
                <w:p w14:paraId="1BFBB73F">
                  <w:pPr>
                    <w:pStyle w:val="149"/>
                    <w:rPr>
                      <w:rFonts w:eastAsia="Times New Roman"/>
                    </w:rPr>
                  </w:pPr>
                  <w:r>
                    <w:rPr>
                      <w:rFonts w:eastAsia="Times New Roman"/>
                    </w:rPr>
                    <w:t>W7</w:t>
                  </w:r>
                </w:p>
              </w:tc>
              <w:tc>
                <w:tcPr>
                  <w:tcW w:w="2917" w:type="pct"/>
                  <w:vAlign w:val="center"/>
                </w:tcPr>
                <w:p w14:paraId="07C5D273">
                  <w:pPr>
                    <w:pStyle w:val="149"/>
                    <w:rPr>
                      <w:rFonts w:eastAsia="Times New Roman"/>
                    </w:rPr>
                  </w:pPr>
                  <w:r>
                    <w:rPr>
                      <w:rFonts w:hint="eastAsia" w:ascii="宋体" w:hAnsi="宋体" w:eastAsia="宋体" w:cs="宋体"/>
                    </w:rPr>
                    <w:t>博罗县石湾镇大牛垒生活污水处理厂在中心排渠排污口上游</w:t>
                  </w:r>
                  <w:r>
                    <w:rPr>
                      <w:rFonts w:eastAsia="Times New Roman"/>
                    </w:rPr>
                    <w:t>500m</w:t>
                  </w:r>
                </w:p>
              </w:tc>
              <w:tc>
                <w:tcPr>
                  <w:tcW w:w="1077" w:type="pct"/>
                  <w:vMerge w:val="restart"/>
                  <w:vAlign w:val="center"/>
                </w:tcPr>
                <w:p w14:paraId="42B31FE6">
                  <w:pPr>
                    <w:pStyle w:val="149"/>
                    <w:rPr>
                      <w:rFonts w:eastAsia="Times New Roman"/>
                    </w:rPr>
                  </w:pPr>
                  <w:r>
                    <w:rPr>
                      <w:rFonts w:eastAsia="Times New Roman"/>
                    </w:rPr>
                    <w:t>V</w:t>
                  </w:r>
                  <w:r>
                    <w:rPr>
                      <w:rFonts w:hint="eastAsia" w:ascii="宋体" w:hAnsi="宋体" w:eastAsia="宋体" w:cs="宋体"/>
                    </w:rPr>
                    <w:t>类</w:t>
                  </w:r>
                </w:p>
              </w:tc>
              <w:tc>
                <w:tcPr>
                  <w:tcW w:w="681" w:type="pct"/>
                  <w:vMerge w:val="restart"/>
                  <w:vAlign w:val="center"/>
                </w:tcPr>
                <w:p w14:paraId="5FD4D967">
                  <w:pPr>
                    <w:pStyle w:val="149"/>
                    <w:rPr>
                      <w:rFonts w:eastAsia="Times New Roman"/>
                    </w:rPr>
                  </w:pPr>
                  <w:r>
                    <w:rPr>
                      <w:rFonts w:hint="eastAsia" w:ascii="宋体" w:hAnsi="宋体" w:eastAsia="宋体" w:cs="宋体"/>
                    </w:rPr>
                    <w:t>石湾镇中心排渠</w:t>
                  </w:r>
                </w:p>
              </w:tc>
            </w:tr>
            <w:tr w14:paraId="5C8E10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326" w:type="pct"/>
                  <w:vAlign w:val="center"/>
                </w:tcPr>
                <w:p w14:paraId="26D0152B">
                  <w:pPr>
                    <w:pStyle w:val="149"/>
                    <w:rPr>
                      <w:rFonts w:eastAsia="Times New Roman"/>
                    </w:rPr>
                  </w:pPr>
                  <w:r>
                    <w:rPr>
                      <w:rFonts w:eastAsia="Times New Roman"/>
                    </w:rPr>
                    <w:t>W8</w:t>
                  </w:r>
                </w:p>
              </w:tc>
              <w:tc>
                <w:tcPr>
                  <w:tcW w:w="2917" w:type="pct"/>
                  <w:vAlign w:val="center"/>
                </w:tcPr>
                <w:p w14:paraId="031C94EA">
                  <w:pPr>
                    <w:pStyle w:val="149"/>
                    <w:rPr>
                      <w:rFonts w:eastAsia="Times New Roman"/>
                    </w:rPr>
                  </w:pPr>
                  <w:r>
                    <w:rPr>
                      <w:rFonts w:hint="eastAsia" w:ascii="宋体" w:hAnsi="宋体" w:eastAsia="宋体" w:cs="宋体"/>
                    </w:rPr>
                    <w:t>博罗县石湾镇大牛垒生活污水处理厂在中心排渠排污口下游</w:t>
                  </w:r>
                  <w:r>
                    <w:rPr>
                      <w:rFonts w:eastAsia="Times New Roman"/>
                    </w:rPr>
                    <w:t>1000m</w:t>
                  </w:r>
                </w:p>
              </w:tc>
              <w:tc>
                <w:tcPr>
                  <w:tcW w:w="1077" w:type="pct"/>
                  <w:vMerge w:val="continue"/>
                  <w:vAlign w:val="center"/>
                </w:tcPr>
                <w:p w14:paraId="36A9E077">
                  <w:pPr>
                    <w:pStyle w:val="149"/>
                    <w:rPr>
                      <w:rFonts w:eastAsia="Times New Roman"/>
                    </w:rPr>
                  </w:pPr>
                </w:p>
              </w:tc>
              <w:tc>
                <w:tcPr>
                  <w:tcW w:w="681" w:type="pct"/>
                  <w:vMerge w:val="continue"/>
                  <w:vAlign w:val="center"/>
                </w:tcPr>
                <w:p w14:paraId="34555732">
                  <w:pPr>
                    <w:pStyle w:val="149"/>
                    <w:rPr>
                      <w:rFonts w:eastAsia="Times New Roman"/>
                    </w:rPr>
                  </w:pPr>
                </w:p>
              </w:tc>
            </w:tr>
            <w:tr w14:paraId="691970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13" w:hRule="atLeast"/>
              </w:trPr>
              <w:tc>
                <w:tcPr>
                  <w:tcW w:w="326" w:type="pct"/>
                  <w:vAlign w:val="center"/>
                </w:tcPr>
                <w:p w14:paraId="0DB0F0F7">
                  <w:pPr>
                    <w:pStyle w:val="149"/>
                    <w:rPr>
                      <w:rFonts w:eastAsia="Times New Roman"/>
                    </w:rPr>
                  </w:pPr>
                  <w:r>
                    <w:rPr>
                      <w:rFonts w:eastAsia="Times New Roman"/>
                    </w:rPr>
                    <w:t>W9</w:t>
                  </w:r>
                </w:p>
              </w:tc>
              <w:tc>
                <w:tcPr>
                  <w:tcW w:w="2917" w:type="pct"/>
                  <w:vAlign w:val="center"/>
                </w:tcPr>
                <w:p w14:paraId="7B38C836">
                  <w:pPr>
                    <w:pStyle w:val="149"/>
                    <w:rPr>
                      <w:rFonts w:eastAsia="Times New Roman"/>
                    </w:rPr>
                  </w:pPr>
                  <w:r>
                    <w:rPr>
                      <w:rFonts w:hint="eastAsia" w:ascii="宋体" w:hAnsi="宋体" w:eastAsia="宋体" w:cs="宋体"/>
                    </w:rPr>
                    <w:t>博罗县石湾镇大牛垒生活污水处理厂在中心排渠排污口下游</w:t>
                  </w:r>
                  <w:r>
                    <w:rPr>
                      <w:rFonts w:eastAsia="Times New Roman"/>
                    </w:rPr>
                    <w:t>3000m</w:t>
                  </w:r>
                </w:p>
              </w:tc>
              <w:tc>
                <w:tcPr>
                  <w:tcW w:w="1077" w:type="pct"/>
                  <w:vMerge w:val="continue"/>
                  <w:vAlign w:val="center"/>
                </w:tcPr>
                <w:p w14:paraId="525F4A73">
                  <w:pPr>
                    <w:pStyle w:val="149"/>
                    <w:rPr>
                      <w:rFonts w:eastAsia="TimesNewRomanPSMT"/>
                    </w:rPr>
                  </w:pPr>
                </w:p>
              </w:tc>
              <w:tc>
                <w:tcPr>
                  <w:tcW w:w="681" w:type="pct"/>
                  <w:vMerge w:val="continue"/>
                  <w:vAlign w:val="center"/>
                </w:tcPr>
                <w:p w14:paraId="13E776D3">
                  <w:pPr>
                    <w:pStyle w:val="149"/>
                    <w:rPr>
                      <w:rFonts w:eastAsia="Times New Roman"/>
                    </w:rPr>
                  </w:pPr>
                </w:p>
              </w:tc>
            </w:tr>
          </w:tbl>
          <w:p w14:paraId="3EB736D4">
            <w:pPr>
              <w:pStyle w:val="132"/>
              <w:rPr>
                <w:b/>
              </w:rPr>
            </w:pPr>
            <w:r>
              <w:rPr>
                <w:rFonts w:hint="eastAsia"/>
                <w:b/>
              </w:rPr>
              <w:t>表</w:t>
            </w:r>
            <w:r>
              <w:rPr>
                <w:b/>
              </w:rPr>
              <w:t>3-3</w:t>
            </w:r>
            <w:r>
              <w:rPr>
                <w:rFonts w:hint="eastAsia"/>
                <w:b/>
              </w:rPr>
              <w:t>地表水监测数据统计表</w:t>
            </w:r>
            <w:r>
              <w:rPr>
                <w:b/>
              </w:rPr>
              <w:t xml:space="preserve"> </w:t>
            </w:r>
            <w:r>
              <w:rPr>
                <w:rFonts w:hint="eastAsia"/>
                <w:b/>
              </w:rPr>
              <w:t>单位：</w:t>
            </w:r>
            <w:r>
              <w:rPr>
                <w:b/>
              </w:rPr>
              <w:t>mg/L</w:t>
            </w:r>
            <w:r>
              <w:rPr>
                <w:rFonts w:hint="eastAsia"/>
                <w:b/>
              </w:rPr>
              <w:t>（</w:t>
            </w:r>
            <w:r>
              <w:rPr>
                <w:b/>
              </w:rPr>
              <w:t>pH</w:t>
            </w:r>
            <w:r>
              <w:rPr>
                <w:rFonts w:hint="eastAsia"/>
                <w:b/>
              </w:rPr>
              <w:t>单位：无量纲，水温单位：℃）</w:t>
            </w:r>
          </w:p>
          <w:tbl>
            <w:tblPr>
              <w:tblStyle w:val="150"/>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393"/>
              <w:gridCol w:w="1013"/>
              <w:gridCol w:w="488"/>
              <w:gridCol w:w="481"/>
              <w:gridCol w:w="528"/>
              <w:gridCol w:w="455"/>
              <w:gridCol w:w="586"/>
              <w:gridCol w:w="616"/>
              <w:gridCol w:w="535"/>
              <w:gridCol w:w="638"/>
              <w:gridCol w:w="423"/>
              <w:gridCol w:w="423"/>
              <w:gridCol w:w="423"/>
              <w:gridCol w:w="571"/>
              <w:gridCol w:w="757"/>
            </w:tblGrid>
            <w:tr w14:paraId="51E162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restart"/>
                  <w:vAlign w:val="center"/>
                </w:tcPr>
                <w:p w14:paraId="6BF0BA06">
                  <w:pPr>
                    <w:pStyle w:val="149"/>
                    <w:rPr>
                      <w:rFonts w:hint="default" w:ascii="Times New Roman" w:hAnsi="Times New Roman" w:eastAsia="宋体" w:cs="Times New Roman"/>
                      <w:b/>
                      <w:i w:val="0"/>
                    </w:rPr>
                  </w:pPr>
                  <w:r>
                    <w:rPr>
                      <w:rFonts w:hint="eastAsia" w:ascii="Times New Roman" w:hAnsi="Times New Roman" w:eastAsia="宋体" w:cs="Times New Roman"/>
                      <w:b/>
                      <w:i w:val="0"/>
                    </w:rPr>
                    <w:t>采样位置</w:t>
                  </w:r>
                </w:p>
              </w:tc>
              <w:tc>
                <w:tcPr>
                  <w:tcW w:w="608" w:type="pct"/>
                  <w:vMerge w:val="restart"/>
                  <w:vAlign w:val="center"/>
                </w:tcPr>
                <w:p w14:paraId="55DFF865">
                  <w:pPr>
                    <w:pStyle w:val="149"/>
                    <w:rPr>
                      <w:rFonts w:hint="default" w:ascii="Times New Roman" w:hAnsi="Times New Roman" w:eastAsia="宋体" w:cs="Times New Roman"/>
                      <w:b/>
                      <w:i w:val="0"/>
                    </w:rPr>
                  </w:pPr>
                  <w:r>
                    <w:rPr>
                      <w:rFonts w:hint="eastAsia" w:ascii="Times New Roman" w:hAnsi="Times New Roman" w:eastAsia="宋体" w:cs="Times New Roman"/>
                      <w:b/>
                      <w:i w:val="0"/>
                    </w:rPr>
                    <w:t>采样日期</w:t>
                  </w:r>
                </w:p>
              </w:tc>
              <w:tc>
                <w:tcPr>
                  <w:tcW w:w="4156" w:type="pct"/>
                  <w:gridSpan w:val="13"/>
                  <w:vAlign w:val="center"/>
                </w:tcPr>
                <w:p w14:paraId="5FC49B7D">
                  <w:pPr>
                    <w:pStyle w:val="149"/>
                    <w:rPr>
                      <w:rFonts w:hint="default" w:ascii="Times New Roman" w:hAnsi="Times New Roman" w:eastAsia="宋体" w:cs="Times New Roman"/>
                      <w:b/>
                      <w:i w:val="0"/>
                    </w:rPr>
                  </w:pPr>
                  <w:r>
                    <w:rPr>
                      <w:rFonts w:hint="eastAsia" w:ascii="Times New Roman" w:hAnsi="Times New Roman" w:eastAsia="宋体" w:cs="Times New Roman"/>
                      <w:b/>
                      <w:i w:val="0"/>
                    </w:rPr>
                    <w:t>检测项目及结果（单位：</w:t>
                  </w:r>
                  <w:r>
                    <w:rPr>
                      <w:rFonts w:hint="default" w:ascii="Times New Roman" w:hAnsi="Times New Roman" w:eastAsia="宋体" w:cs="Times New Roman"/>
                      <w:b/>
                      <w:i w:val="0"/>
                      <w:kern w:val="0"/>
                      <w:lang w:bidi="ar"/>
                    </w:rPr>
                    <w:t>pH</w:t>
                  </w:r>
                  <w:r>
                    <w:rPr>
                      <w:rFonts w:hint="eastAsia" w:ascii="Times New Roman" w:hAnsi="Times New Roman" w:eastAsia="宋体" w:cs="Times New Roman"/>
                      <w:b/>
                      <w:i w:val="0"/>
                      <w:kern w:val="0"/>
                      <w:lang w:bidi="ar"/>
                    </w:rPr>
                    <w:t>值无量纲、水温℃、其他</w:t>
                  </w:r>
                  <w:r>
                    <w:rPr>
                      <w:rFonts w:hint="default" w:ascii="Times New Roman" w:hAnsi="Times New Roman" w:eastAsia="宋体" w:cs="Times New Roman"/>
                      <w:b/>
                      <w:i w:val="0"/>
                      <w:kern w:val="0"/>
                      <w:lang w:bidi="ar"/>
                    </w:rPr>
                    <w:t>mg/L</w:t>
                  </w:r>
                  <w:r>
                    <w:rPr>
                      <w:rFonts w:hint="eastAsia" w:ascii="Times New Roman" w:hAnsi="Times New Roman" w:eastAsia="宋体" w:cs="Times New Roman"/>
                      <w:b/>
                      <w:i w:val="0"/>
                    </w:rPr>
                    <w:t>）</w:t>
                  </w:r>
                </w:p>
              </w:tc>
            </w:tr>
            <w:tr w14:paraId="38080A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continue"/>
                  <w:vAlign w:val="center"/>
                </w:tcPr>
                <w:p w14:paraId="1ED3109B">
                  <w:pPr>
                    <w:pStyle w:val="149"/>
                    <w:rPr>
                      <w:rFonts w:eastAsia="Times New Roman"/>
                      <w:b/>
                    </w:rPr>
                  </w:pPr>
                </w:p>
              </w:tc>
              <w:tc>
                <w:tcPr>
                  <w:tcW w:w="608" w:type="pct"/>
                  <w:vMerge w:val="continue"/>
                  <w:vAlign w:val="center"/>
                </w:tcPr>
                <w:p w14:paraId="4A2BE9DE">
                  <w:pPr>
                    <w:pStyle w:val="149"/>
                    <w:rPr>
                      <w:rFonts w:eastAsia="Times New Roman"/>
                      <w:b/>
                    </w:rPr>
                  </w:pPr>
                </w:p>
              </w:tc>
              <w:tc>
                <w:tcPr>
                  <w:tcW w:w="293" w:type="pct"/>
                  <w:vAlign w:val="center"/>
                </w:tcPr>
                <w:p w14:paraId="558985C6">
                  <w:pPr>
                    <w:pStyle w:val="149"/>
                    <w:rPr>
                      <w:rFonts w:eastAsia="Times New Roman"/>
                      <w:b/>
                    </w:rPr>
                  </w:pPr>
                  <w:r>
                    <w:rPr>
                      <w:rFonts w:hint="eastAsia" w:ascii="宋体" w:hAnsi="宋体" w:eastAsia="宋体" w:cs="宋体"/>
                      <w:b/>
                    </w:rPr>
                    <w:t>水温</w:t>
                  </w:r>
                </w:p>
              </w:tc>
              <w:tc>
                <w:tcPr>
                  <w:tcW w:w="289" w:type="pct"/>
                  <w:vAlign w:val="center"/>
                </w:tcPr>
                <w:p w14:paraId="4D4D916D">
                  <w:pPr>
                    <w:pStyle w:val="149"/>
                    <w:rPr>
                      <w:rFonts w:eastAsia="Times New Roman"/>
                      <w:b/>
                    </w:rPr>
                  </w:pPr>
                  <w:r>
                    <w:rPr>
                      <w:rFonts w:eastAsia="Times New Roman"/>
                      <w:b/>
                    </w:rPr>
                    <w:t>pH</w:t>
                  </w:r>
                  <w:r>
                    <w:rPr>
                      <w:rFonts w:hint="eastAsia" w:ascii="宋体" w:hAnsi="宋体" w:eastAsia="宋体" w:cs="宋体"/>
                      <w:b/>
                    </w:rPr>
                    <w:t>值</w:t>
                  </w:r>
                </w:p>
              </w:tc>
              <w:tc>
                <w:tcPr>
                  <w:tcW w:w="317" w:type="pct"/>
                  <w:vAlign w:val="center"/>
                </w:tcPr>
                <w:p w14:paraId="2966FD8C">
                  <w:pPr>
                    <w:pStyle w:val="149"/>
                    <w:rPr>
                      <w:rFonts w:eastAsia="Times New Roman"/>
                      <w:b/>
                    </w:rPr>
                  </w:pPr>
                  <w:r>
                    <w:rPr>
                      <w:rFonts w:hint="eastAsia" w:ascii="宋体" w:hAnsi="宋体" w:eastAsia="宋体" w:cs="宋体"/>
                      <w:b/>
                    </w:rPr>
                    <w:t>溶解氧</w:t>
                  </w:r>
                </w:p>
              </w:tc>
              <w:tc>
                <w:tcPr>
                  <w:tcW w:w="273" w:type="pct"/>
                  <w:vAlign w:val="center"/>
                </w:tcPr>
                <w:p w14:paraId="3D3DA31A">
                  <w:pPr>
                    <w:pStyle w:val="149"/>
                    <w:rPr>
                      <w:rFonts w:eastAsia="Times New Roman"/>
                      <w:b/>
                    </w:rPr>
                  </w:pPr>
                  <w:r>
                    <w:rPr>
                      <w:rFonts w:eastAsia="Times New Roman"/>
                      <w:b/>
                    </w:rPr>
                    <w:t>SS</w:t>
                  </w:r>
                </w:p>
              </w:tc>
              <w:tc>
                <w:tcPr>
                  <w:tcW w:w="352" w:type="pct"/>
                  <w:vAlign w:val="center"/>
                </w:tcPr>
                <w:p w14:paraId="583DF872">
                  <w:pPr>
                    <w:pStyle w:val="149"/>
                    <w:rPr>
                      <w:rFonts w:eastAsia="Times New Roman"/>
                      <w:b/>
                    </w:rPr>
                  </w:pPr>
                  <w:r>
                    <w:rPr>
                      <w:rFonts w:eastAsia="Times New Roman"/>
                      <w:b/>
                    </w:rPr>
                    <w:t>COD</w:t>
                  </w:r>
                </w:p>
              </w:tc>
              <w:tc>
                <w:tcPr>
                  <w:tcW w:w="370" w:type="pct"/>
                  <w:vAlign w:val="center"/>
                </w:tcPr>
                <w:p w14:paraId="376E46E2">
                  <w:pPr>
                    <w:pStyle w:val="149"/>
                    <w:rPr>
                      <w:rFonts w:eastAsia="Times New Roman"/>
                      <w:b/>
                    </w:rPr>
                  </w:pPr>
                  <w:r>
                    <w:rPr>
                      <w:rFonts w:eastAsia="Times New Roman"/>
                      <w:b/>
                    </w:rPr>
                    <w:t>BOD</w:t>
                  </w:r>
                  <w:r>
                    <w:rPr>
                      <w:rFonts w:eastAsia="Times New Roman"/>
                      <w:b/>
                      <w:vertAlign w:val="subscript"/>
                    </w:rPr>
                    <w:t>5</w:t>
                  </w:r>
                </w:p>
              </w:tc>
              <w:tc>
                <w:tcPr>
                  <w:tcW w:w="321" w:type="pct"/>
                  <w:vAlign w:val="center"/>
                </w:tcPr>
                <w:p w14:paraId="70998D79">
                  <w:pPr>
                    <w:pStyle w:val="149"/>
                    <w:rPr>
                      <w:rFonts w:eastAsia="Times New Roman"/>
                      <w:b/>
                    </w:rPr>
                  </w:pPr>
                  <w:r>
                    <w:rPr>
                      <w:rFonts w:hint="eastAsia" w:ascii="宋体" w:hAnsi="宋体" w:eastAsia="宋体" w:cs="宋体"/>
                      <w:b/>
                    </w:rPr>
                    <w:t>氨氮</w:t>
                  </w:r>
                </w:p>
              </w:tc>
              <w:tc>
                <w:tcPr>
                  <w:tcW w:w="383" w:type="pct"/>
                  <w:vAlign w:val="center"/>
                </w:tcPr>
                <w:p w14:paraId="0B52865A">
                  <w:pPr>
                    <w:pStyle w:val="149"/>
                    <w:rPr>
                      <w:rFonts w:eastAsia="Times New Roman"/>
                      <w:b/>
                    </w:rPr>
                  </w:pPr>
                  <w:r>
                    <w:rPr>
                      <w:rFonts w:hint="eastAsia" w:ascii="宋体" w:hAnsi="宋体" w:eastAsia="宋体" w:cs="宋体"/>
                      <w:b/>
                    </w:rPr>
                    <w:t>总磷</w:t>
                  </w:r>
                </w:p>
              </w:tc>
              <w:tc>
                <w:tcPr>
                  <w:tcW w:w="254" w:type="pct"/>
                  <w:vAlign w:val="center"/>
                </w:tcPr>
                <w:p w14:paraId="1669568D">
                  <w:pPr>
                    <w:pStyle w:val="149"/>
                    <w:rPr>
                      <w:rFonts w:eastAsia="Times New Roman"/>
                      <w:b/>
                    </w:rPr>
                  </w:pPr>
                  <w:r>
                    <w:rPr>
                      <w:rFonts w:hint="eastAsia" w:ascii="宋体" w:hAnsi="宋体" w:eastAsia="宋体" w:cs="宋体"/>
                      <w:b/>
                    </w:rPr>
                    <w:t>总氮</w:t>
                  </w:r>
                </w:p>
              </w:tc>
              <w:tc>
                <w:tcPr>
                  <w:tcW w:w="254" w:type="pct"/>
                  <w:vAlign w:val="center"/>
                </w:tcPr>
                <w:p w14:paraId="39582E51">
                  <w:pPr>
                    <w:pStyle w:val="149"/>
                    <w:rPr>
                      <w:rFonts w:eastAsia="Times New Roman"/>
                      <w:b/>
                    </w:rPr>
                  </w:pPr>
                  <w:r>
                    <w:rPr>
                      <w:rFonts w:hint="eastAsia" w:ascii="宋体" w:hAnsi="宋体" w:eastAsia="宋体" w:cs="宋体"/>
                      <w:b/>
                    </w:rPr>
                    <w:t>氟化物</w:t>
                  </w:r>
                </w:p>
              </w:tc>
              <w:tc>
                <w:tcPr>
                  <w:tcW w:w="254" w:type="pct"/>
                  <w:vAlign w:val="center"/>
                </w:tcPr>
                <w:p w14:paraId="1E27DFF6">
                  <w:pPr>
                    <w:pStyle w:val="149"/>
                    <w:rPr>
                      <w:rFonts w:eastAsia="Times New Roman"/>
                      <w:b/>
                    </w:rPr>
                  </w:pPr>
                  <w:r>
                    <w:rPr>
                      <w:rFonts w:hint="eastAsia" w:ascii="宋体" w:hAnsi="宋体" w:eastAsia="宋体" w:cs="宋体"/>
                      <w:b/>
                    </w:rPr>
                    <w:t>石油类</w:t>
                  </w:r>
                </w:p>
              </w:tc>
              <w:tc>
                <w:tcPr>
                  <w:tcW w:w="342" w:type="pct"/>
                  <w:vAlign w:val="center"/>
                </w:tcPr>
                <w:p w14:paraId="6ED8ACD7">
                  <w:pPr>
                    <w:pStyle w:val="149"/>
                    <w:rPr>
                      <w:rFonts w:eastAsia="Times New Roman"/>
                      <w:b/>
                    </w:rPr>
                  </w:pPr>
                  <w:r>
                    <w:rPr>
                      <w:rFonts w:hint="eastAsia" w:ascii="宋体" w:hAnsi="宋体" w:eastAsia="宋体" w:cs="宋体"/>
                      <w:b/>
                    </w:rPr>
                    <w:t>阴离子表面活性剂</w:t>
                  </w:r>
                </w:p>
              </w:tc>
              <w:tc>
                <w:tcPr>
                  <w:tcW w:w="452" w:type="pct"/>
                  <w:vAlign w:val="center"/>
                </w:tcPr>
                <w:p w14:paraId="078AD25D">
                  <w:pPr>
                    <w:pStyle w:val="149"/>
                    <w:rPr>
                      <w:rFonts w:eastAsia="Times New Roman"/>
                      <w:b/>
                    </w:rPr>
                  </w:pPr>
                  <w:r>
                    <w:rPr>
                      <w:rFonts w:hint="eastAsia" w:ascii="宋体" w:hAnsi="宋体" w:eastAsia="宋体" w:cs="宋体"/>
                      <w:b/>
                    </w:rPr>
                    <w:t>粪大肠菌群</w:t>
                  </w:r>
                  <w:r>
                    <w:rPr>
                      <w:rFonts w:eastAsia="Times New Roman"/>
                      <w:b/>
                    </w:rPr>
                    <w:t xml:space="preserve"> </w:t>
                  </w:r>
                  <w:r>
                    <w:rPr>
                      <w:rFonts w:hint="eastAsia" w:ascii="宋体" w:hAnsi="宋体" w:eastAsia="宋体" w:cs="宋体"/>
                      <w:b/>
                    </w:rPr>
                    <w:t>（单位：个</w:t>
                  </w:r>
                  <w:r>
                    <w:rPr>
                      <w:rFonts w:eastAsia="Times New Roman"/>
                      <w:b/>
                    </w:rPr>
                    <w:t>/L</w:t>
                  </w:r>
                  <w:r>
                    <w:rPr>
                      <w:rFonts w:hint="eastAsia" w:ascii="宋体" w:hAnsi="宋体" w:eastAsia="宋体" w:cs="宋体"/>
                      <w:b/>
                    </w:rPr>
                    <w:t>）</w:t>
                  </w:r>
                </w:p>
              </w:tc>
            </w:tr>
            <w:tr w14:paraId="1B476E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844" w:type="pct"/>
                  <w:gridSpan w:val="2"/>
                  <w:vAlign w:val="center"/>
                </w:tcPr>
                <w:p w14:paraId="08B6E1AD">
                  <w:pPr>
                    <w:pStyle w:val="149"/>
                    <w:rPr>
                      <w:rFonts w:eastAsia="Times New Roman"/>
                    </w:rPr>
                  </w:pPr>
                  <w:r>
                    <w:rPr>
                      <w:rFonts w:hint="eastAsia" w:eastAsia="Times New Roman"/>
                    </w:rPr>
                    <w:t>Ⅴ</w:t>
                  </w:r>
                  <w:r>
                    <w:rPr>
                      <w:rFonts w:hint="eastAsia" w:ascii="宋体" w:hAnsi="宋体" w:eastAsia="宋体" w:cs="宋体"/>
                    </w:rPr>
                    <w:t>类标准</w:t>
                  </w:r>
                </w:p>
              </w:tc>
              <w:tc>
                <w:tcPr>
                  <w:tcW w:w="293" w:type="pct"/>
                  <w:vAlign w:val="center"/>
                </w:tcPr>
                <w:p w14:paraId="2DB54702">
                  <w:pPr>
                    <w:pStyle w:val="149"/>
                    <w:rPr>
                      <w:rFonts w:eastAsia="Times New Roman"/>
                    </w:rPr>
                  </w:pPr>
                  <w:r>
                    <w:rPr>
                      <w:rFonts w:eastAsia="Times New Roman"/>
                    </w:rPr>
                    <w:t>/</w:t>
                  </w:r>
                </w:p>
              </w:tc>
              <w:tc>
                <w:tcPr>
                  <w:tcW w:w="289" w:type="pct"/>
                  <w:vAlign w:val="center"/>
                </w:tcPr>
                <w:p w14:paraId="3C4312F8">
                  <w:pPr>
                    <w:pStyle w:val="149"/>
                    <w:rPr>
                      <w:rFonts w:eastAsia="Times New Roman"/>
                    </w:rPr>
                  </w:pPr>
                  <w:r>
                    <w:rPr>
                      <w:rFonts w:eastAsia="Times New Roman"/>
                    </w:rPr>
                    <w:t>6-9</w:t>
                  </w:r>
                </w:p>
              </w:tc>
              <w:tc>
                <w:tcPr>
                  <w:tcW w:w="317" w:type="pct"/>
                  <w:vAlign w:val="center"/>
                </w:tcPr>
                <w:p w14:paraId="788E3313">
                  <w:pPr>
                    <w:pStyle w:val="149"/>
                    <w:rPr>
                      <w:rFonts w:eastAsia="Times New Roman"/>
                    </w:rPr>
                  </w:pPr>
                  <w:r>
                    <w:rPr>
                      <w:rFonts w:hint="eastAsia" w:eastAsia="Times New Roman"/>
                    </w:rPr>
                    <w:t>≥2</w:t>
                  </w:r>
                </w:p>
              </w:tc>
              <w:tc>
                <w:tcPr>
                  <w:tcW w:w="273" w:type="pct"/>
                  <w:vAlign w:val="center"/>
                </w:tcPr>
                <w:p w14:paraId="4B2FC56C">
                  <w:pPr>
                    <w:pStyle w:val="149"/>
                    <w:rPr>
                      <w:rFonts w:eastAsia="Times New Roman"/>
                    </w:rPr>
                  </w:pPr>
                  <w:r>
                    <w:rPr>
                      <w:rFonts w:eastAsia="Times New Roman"/>
                    </w:rPr>
                    <w:t>/</w:t>
                  </w:r>
                </w:p>
              </w:tc>
              <w:tc>
                <w:tcPr>
                  <w:tcW w:w="352" w:type="pct"/>
                  <w:vAlign w:val="center"/>
                </w:tcPr>
                <w:p w14:paraId="7ABB7DF5">
                  <w:pPr>
                    <w:pStyle w:val="149"/>
                    <w:rPr>
                      <w:rFonts w:eastAsia="Times New Roman"/>
                    </w:rPr>
                  </w:pPr>
                  <w:r>
                    <w:rPr>
                      <w:rFonts w:hint="eastAsia" w:eastAsia="Times New Roman"/>
                    </w:rPr>
                    <w:t>≤40</w:t>
                  </w:r>
                </w:p>
              </w:tc>
              <w:tc>
                <w:tcPr>
                  <w:tcW w:w="370" w:type="pct"/>
                  <w:vAlign w:val="center"/>
                </w:tcPr>
                <w:p w14:paraId="7649BAAD">
                  <w:pPr>
                    <w:pStyle w:val="149"/>
                    <w:rPr>
                      <w:rFonts w:eastAsia="Times New Roman"/>
                    </w:rPr>
                  </w:pPr>
                  <w:r>
                    <w:rPr>
                      <w:rFonts w:hint="eastAsia" w:eastAsia="Times New Roman"/>
                    </w:rPr>
                    <w:t>≤10</w:t>
                  </w:r>
                </w:p>
              </w:tc>
              <w:tc>
                <w:tcPr>
                  <w:tcW w:w="321" w:type="pct"/>
                  <w:vAlign w:val="center"/>
                </w:tcPr>
                <w:p w14:paraId="4D5EC43E">
                  <w:pPr>
                    <w:pStyle w:val="149"/>
                    <w:rPr>
                      <w:rFonts w:eastAsia="Times New Roman"/>
                    </w:rPr>
                  </w:pPr>
                  <w:r>
                    <w:rPr>
                      <w:rFonts w:hint="eastAsia" w:eastAsia="Times New Roman"/>
                    </w:rPr>
                    <w:t>≤2.0</w:t>
                  </w:r>
                </w:p>
              </w:tc>
              <w:tc>
                <w:tcPr>
                  <w:tcW w:w="383" w:type="pct"/>
                  <w:vAlign w:val="center"/>
                </w:tcPr>
                <w:p w14:paraId="05A2D603">
                  <w:pPr>
                    <w:pStyle w:val="149"/>
                    <w:rPr>
                      <w:rFonts w:eastAsia="Times New Roman"/>
                    </w:rPr>
                  </w:pPr>
                  <w:r>
                    <w:rPr>
                      <w:rFonts w:hint="eastAsia" w:eastAsia="Times New Roman"/>
                    </w:rPr>
                    <w:t>≤0.4</w:t>
                  </w:r>
                </w:p>
              </w:tc>
              <w:tc>
                <w:tcPr>
                  <w:tcW w:w="254" w:type="pct"/>
                  <w:vAlign w:val="center"/>
                </w:tcPr>
                <w:p w14:paraId="476910E4">
                  <w:pPr>
                    <w:pStyle w:val="149"/>
                    <w:rPr>
                      <w:rFonts w:eastAsia="Times New Roman"/>
                    </w:rPr>
                  </w:pPr>
                  <w:r>
                    <w:rPr>
                      <w:rFonts w:eastAsia="Times New Roman"/>
                    </w:rPr>
                    <w:t>/</w:t>
                  </w:r>
                </w:p>
              </w:tc>
              <w:tc>
                <w:tcPr>
                  <w:tcW w:w="254" w:type="pct"/>
                  <w:vAlign w:val="center"/>
                </w:tcPr>
                <w:p w14:paraId="31754CA9">
                  <w:pPr>
                    <w:pStyle w:val="149"/>
                    <w:rPr>
                      <w:rFonts w:eastAsia="Times New Roman"/>
                    </w:rPr>
                  </w:pPr>
                  <w:r>
                    <w:rPr>
                      <w:rFonts w:hint="eastAsia" w:eastAsia="Times New Roman"/>
                    </w:rPr>
                    <w:t>≤</w:t>
                  </w:r>
                  <w:r>
                    <w:rPr>
                      <w:rFonts w:eastAsia="Times New Roman"/>
                    </w:rPr>
                    <w:t>1.5</w:t>
                  </w:r>
                </w:p>
              </w:tc>
              <w:tc>
                <w:tcPr>
                  <w:tcW w:w="254" w:type="pct"/>
                  <w:vAlign w:val="center"/>
                </w:tcPr>
                <w:p w14:paraId="686C1AA2">
                  <w:pPr>
                    <w:pStyle w:val="149"/>
                    <w:rPr>
                      <w:rFonts w:eastAsia="Times New Roman"/>
                    </w:rPr>
                  </w:pPr>
                  <w:r>
                    <w:rPr>
                      <w:rFonts w:hint="eastAsia" w:eastAsia="Times New Roman"/>
                    </w:rPr>
                    <w:t>≤</w:t>
                  </w:r>
                  <w:r>
                    <w:rPr>
                      <w:rFonts w:eastAsia="Times New Roman"/>
                    </w:rPr>
                    <w:t>1.0</w:t>
                  </w:r>
                </w:p>
              </w:tc>
              <w:tc>
                <w:tcPr>
                  <w:tcW w:w="342" w:type="pct"/>
                  <w:vAlign w:val="center"/>
                </w:tcPr>
                <w:p w14:paraId="2174B41A">
                  <w:pPr>
                    <w:pStyle w:val="149"/>
                    <w:rPr>
                      <w:rFonts w:eastAsia="Times New Roman"/>
                    </w:rPr>
                  </w:pPr>
                  <w:r>
                    <w:rPr>
                      <w:rFonts w:hint="eastAsia" w:eastAsia="Times New Roman"/>
                    </w:rPr>
                    <w:t>≤</w:t>
                  </w:r>
                  <w:r>
                    <w:rPr>
                      <w:rFonts w:eastAsia="Times New Roman"/>
                    </w:rPr>
                    <w:t>0.3</w:t>
                  </w:r>
                </w:p>
              </w:tc>
              <w:tc>
                <w:tcPr>
                  <w:tcW w:w="452" w:type="pct"/>
                  <w:vAlign w:val="center"/>
                </w:tcPr>
                <w:p w14:paraId="4B8AA91D">
                  <w:pPr>
                    <w:pStyle w:val="149"/>
                    <w:rPr>
                      <w:rFonts w:eastAsia="Times New Roman"/>
                    </w:rPr>
                  </w:pPr>
                  <w:r>
                    <w:rPr>
                      <w:rFonts w:hint="eastAsia" w:eastAsia="Times New Roman"/>
                    </w:rPr>
                    <w:t>≤</w:t>
                  </w:r>
                  <w:r>
                    <w:rPr>
                      <w:rFonts w:eastAsia="Times New Roman"/>
                    </w:rPr>
                    <w:t>40000</w:t>
                  </w:r>
                </w:p>
              </w:tc>
            </w:tr>
            <w:tr w14:paraId="03A754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restart"/>
                  <w:vAlign w:val="center"/>
                </w:tcPr>
                <w:p w14:paraId="2D127810">
                  <w:pPr>
                    <w:pStyle w:val="149"/>
                    <w:rPr>
                      <w:rFonts w:eastAsia="Times New Roman"/>
                    </w:rPr>
                  </w:pPr>
                  <w:r>
                    <w:rPr>
                      <w:rFonts w:eastAsia="Times New Roman"/>
                    </w:rPr>
                    <w:t>W7</w:t>
                  </w:r>
                </w:p>
              </w:tc>
              <w:tc>
                <w:tcPr>
                  <w:tcW w:w="608" w:type="pct"/>
                  <w:vAlign w:val="center"/>
                </w:tcPr>
                <w:p w14:paraId="58BD4832">
                  <w:pPr>
                    <w:pStyle w:val="149"/>
                    <w:rPr>
                      <w:rFonts w:eastAsia="Times New Roman"/>
                    </w:rPr>
                  </w:pPr>
                  <w:r>
                    <w:rPr>
                      <w:rFonts w:eastAsia="Times New Roman"/>
                    </w:rPr>
                    <w:t>2023.11.20</w:t>
                  </w:r>
                </w:p>
              </w:tc>
              <w:tc>
                <w:tcPr>
                  <w:tcW w:w="293" w:type="pct"/>
                  <w:vAlign w:val="center"/>
                </w:tcPr>
                <w:p w14:paraId="48E17466">
                  <w:pPr>
                    <w:pStyle w:val="149"/>
                    <w:rPr>
                      <w:rFonts w:eastAsia="Times New Roman"/>
                    </w:rPr>
                  </w:pPr>
                  <w:r>
                    <w:rPr>
                      <w:rFonts w:eastAsia="Times New Roman"/>
                    </w:rPr>
                    <w:t>16.2</w:t>
                  </w:r>
                </w:p>
              </w:tc>
              <w:tc>
                <w:tcPr>
                  <w:tcW w:w="289" w:type="pct"/>
                  <w:vAlign w:val="center"/>
                </w:tcPr>
                <w:p w14:paraId="6C95257E">
                  <w:pPr>
                    <w:pStyle w:val="149"/>
                    <w:rPr>
                      <w:rFonts w:eastAsia="Times New Roman"/>
                    </w:rPr>
                  </w:pPr>
                  <w:r>
                    <w:rPr>
                      <w:rFonts w:eastAsia="Times New Roman"/>
                    </w:rPr>
                    <w:t>7.1</w:t>
                  </w:r>
                </w:p>
              </w:tc>
              <w:tc>
                <w:tcPr>
                  <w:tcW w:w="317" w:type="pct"/>
                  <w:vAlign w:val="center"/>
                </w:tcPr>
                <w:p w14:paraId="50A52D24">
                  <w:pPr>
                    <w:pStyle w:val="149"/>
                    <w:rPr>
                      <w:rFonts w:eastAsia="Times New Roman"/>
                    </w:rPr>
                  </w:pPr>
                  <w:r>
                    <w:rPr>
                      <w:rFonts w:eastAsia="Times New Roman"/>
                    </w:rPr>
                    <w:t>5.7</w:t>
                  </w:r>
                </w:p>
              </w:tc>
              <w:tc>
                <w:tcPr>
                  <w:tcW w:w="273" w:type="pct"/>
                  <w:vAlign w:val="center"/>
                </w:tcPr>
                <w:p w14:paraId="5F46BEAD">
                  <w:pPr>
                    <w:pStyle w:val="149"/>
                    <w:rPr>
                      <w:rFonts w:eastAsia="Times New Roman"/>
                    </w:rPr>
                  </w:pPr>
                  <w:r>
                    <w:rPr>
                      <w:rFonts w:eastAsia="Times New Roman"/>
                    </w:rPr>
                    <w:t>32</w:t>
                  </w:r>
                </w:p>
              </w:tc>
              <w:tc>
                <w:tcPr>
                  <w:tcW w:w="352" w:type="pct"/>
                  <w:vAlign w:val="center"/>
                </w:tcPr>
                <w:p w14:paraId="640E89B3">
                  <w:pPr>
                    <w:pStyle w:val="149"/>
                    <w:rPr>
                      <w:rFonts w:eastAsia="Times New Roman"/>
                    </w:rPr>
                  </w:pPr>
                  <w:r>
                    <w:rPr>
                      <w:rFonts w:eastAsia="Times New Roman"/>
                    </w:rPr>
                    <w:t>16</w:t>
                  </w:r>
                </w:p>
              </w:tc>
              <w:tc>
                <w:tcPr>
                  <w:tcW w:w="370" w:type="pct"/>
                  <w:vAlign w:val="center"/>
                </w:tcPr>
                <w:p w14:paraId="4E395919">
                  <w:pPr>
                    <w:pStyle w:val="149"/>
                    <w:rPr>
                      <w:rFonts w:eastAsia="Times New Roman"/>
                    </w:rPr>
                  </w:pPr>
                  <w:r>
                    <w:rPr>
                      <w:rFonts w:eastAsia="Times New Roman"/>
                    </w:rPr>
                    <w:t>4.6</w:t>
                  </w:r>
                </w:p>
              </w:tc>
              <w:tc>
                <w:tcPr>
                  <w:tcW w:w="321" w:type="pct"/>
                  <w:vAlign w:val="center"/>
                </w:tcPr>
                <w:p w14:paraId="3A88C979">
                  <w:pPr>
                    <w:pStyle w:val="149"/>
                    <w:rPr>
                      <w:rFonts w:eastAsia="Times New Roman"/>
                    </w:rPr>
                  </w:pPr>
                  <w:r>
                    <w:rPr>
                      <w:rFonts w:eastAsia="Times New Roman"/>
                    </w:rPr>
                    <w:t>1.89</w:t>
                  </w:r>
                </w:p>
              </w:tc>
              <w:tc>
                <w:tcPr>
                  <w:tcW w:w="383" w:type="pct"/>
                  <w:vAlign w:val="center"/>
                </w:tcPr>
                <w:p w14:paraId="36F28621">
                  <w:pPr>
                    <w:pStyle w:val="149"/>
                    <w:rPr>
                      <w:rFonts w:eastAsia="Times New Roman"/>
                    </w:rPr>
                  </w:pPr>
                  <w:r>
                    <w:rPr>
                      <w:rFonts w:eastAsia="Times New Roman"/>
                    </w:rPr>
                    <w:t>0.8</w:t>
                  </w:r>
                </w:p>
              </w:tc>
              <w:tc>
                <w:tcPr>
                  <w:tcW w:w="254" w:type="pct"/>
                  <w:vAlign w:val="center"/>
                </w:tcPr>
                <w:p w14:paraId="6FDA7E18">
                  <w:pPr>
                    <w:pStyle w:val="149"/>
                    <w:rPr>
                      <w:rFonts w:eastAsia="Times New Roman"/>
                    </w:rPr>
                  </w:pPr>
                  <w:r>
                    <w:rPr>
                      <w:rFonts w:eastAsia="Times New Roman"/>
                    </w:rPr>
                    <w:t>3.81</w:t>
                  </w:r>
                </w:p>
              </w:tc>
              <w:tc>
                <w:tcPr>
                  <w:tcW w:w="254" w:type="pct"/>
                  <w:vAlign w:val="center"/>
                </w:tcPr>
                <w:p w14:paraId="45AB2053">
                  <w:pPr>
                    <w:pStyle w:val="149"/>
                    <w:rPr>
                      <w:rFonts w:eastAsia="Times New Roman"/>
                    </w:rPr>
                  </w:pPr>
                  <w:r>
                    <w:rPr>
                      <w:rFonts w:eastAsia="Times New Roman"/>
                    </w:rPr>
                    <w:t>0.23</w:t>
                  </w:r>
                </w:p>
              </w:tc>
              <w:tc>
                <w:tcPr>
                  <w:tcW w:w="254" w:type="pct"/>
                  <w:vAlign w:val="center"/>
                </w:tcPr>
                <w:p w14:paraId="36E2544D">
                  <w:pPr>
                    <w:pStyle w:val="149"/>
                    <w:rPr>
                      <w:rFonts w:eastAsia="Times New Roman"/>
                    </w:rPr>
                  </w:pPr>
                  <w:r>
                    <w:rPr>
                      <w:rFonts w:eastAsia="Times New Roman"/>
                    </w:rPr>
                    <w:t>0.02</w:t>
                  </w:r>
                </w:p>
              </w:tc>
              <w:tc>
                <w:tcPr>
                  <w:tcW w:w="342" w:type="pct"/>
                  <w:vAlign w:val="center"/>
                </w:tcPr>
                <w:p w14:paraId="0D1AB48B">
                  <w:pPr>
                    <w:pStyle w:val="149"/>
                    <w:rPr>
                      <w:rFonts w:eastAsia="Times New Roman"/>
                    </w:rPr>
                  </w:pPr>
                  <w:r>
                    <w:rPr>
                      <w:rFonts w:eastAsia="Times New Roman"/>
                    </w:rPr>
                    <w:t>0.22</w:t>
                  </w:r>
                </w:p>
              </w:tc>
              <w:tc>
                <w:tcPr>
                  <w:tcW w:w="452" w:type="pct"/>
                  <w:vAlign w:val="center"/>
                </w:tcPr>
                <w:p w14:paraId="399D47BC">
                  <w:pPr>
                    <w:pStyle w:val="149"/>
                    <w:rPr>
                      <w:rFonts w:eastAsia="Times New Roman"/>
                    </w:rPr>
                  </w:pPr>
                  <w:r>
                    <w:rPr>
                      <w:rFonts w:eastAsia="Times New Roman"/>
                    </w:rPr>
                    <w:t>1.2×10</w:t>
                  </w:r>
                  <w:r>
                    <w:rPr>
                      <w:rFonts w:eastAsia="Times New Roman"/>
                      <w:b/>
                      <w:vertAlign w:val="superscript"/>
                    </w:rPr>
                    <w:t>4</w:t>
                  </w:r>
                </w:p>
              </w:tc>
            </w:tr>
            <w:tr w14:paraId="3F3D14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continue"/>
                  <w:vAlign w:val="center"/>
                </w:tcPr>
                <w:p w14:paraId="4907E7B5">
                  <w:pPr>
                    <w:pStyle w:val="149"/>
                    <w:rPr>
                      <w:rFonts w:eastAsia="Times New Roman"/>
                    </w:rPr>
                  </w:pPr>
                </w:p>
              </w:tc>
              <w:tc>
                <w:tcPr>
                  <w:tcW w:w="608" w:type="pct"/>
                  <w:vAlign w:val="center"/>
                </w:tcPr>
                <w:p w14:paraId="21BF5749">
                  <w:pPr>
                    <w:pStyle w:val="149"/>
                    <w:rPr>
                      <w:rFonts w:eastAsia="Times New Roman"/>
                    </w:rPr>
                  </w:pPr>
                  <w:r>
                    <w:rPr>
                      <w:rFonts w:eastAsia="Times New Roman"/>
                    </w:rPr>
                    <w:t>2023.11.21</w:t>
                  </w:r>
                </w:p>
              </w:tc>
              <w:tc>
                <w:tcPr>
                  <w:tcW w:w="293" w:type="pct"/>
                  <w:vAlign w:val="center"/>
                </w:tcPr>
                <w:p w14:paraId="456811DC">
                  <w:pPr>
                    <w:pStyle w:val="149"/>
                    <w:rPr>
                      <w:rFonts w:eastAsia="Times New Roman"/>
                    </w:rPr>
                  </w:pPr>
                  <w:r>
                    <w:rPr>
                      <w:rFonts w:eastAsia="Times New Roman"/>
                    </w:rPr>
                    <w:t>14.1</w:t>
                  </w:r>
                </w:p>
              </w:tc>
              <w:tc>
                <w:tcPr>
                  <w:tcW w:w="289" w:type="pct"/>
                  <w:vAlign w:val="center"/>
                </w:tcPr>
                <w:p w14:paraId="3C2F548E">
                  <w:pPr>
                    <w:pStyle w:val="149"/>
                    <w:rPr>
                      <w:rFonts w:eastAsia="Times New Roman"/>
                    </w:rPr>
                  </w:pPr>
                  <w:r>
                    <w:rPr>
                      <w:rFonts w:eastAsia="Times New Roman"/>
                    </w:rPr>
                    <w:t>7.0</w:t>
                  </w:r>
                </w:p>
              </w:tc>
              <w:tc>
                <w:tcPr>
                  <w:tcW w:w="317" w:type="pct"/>
                  <w:vAlign w:val="center"/>
                </w:tcPr>
                <w:p w14:paraId="395BC485">
                  <w:pPr>
                    <w:pStyle w:val="149"/>
                    <w:rPr>
                      <w:rFonts w:eastAsia="Times New Roman"/>
                    </w:rPr>
                  </w:pPr>
                  <w:r>
                    <w:rPr>
                      <w:rFonts w:eastAsia="Times New Roman"/>
                    </w:rPr>
                    <w:t>6.0</w:t>
                  </w:r>
                </w:p>
              </w:tc>
              <w:tc>
                <w:tcPr>
                  <w:tcW w:w="273" w:type="pct"/>
                  <w:vAlign w:val="center"/>
                </w:tcPr>
                <w:p w14:paraId="0A787F7B">
                  <w:pPr>
                    <w:pStyle w:val="149"/>
                    <w:rPr>
                      <w:rFonts w:eastAsia="Times New Roman"/>
                    </w:rPr>
                  </w:pPr>
                  <w:r>
                    <w:rPr>
                      <w:rFonts w:eastAsia="Times New Roman"/>
                    </w:rPr>
                    <w:t>26</w:t>
                  </w:r>
                </w:p>
              </w:tc>
              <w:tc>
                <w:tcPr>
                  <w:tcW w:w="352" w:type="pct"/>
                  <w:vAlign w:val="center"/>
                </w:tcPr>
                <w:p w14:paraId="685D7E18">
                  <w:pPr>
                    <w:pStyle w:val="149"/>
                    <w:rPr>
                      <w:rFonts w:eastAsia="Times New Roman"/>
                    </w:rPr>
                  </w:pPr>
                  <w:r>
                    <w:rPr>
                      <w:rFonts w:eastAsia="Times New Roman"/>
                    </w:rPr>
                    <w:t>15</w:t>
                  </w:r>
                </w:p>
              </w:tc>
              <w:tc>
                <w:tcPr>
                  <w:tcW w:w="370" w:type="pct"/>
                  <w:vAlign w:val="center"/>
                </w:tcPr>
                <w:p w14:paraId="4CB55188">
                  <w:pPr>
                    <w:pStyle w:val="149"/>
                    <w:rPr>
                      <w:rFonts w:eastAsia="Times New Roman"/>
                    </w:rPr>
                  </w:pPr>
                  <w:r>
                    <w:rPr>
                      <w:rFonts w:eastAsia="Times New Roman"/>
                    </w:rPr>
                    <w:t>4.1</w:t>
                  </w:r>
                </w:p>
              </w:tc>
              <w:tc>
                <w:tcPr>
                  <w:tcW w:w="321" w:type="pct"/>
                  <w:vAlign w:val="center"/>
                </w:tcPr>
                <w:p w14:paraId="1500A477">
                  <w:pPr>
                    <w:pStyle w:val="149"/>
                    <w:rPr>
                      <w:rFonts w:eastAsia="Times New Roman"/>
                    </w:rPr>
                  </w:pPr>
                  <w:r>
                    <w:rPr>
                      <w:rFonts w:eastAsia="Times New Roman"/>
                    </w:rPr>
                    <w:t>2.45</w:t>
                  </w:r>
                </w:p>
              </w:tc>
              <w:tc>
                <w:tcPr>
                  <w:tcW w:w="383" w:type="pct"/>
                  <w:vAlign w:val="center"/>
                </w:tcPr>
                <w:p w14:paraId="54F3D51D">
                  <w:pPr>
                    <w:pStyle w:val="149"/>
                    <w:rPr>
                      <w:rFonts w:eastAsia="Times New Roman"/>
                    </w:rPr>
                  </w:pPr>
                  <w:r>
                    <w:rPr>
                      <w:rFonts w:eastAsia="Times New Roman"/>
                    </w:rPr>
                    <w:t>0.21</w:t>
                  </w:r>
                </w:p>
              </w:tc>
              <w:tc>
                <w:tcPr>
                  <w:tcW w:w="254" w:type="pct"/>
                  <w:vAlign w:val="center"/>
                </w:tcPr>
                <w:p w14:paraId="1638AC13">
                  <w:pPr>
                    <w:pStyle w:val="149"/>
                    <w:rPr>
                      <w:rFonts w:eastAsia="Times New Roman"/>
                    </w:rPr>
                  </w:pPr>
                  <w:r>
                    <w:rPr>
                      <w:rFonts w:eastAsia="Times New Roman"/>
                    </w:rPr>
                    <w:t>4.90</w:t>
                  </w:r>
                </w:p>
              </w:tc>
              <w:tc>
                <w:tcPr>
                  <w:tcW w:w="254" w:type="pct"/>
                  <w:vAlign w:val="center"/>
                </w:tcPr>
                <w:p w14:paraId="5AD90D07">
                  <w:pPr>
                    <w:pStyle w:val="149"/>
                    <w:rPr>
                      <w:rFonts w:eastAsia="Times New Roman"/>
                    </w:rPr>
                  </w:pPr>
                  <w:r>
                    <w:rPr>
                      <w:rFonts w:eastAsia="Times New Roman"/>
                    </w:rPr>
                    <w:t>0.21</w:t>
                  </w:r>
                </w:p>
              </w:tc>
              <w:tc>
                <w:tcPr>
                  <w:tcW w:w="254" w:type="pct"/>
                  <w:vAlign w:val="center"/>
                </w:tcPr>
                <w:p w14:paraId="6D4DE1B2">
                  <w:pPr>
                    <w:pStyle w:val="149"/>
                    <w:rPr>
                      <w:rFonts w:eastAsia="Times New Roman"/>
                    </w:rPr>
                  </w:pPr>
                  <w:r>
                    <w:rPr>
                      <w:rFonts w:eastAsia="Times New Roman"/>
                    </w:rPr>
                    <w:t>0.03</w:t>
                  </w:r>
                </w:p>
              </w:tc>
              <w:tc>
                <w:tcPr>
                  <w:tcW w:w="342" w:type="pct"/>
                  <w:vAlign w:val="center"/>
                </w:tcPr>
                <w:p w14:paraId="39C30D36">
                  <w:pPr>
                    <w:pStyle w:val="149"/>
                    <w:rPr>
                      <w:rFonts w:eastAsia="Times New Roman"/>
                    </w:rPr>
                  </w:pPr>
                  <w:r>
                    <w:rPr>
                      <w:rFonts w:eastAsia="Times New Roman"/>
                    </w:rPr>
                    <w:t>0.18</w:t>
                  </w:r>
                </w:p>
              </w:tc>
              <w:tc>
                <w:tcPr>
                  <w:tcW w:w="452" w:type="pct"/>
                  <w:vAlign w:val="center"/>
                </w:tcPr>
                <w:p w14:paraId="040596A4">
                  <w:pPr>
                    <w:pStyle w:val="149"/>
                    <w:rPr>
                      <w:rFonts w:eastAsia="Times New Roman"/>
                    </w:rPr>
                  </w:pPr>
                  <w:r>
                    <w:rPr>
                      <w:rFonts w:eastAsia="Times New Roman"/>
                    </w:rPr>
                    <w:t>7.7×10</w:t>
                  </w:r>
                  <w:r>
                    <w:rPr>
                      <w:rFonts w:eastAsia="Times New Roman"/>
                      <w:b/>
                      <w:vertAlign w:val="superscript"/>
                    </w:rPr>
                    <w:t>4</w:t>
                  </w:r>
                </w:p>
              </w:tc>
            </w:tr>
            <w:tr w14:paraId="4DB0A7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continue"/>
                  <w:vAlign w:val="center"/>
                </w:tcPr>
                <w:p w14:paraId="2B5C6B16">
                  <w:pPr>
                    <w:pStyle w:val="149"/>
                    <w:rPr>
                      <w:rFonts w:eastAsia="Times New Roman"/>
                    </w:rPr>
                  </w:pPr>
                </w:p>
              </w:tc>
              <w:tc>
                <w:tcPr>
                  <w:tcW w:w="608" w:type="pct"/>
                  <w:vAlign w:val="center"/>
                </w:tcPr>
                <w:p w14:paraId="2A919618">
                  <w:pPr>
                    <w:pStyle w:val="149"/>
                    <w:rPr>
                      <w:rFonts w:eastAsia="Times New Roman"/>
                    </w:rPr>
                  </w:pPr>
                  <w:r>
                    <w:rPr>
                      <w:rFonts w:eastAsia="Times New Roman"/>
                    </w:rPr>
                    <w:t>2023.11.22</w:t>
                  </w:r>
                </w:p>
              </w:tc>
              <w:tc>
                <w:tcPr>
                  <w:tcW w:w="293" w:type="pct"/>
                  <w:vAlign w:val="center"/>
                </w:tcPr>
                <w:p w14:paraId="153BF523">
                  <w:pPr>
                    <w:pStyle w:val="149"/>
                    <w:rPr>
                      <w:rFonts w:eastAsia="Times New Roman"/>
                    </w:rPr>
                  </w:pPr>
                  <w:r>
                    <w:rPr>
                      <w:rFonts w:eastAsia="Times New Roman"/>
                    </w:rPr>
                    <w:t>15.2</w:t>
                  </w:r>
                </w:p>
              </w:tc>
              <w:tc>
                <w:tcPr>
                  <w:tcW w:w="289" w:type="pct"/>
                  <w:vAlign w:val="center"/>
                </w:tcPr>
                <w:p w14:paraId="491DA756">
                  <w:pPr>
                    <w:pStyle w:val="149"/>
                    <w:rPr>
                      <w:rFonts w:eastAsia="Times New Roman"/>
                    </w:rPr>
                  </w:pPr>
                  <w:r>
                    <w:rPr>
                      <w:rFonts w:eastAsia="Times New Roman"/>
                    </w:rPr>
                    <w:t>7.0</w:t>
                  </w:r>
                </w:p>
              </w:tc>
              <w:tc>
                <w:tcPr>
                  <w:tcW w:w="317" w:type="pct"/>
                  <w:vAlign w:val="center"/>
                </w:tcPr>
                <w:p w14:paraId="7D4434AA">
                  <w:pPr>
                    <w:pStyle w:val="149"/>
                    <w:rPr>
                      <w:rFonts w:eastAsia="Times New Roman"/>
                    </w:rPr>
                  </w:pPr>
                  <w:r>
                    <w:rPr>
                      <w:rFonts w:eastAsia="Times New Roman"/>
                    </w:rPr>
                    <w:t>5.8</w:t>
                  </w:r>
                </w:p>
              </w:tc>
              <w:tc>
                <w:tcPr>
                  <w:tcW w:w="273" w:type="pct"/>
                  <w:vAlign w:val="center"/>
                </w:tcPr>
                <w:p w14:paraId="2CFCAA14">
                  <w:pPr>
                    <w:pStyle w:val="149"/>
                    <w:rPr>
                      <w:rFonts w:eastAsia="Times New Roman"/>
                    </w:rPr>
                  </w:pPr>
                  <w:r>
                    <w:rPr>
                      <w:rFonts w:eastAsia="Times New Roman"/>
                    </w:rPr>
                    <w:t>29</w:t>
                  </w:r>
                </w:p>
              </w:tc>
              <w:tc>
                <w:tcPr>
                  <w:tcW w:w="352" w:type="pct"/>
                  <w:vAlign w:val="center"/>
                </w:tcPr>
                <w:p w14:paraId="5E912B85">
                  <w:pPr>
                    <w:pStyle w:val="149"/>
                    <w:rPr>
                      <w:rFonts w:eastAsia="Times New Roman"/>
                    </w:rPr>
                  </w:pPr>
                  <w:r>
                    <w:rPr>
                      <w:rFonts w:eastAsia="Times New Roman"/>
                    </w:rPr>
                    <w:t>17</w:t>
                  </w:r>
                </w:p>
              </w:tc>
              <w:tc>
                <w:tcPr>
                  <w:tcW w:w="370" w:type="pct"/>
                  <w:vAlign w:val="center"/>
                </w:tcPr>
                <w:p w14:paraId="570FD1DA">
                  <w:pPr>
                    <w:pStyle w:val="149"/>
                    <w:rPr>
                      <w:rFonts w:eastAsia="Times New Roman"/>
                    </w:rPr>
                  </w:pPr>
                  <w:r>
                    <w:rPr>
                      <w:rFonts w:eastAsia="Times New Roman"/>
                    </w:rPr>
                    <w:t>4.2</w:t>
                  </w:r>
                </w:p>
              </w:tc>
              <w:tc>
                <w:tcPr>
                  <w:tcW w:w="321" w:type="pct"/>
                  <w:vAlign w:val="center"/>
                </w:tcPr>
                <w:p w14:paraId="1584610A">
                  <w:pPr>
                    <w:pStyle w:val="149"/>
                    <w:rPr>
                      <w:rFonts w:eastAsia="Times New Roman"/>
                    </w:rPr>
                  </w:pPr>
                  <w:r>
                    <w:rPr>
                      <w:rFonts w:eastAsia="Times New Roman"/>
                    </w:rPr>
                    <w:t>1.38</w:t>
                  </w:r>
                </w:p>
              </w:tc>
              <w:tc>
                <w:tcPr>
                  <w:tcW w:w="383" w:type="pct"/>
                  <w:vAlign w:val="center"/>
                </w:tcPr>
                <w:p w14:paraId="5AA68F9C">
                  <w:pPr>
                    <w:pStyle w:val="149"/>
                    <w:rPr>
                      <w:rFonts w:eastAsia="Times New Roman"/>
                    </w:rPr>
                  </w:pPr>
                  <w:r>
                    <w:rPr>
                      <w:rFonts w:eastAsia="Times New Roman"/>
                    </w:rPr>
                    <w:t>0.16</w:t>
                  </w:r>
                </w:p>
              </w:tc>
              <w:tc>
                <w:tcPr>
                  <w:tcW w:w="254" w:type="pct"/>
                  <w:vAlign w:val="center"/>
                </w:tcPr>
                <w:p w14:paraId="3A078DAF">
                  <w:pPr>
                    <w:pStyle w:val="149"/>
                    <w:rPr>
                      <w:rFonts w:eastAsia="Times New Roman"/>
                    </w:rPr>
                  </w:pPr>
                  <w:r>
                    <w:rPr>
                      <w:rFonts w:eastAsia="Times New Roman"/>
                    </w:rPr>
                    <w:t>5.24</w:t>
                  </w:r>
                </w:p>
              </w:tc>
              <w:tc>
                <w:tcPr>
                  <w:tcW w:w="254" w:type="pct"/>
                  <w:vAlign w:val="center"/>
                </w:tcPr>
                <w:p w14:paraId="26428048">
                  <w:pPr>
                    <w:pStyle w:val="149"/>
                    <w:rPr>
                      <w:rFonts w:eastAsia="Times New Roman"/>
                    </w:rPr>
                  </w:pPr>
                  <w:r>
                    <w:rPr>
                      <w:rFonts w:eastAsia="Times New Roman"/>
                    </w:rPr>
                    <w:t>0.25</w:t>
                  </w:r>
                </w:p>
              </w:tc>
              <w:tc>
                <w:tcPr>
                  <w:tcW w:w="254" w:type="pct"/>
                  <w:vAlign w:val="center"/>
                </w:tcPr>
                <w:p w14:paraId="457A5E9B">
                  <w:pPr>
                    <w:pStyle w:val="149"/>
                    <w:rPr>
                      <w:rFonts w:eastAsia="Times New Roman"/>
                    </w:rPr>
                  </w:pPr>
                  <w:r>
                    <w:rPr>
                      <w:rFonts w:eastAsia="Times New Roman"/>
                    </w:rPr>
                    <w:t>0.01</w:t>
                  </w:r>
                </w:p>
              </w:tc>
              <w:tc>
                <w:tcPr>
                  <w:tcW w:w="342" w:type="pct"/>
                  <w:vAlign w:val="center"/>
                </w:tcPr>
                <w:p w14:paraId="43F2A275">
                  <w:pPr>
                    <w:pStyle w:val="149"/>
                    <w:rPr>
                      <w:rFonts w:eastAsia="Times New Roman"/>
                    </w:rPr>
                  </w:pPr>
                  <w:r>
                    <w:rPr>
                      <w:rFonts w:eastAsia="Times New Roman"/>
                    </w:rPr>
                    <w:t>0.16</w:t>
                  </w:r>
                </w:p>
              </w:tc>
              <w:tc>
                <w:tcPr>
                  <w:tcW w:w="452" w:type="pct"/>
                  <w:vAlign w:val="center"/>
                </w:tcPr>
                <w:p w14:paraId="635F6863">
                  <w:pPr>
                    <w:pStyle w:val="149"/>
                    <w:rPr>
                      <w:rFonts w:eastAsia="Times New Roman"/>
                    </w:rPr>
                  </w:pPr>
                  <w:r>
                    <w:rPr>
                      <w:rFonts w:eastAsia="Times New Roman"/>
                    </w:rPr>
                    <w:t>2.0×10</w:t>
                  </w:r>
                  <w:r>
                    <w:rPr>
                      <w:rFonts w:eastAsia="Times New Roman"/>
                      <w:b/>
                      <w:vertAlign w:val="superscript"/>
                    </w:rPr>
                    <w:t>4</w:t>
                  </w:r>
                </w:p>
              </w:tc>
            </w:tr>
            <w:tr w14:paraId="2A9A94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continue"/>
                  <w:vAlign w:val="center"/>
                </w:tcPr>
                <w:p w14:paraId="24FCD571">
                  <w:pPr>
                    <w:pStyle w:val="149"/>
                    <w:rPr>
                      <w:rFonts w:eastAsia="Times New Roman"/>
                    </w:rPr>
                  </w:pPr>
                </w:p>
              </w:tc>
              <w:tc>
                <w:tcPr>
                  <w:tcW w:w="608" w:type="pct"/>
                  <w:vAlign w:val="center"/>
                </w:tcPr>
                <w:p w14:paraId="4CA6CD6D">
                  <w:pPr>
                    <w:pStyle w:val="149"/>
                    <w:rPr>
                      <w:rFonts w:eastAsia="Times New Roman"/>
                    </w:rPr>
                  </w:pPr>
                  <w:r>
                    <w:rPr>
                      <w:rFonts w:hint="eastAsia" w:ascii="宋体" w:hAnsi="宋体" w:eastAsia="宋体" w:cs="宋体"/>
                    </w:rPr>
                    <w:t>平均值</w:t>
                  </w:r>
                </w:p>
              </w:tc>
              <w:tc>
                <w:tcPr>
                  <w:tcW w:w="293" w:type="pct"/>
                  <w:vAlign w:val="center"/>
                </w:tcPr>
                <w:p w14:paraId="6F4EA108">
                  <w:pPr>
                    <w:pStyle w:val="149"/>
                    <w:rPr>
                      <w:rFonts w:eastAsia="Times New Roman"/>
                    </w:rPr>
                  </w:pPr>
                  <w:r>
                    <w:rPr>
                      <w:rFonts w:eastAsia="Times New Roman"/>
                    </w:rPr>
                    <w:t>15.1</w:t>
                  </w:r>
                </w:p>
              </w:tc>
              <w:tc>
                <w:tcPr>
                  <w:tcW w:w="289" w:type="pct"/>
                  <w:vAlign w:val="center"/>
                </w:tcPr>
                <w:p w14:paraId="6E339A43">
                  <w:pPr>
                    <w:pStyle w:val="149"/>
                    <w:rPr>
                      <w:rFonts w:eastAsia="Times New Roman"/>
                    </w:rPr>
                  </w:pPr>
                  <w:r>
                    <w:rPr>
                      <w:rFonts w:eastAsia="Times New Roman"/>
                    </w:rPr>
                    <w:t>7</w:t>
                  </w:r>
                </w:p>
              </w:tc>
              <w:tc>
                <w:tcPr>
                  <w:tcW w:w="317" w:type="pct"/>
                  <w:vAlign w:val="center"/>
                </w:tcPr>
                <w:p w14:paraId="3872D3EE">
                  <w:pPr>
                    <w:pStyle w:val="149"/>
                    <w:rPr>
                      <w:rFonts w:eastAsia="Times New Roman"/>
                    </w:rPr>
                  </w:pPr>
                  <w:r>
                    <w:rPr>
                      <w:rFonts w:eastAsia="Times New Roman"/>
                    </w:rPr>
                    <w:t>5.8</w:t>
                  </w:r>
                </w:p>
              </w:tc>
              <w:tc>
                <w:tcPr>
                  <w:tcW w:w="273" w:type="pct"/>
                  <w:vAlign w:val="center"/>
                </w:tcPr>
                <w:p w14:paraId="292E6A60">
                  <w:pPr>
                    <w:pStyle w:val="149"/>
                    <w:rPr>
                      <w:rFonts w:eastAsia="Times New Roman"/>
                    </w:rPr>
                  </w:pPr>
                  <w:r>
                    <w:rPr>
                      <w:rFonts w:eastAsia="Times New Roman"/>
                    </w:rPr>
                    <w:t>29</w:t>
                  </w:r>
                </w:p>
              </w:tc>
              <w:tc>
                <w:tcPr>
                  <w:tcW w:w="352" w:type="pct"/>
                  <w:vAlign w:val="center"/>
                </w:tcPr>
                <w:p w14:paraId="6F95C2C8">
                  <w:pPr>
                    <w:pStyle w:val="149"/>
                    <w:rPr>
                      <w:rFonts w:eastAsia="Times New Roman"/>
                    </w:rPr>
                  </w:pPr>
                  <w:r>
                    <w:rPr>
                      <w:rFonts w:eastAsia="Times New Roman"/>
                    </w:rPr>
                    <w:t>16</w:t>
                  </w:r>
                </w:p>
              </w:tc>
              <w:tc>
                <w:tcPr>
                  <w:tcW w:w="370" w:type="pct"/>
                  <w:vAlign w:val="center"/>
                </w:tcPr>
                <w:p w14:paraId="722EC8DF">
                  <w:pPr>
                    <w:pStyle w:val="149"/>
                    <w:rPr>
                      <w:rFonts w:eastAsia="Times New Roman"/>
                    </w:rPr>
                  </w:pPr>
                  <w:r>
                    <w:rPr>
                      <w:rFonts w:eastAsia="Times New Roman"/>
                    </w:rPr>
                    <w:t>4.3</w:t>
                  </w:r>
                </w:p>
              </w:tc>
              <w:tc>
                <w:tcPr>
                  <w:tcW w:w="321" w:type="pct"/>
                  <w:vAlign w:val="center"/>
                </w:tcPr>
                <w:p w14:paraId="0AD1B0D2">
                  <w:pPr>
                    <w:pStyle w:val="149"/>
                    <w:rPr>
                      <w:rFonts w:eastAsia="Times New Roman"/>
                    </w:rPr>
                  </w:pPr>
                  <w:r>
                    <w:rPr>
                      <w:rFonts w:eastAsia="Times New Roman"/>
                    </w:rPr>
                    <w:t>1.91</w:t>
                  </w:r>
                </w:p>
              </w:tc>
              <w:tc>
                <w:tcPr>
                  <w:tcW w:w="383" w:type="pct"/>
                  <w:vAlign w:val="center"/>
                </w:tcPr>
                <w:p w14:paraId="23B9C4DA">
                  <w:pPr>
                    <w:pStyle w:val="149"/>
                    <w:rPr>
                      <w:rFonts w:eastAsia="Times New Roman"/>
                    </w:rPr>
                  </w:pPr>
                  <w:r>
                    <w:rPr>
                      <w:rFonts w:eastAsia="Times New Roman"/>
                    </w:rPr>
                    <w:t>0.18</w:t>
                  </w:r>
                </w:p>
              </w:tc>
              <w:tc>
                <w:tcPr>
                  <w:tcW w:w="254" w:type="pct"/>
                  <w:vAlign w:val="center"/>
                </w:tcPr>
                <w:p w14:paraId="2277868D">
                  <w:pPr>
                    <w:pStyle w:val="149"/>
                    <w:rPr>
                      <w:rFonts w:eastAsia="Times New Roman"/>
                    </w:rPr>
                  </w:pPr>
                  <w:r>
                    <w:rPr>
                      <w:rFonts w:eastAsia="Times New Roman"/>
                    </w:rPr>
                    <w:t>4.65</w:t>
                  </w:r>
                </w:p>
              </w:tc>
              <w:tc>
                <w:tcPr>
                  <w:tcW w:w="254" w:type="pct"/>
                  <w:vAlign w:val="center"/>
                </w:tcPr>
                <w:p w14:paraId="487907C7">
                  <w:pPr>
                    <w:pStyle w:val="149"/>
                    <w:rPr>
                      <w:rFonts w:eastAsia="Times New Roman"/>
                    </w:rPr>
                  </w:pPr>
                  <w:r>
                    <w:rPr>
                      <w:rFonts w:eastAsia="Times New Roman"/>
                    </w:rPr>
                    <w:t>0.23</w:t>
                  </w:r>
                </w:p>
              </w:tc>
              <w:tc>
                <w:tcPr>
                  <w:tcW w:w="254" w:type="pct"/>
                  <w:vAlign w:val="center"/>
                </w:tcPr>
                <w:p w14:paraId="39358896">
                  <w:pPr>
                    <w:pStyle w:val="149"/>
                    <w:rPr>
                      <w:rFonts w:eastAsia="Times New Roman"/>
                    </w:rPr>
                  </w:pPr>
                  <w:r>
                    <w:rPr>
                      <w:rFonts w:eastAsia="Times New Roman"/>
                    </w:rPr>
                    <w:t>0.02</w:t>
                  </w:r>
                </w:p>
              </w:tc>
              <w:tc>
                <w:tcPr>
                  <w:tcW w:w="342" w:type="pct"/>
                  <w:vAlign w:val="center"/>
                </w:tcPr>
                <w:p w14:paraId="2C59CC0B">
                  <w:pPr>
                    <w:pStyle w:val="149"/>
                    <w:rPr>
                      <w:rFonts w:eastAsia="Times New Roman"/>
                    </w:rPr>
                  </w:pPr>
                  <w:r>
                    <w:rPr>
                      <w:rFonts w:eastAsia="Times New Roman"/>
                    </w:rPr>
                    <w:t>0.19</w:t>
                  </w:r>
                </w:p>
              </w:tc>
              <w:tc>
                <w:tcPr>
                  <w:tcW w:w="452" w:type="pct"/>
                  <w:vAlign w:val="center"/>
                </w:tcPr>
                <w:p w14:paraId="2E32F74B">
                  <w:pPr>
                    <w:pStyle w:val="149"/>
                    <w:rPr>
                      <w:rFonts w:eastAsia="Times New Roman"/>
                    </w:rPr>
                  </w:pPr>
                  <w:r>
                    <w:rPr>
                      <w:rFonts w:eastAsia="Times New Roman"/>
                    </w:rPr>
                    <w:t>3.6×10</w:t>
                  </w:r>
                  <w:r>
                    <w:rPr>
                      <w:rFonts w:eastAsia="Times New Roman"/>
                      <w:b/>
                      <w:vertAlign w:val="superscript"/>
                    </w:rPr>
                    <w:t>4</w:t>
                  </w:r>
                </w:p>
              </w:tc>
            </w:tr>
            <w:tr w14:paraId="3A369F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continue"/>
                  <w:vAlign w:val="center"/>
                </w:tcPr>
                <w:p w14:paraId="7701DFA5">
                  <w:pPr>
                    <w:pStyle w:val="149"/>
                    <w:rPr>
                      <w:rFonts w:eastAsia="Times New Roman"/>
                    </w:rPr>
                  </w:pPr>
                </w:p>
              </w:tc>
              <w:tc>
                <w:tcPr>
                  <w:tcW w:w="608" w:type="pct"/>
                  <w:vAlign w:val="center"/>
                </w:tcPr>
                <w:p w14:paraId="24430393">
                  <w:pPr>
                    <w:pStyle w:val="149"/>
                    <w:rPr>
                      <w:rFonts w:eastAsia="Times New Roman"/>
                    </w:rPr>
                  </w:pPr>
                  <w:r>
                    <w:rPr>
                      <w:rFonts w:hint="eastAsia" w:ascii="宋体" w:hAnsi="宋体" w:eastAsia="宋体" w:cs="宋体"/>
                    </w:rPr>
                    <w:t>标准指数</w:t>
                  </w:r>
                </w:p>
              </w:tc>
              <w:tc>
                <w:tcPr>
                  <w:tcW w:w="293" w:type="pct"/>
                  <w:vAlign w:val="center"/>
                </w:tcPr>
                <w:p w14:paraId="1077C5C4">
                  <w:pPr>
                    <w:pStyle w:val="149"/>
                    <w:rPr>
                      <w:rFonts w:eastAsia="Times New Roman"/>
                    </w:rPr>
                  </w:pPr>
                  <w:r>
                    <w:rPr>
                      <w:rFonts w:eastAsia="Times New Roman"/>
                    </w:rPr>
                    <w:t>/</w:t>
                  </w:r>
                </w:p>
              </w:tc>
              <w:tc>
                <w:tcPr>
                  <w:tcW w:w="289" w:type="pct"/>
                  <w:vAlign w:val="center"/>
                </w:tcPr>
                <w:p w14:paraId="1BE19E8F">
                  <w:pPr>
                    <w:pStyle w:val="149"/>
                    <w:rPr>
                      <w:rFonts w:eastAsia="Times New Roman"/>
                    </w:rPr>
                  </w:pPr>
                  <w:r>
                    <w:rPr>
                      <w:rFonts w:eastAsia="Times New Roman"/>
                    </w:rPr>
                    <w:t>0</w:t>
                  </w:r>
                </w:p>
              </w:tc>
              <w:tc>
                <w:tcPr>
                  <w:tcW w:w="317" w:type="pct"/>
                  <w:vAlign w:val="center"/>
                </w:tcPr>
                <w:p w14:paraId="0854C79E">
                  <w:pPr>
                    <w:pStyle w:val="149"/>
                    <w:rPr>
                      <w:rFonts w:eastAsia="Times New Roman"/>
                    </w:rPr>
                  </w:pPr>
                  <w:r>
                    <w:rPr>
                      <w:rFonts w:eastAsia="Times New Roman"/>
                    </w:rPr>
                    <w:t>0.63</w:t>
                  </w:r>
                </w:p>
              </w:tc>
              <w:tc>
                <w:tcPr>
                  <w:tcW w:w="273" w:type="pct"/>
                  <w:vAlign w:val="center"/>
                </w:tcPr>
                <w:p w14:paraId="4D46C874">
                  <w:pPr>
                    <w:pStyle w:val="149"/>
                    <w:rPr>
                      <w:rFonts w:eastAsia="Times New Roman"/>
                    </w:rPr>
                  </w:pPr>
                  <w:r>
                    <w:rPr>
                      <w:rFonts w:eastAsia="Times New Roman"/>
                    </w:rPr>
                    <w:t>/</w:t>
                  </w:r>
                </w:p>
              </w:tc>
              <w:tc>
                <w:tcPr>
                  <w:tcW w:w="352" w:type="pct"/>
                  <w:vAlign w:val="center"/>
                </w:tcPr>
                <w:p w14:paraId="5035D19A">
                  <w:pPr>
                    <w:pStyle w:val="149"/>
                    <w:rPr>
                      <w:rFonts w:eastAsia="Times New Roman"/>
                    </w:rPr>
                  </w:pPr>
                  <w:r>
                    <w:rPr>
                      <w:rFonts w:eastAsia="Times New Roman"/>
                    </w:rPr>
                    <w:t>0.4</w:t>
                  </w:r>
                </w:p>
              </w:tc>
              <w:tc>
                <w:tcPr>
                  <w:tcW w:w="370" w:type="pct"/>
                  <w:vAlign w:val="center"/>
                </w:tcPr>
                <w:p w14:paraId="03A3E830">
                  <w:pPr>
                    <w:pStyle w:val="149"/>
                    <w:rPr>
                      <w:rFonts w:eastAsia="Times New Roman"/>
                    </w:rPr>
                  </w:pPr>
                  <w:r>
                    <w:rPr>
                      <w:rFonts w:eastAsia="Times New Roman"/>
                    </w:rPr>
                    <w:t>0.43</w:t>
                  </w:r>
                </w:p>
              </w:tc>
              <w:tc>
                <w:tcPr>
                  <w:tcW w:w="321" w:type="pct"/>
                  <w:vAlign w:val="center"/>
                </w:tcPr>
                <w:p w14:paraId="40CC27AF">
                  <w:pPr>
                    <w:pStyle w:val="149"/>
                    <w:rPr>
                      <w:rFonts w:eastAsia="Times New Roman"/>
                    </w:rPr>
                  </w:pPr>
                  <w:r>
                    <w:rPr>
                      <w:rFonts w:eastAsia="Times New Roman"/>
                    </w:rPr>
                    <w:t>0.96</w:t>
                  </w:r>
                </w:p>
              </w:tc>
              <w:tc>
                <w:tcPr>
                  <w:tcW w:w="383" w:type="pct"/>
                  <w:vAlign w:val="center"/>
                </w:tcPr>
                <w:p w14:paraId="434C2CE0">
                  <w:pPr>
                    <w:pStyle w:val="149"/>
                    <w:rPr>
                      <w:rFonts w:eastAsia="Times New Roman"/>
                    </w:rPr>
                  </w:pPr>
                  <w:r>
                    <w:rPr>
                      <w:rFonts w:eastAsia="Times New Roman"/>
                    </w:rPr>
                    <w:t>0.45</w:t>
                  </w:r>
                </w:p>
              </w:tc>
              <w:tc>
                <w:tcPr>
                  <w:tcW w:w="254" w:type="pct"/>
                  <w:vAlign w:val="center"/>
                </w:tcPr>
                <w:p w14:paraId="0FBD9705">
                  <w:pPr>
                    <w:pStyle w:val="149"/>
                    <w:rPr>
                      <w:rFonts w:eastAsia="Times New Roman"/>
                    </w:rPr>
                  </w:pPr>
                  <w:r>
                    <w:rPr>
                      <w:rFonts w:eastAsia="Times New Roman"/>
                    </w:rPr>
                    <w:t>/</w:t>
                  </w:r>
                </w:p>
              </w:tc>
              <w:tc>
                <w:tcPr>
                  <w:tcW w:w="254" w:type="pct"/>
                  <w:vAlign w:val="center"/>
                </w:tcPr>
                <w:p w14:paraId="12638EC7">
                  <w:pPr>
                    <w:pStyle w:val="149"/>
                    <w:rPr>
                      <w:rFonts w:eastAsia="Times New Roman"/>
                    </w:rPr>
                  </w:pPr>
                  <w:r>
                    <w:rPr>
                      <w:rFonts w:eastAsia="Times New Roman"/>
                    </w:rPr>
                    <w:t>0.15</w:t>
                  </w:r>
                </w:p>
              </w:tc>
              <w:tc>
                <w:tcPr>
                  <w:tcW w:w="254" w:type="pct"/>
                  <w:vAlign w:val="center"/>
                </w:tcPr>
                <w:p w14:paraId="399B0A3E">
                  <w:pPr>
                    <w:pStyle w:val="149"/>
                    <w:rPr>
                      <w:rFonts w:eastAsia="Times New Roman"/>
                    </w:rPr>
                  </w:pPr>
                  <w:r>
                    <w:rPr>
                      <w:rFonts w:eastAsia="Times New Roman"/>
                    </w:rPr>
                    <w:t>0.02</w:t>
                  </w:r>
                </w:p>
              </w:tc>
              <w:tc>
                <w:tcPr>
                  <w:tcW w:w="342" w:type="pct"/>
                  <w:vAlign w:val="center"/>
                </w:tcPr>
                <w:p w14:paraId="04DA3149">
                  <w:pPr>
                    <w:pStyle w:val="149"/>
                    <w:rPr>
                      <w:rFonts w:eastAsia="Times New Roman"/>
                    </w:rPr>
                  </w:pPr>
                  <w:r>
                    <w:rPr>
                      <w:rFonts w:eastAsia="Times New Roman"/>
                    </w:rPr>
                    <w:t>0.63</w:t>
                  </w:r>
                </w:p>
              </w:tc>
              <w:tc>
                <w:tcPr>
                  <w:tcW w:w="452" w:type="pct"/>
                  <w:vAlign w:val="center"/>
                </w:tcPr>
                <w:p w14:paraId="69125512">
                  <w:pPr>
                    <w:pStyle w:val="149"/>
                    <w:rPr>
                      <w:rFonts w:eastAsia="Times New Roman"/>
                    </w:rPr>
                  </w:pPr>
                  <w:r>
                    <w:rPr>
                      <w:rFonts w:eastAsia="Times New Roman"/>
                    </w:rPr>
                    <w:t>0.9</w:t>
                  </w:r>
                </w:p>
              </w:tc>
            </w:tr>
            <w:tr w14:paraId="22F27C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continue"/>
                  <w:vAlign w:val="center"/>
                </w:tcPr>
                <w:p w14:paraId="6CB675F0">
                  <w:pPr>
                    <w:pStyle w:val="149"/>
                    <w:rPr>
                      <w:rFonts w:eastAsia="Times New Roman"/>
                    </w:rPr>
                  </w:pPr>
                </w:p>
              </w:tc>
              <w:tc>
                <w:tcPr>
                  <w:tcW w:w="608" w:type="pct"/>
                  <w:vAlign w:val="center"/>
                </w:tcPr>
                <w:p w14:paraId="4BB512D6">
                  <w:pPr>
                    <w:pStyle w:val="149"/>
                    <w:rPr>
                      <w:rFonts w:eastAsia="Times New Roman"/>
                    </w:rPr>
                  </w:pPr>
                  <w:r>
                    <w:rPr>
                      <w:rFonts w:hint="eastAsia" w:ascii="宋体" w:hAnsi="宋体" w:eastAsia="宋体" w:cs="宋体"/>
                    </w:rPr>
                    <w:t>超标倍数</w:t>
                  </w:r>
                </w:p>
              </w:tc>
              <w:tc>
                <w:tcPr>
                  <w:tcW w:w="293" w:type="pct"/>
                  <w:vAlign w:val="center"/>
                </w:tcPr>
                <w:p w14:paraId="26791448">
                  <w:pPr>
                    <w:pStyle w:val="149"/>
                    <w:rPr>
                      <w:rFonts w:eastAsia="Times New Roman"/>
                    </w:rPr>
                  </w:pPr>
                  <w:r>
                    <w:rPr>
                      <w:rFonts w:eastAsia="Times New Roman"/>
                    </w:rPr>
                    <w:t>/</w:t>
                  </w:r>
                </w:p>
              </w:tc>
              <w:tc>
                <w:tcPr>
                  <w:tcW w:w="289" w:type="pct"/>
                  <w:vAlign w:val="center"/>
                </w:tcPr>
                <w:p w14:paraId="22496465">
                  <w:pPr>
                    <w:pStyle w:val="149"/>
                    <w:rPr>
                      <w:rFonts w:eastAsia="Times New Roman"/>
                    </w:rPr>
                  </w:pPr>
                  <w:r>
                    <w:rPr>
                      <w:rFonts w:eastAsia="Times New Roman"/>
                    </w:rPr>
                    <w:t>0</w:t>
                  </w:r>
                </w:p>
              </w:tc>
              <w:tc>
                <w:tcPr>
                  <w:tcW w:w="317" w:type="pct"/>
                  <w:vAlign w:val="center"/>
                </w:tcPr>
                <w:p w14:paraId="66BDB995">
                  <w:pPr>
                    <w:pStyle w:val="149"/>
                    <w:rPr>
                      <w:rFonts w:eastAsia="Times New Roman"/>
                    </w:rPr>
                  </w:pPr>
                  <w:r>
                    <w:rPr>
                      <w:rFonts w:eastAsia="Times New Roman"/>
                    </w:rPr>
                    <w:t>0</w:t>
                  </w:r>
                </w:p>
              </w:tc>
              <w:tc>
                <w:tcPr>
                  <w:tcW w:w="273" w:type="pct"/>
                  <w:vAlign w:val="center"/>
                </w:tcPr>
                <w:p w14:paraId="74A18B41">
                  <w:pPr>
                    <w:pStyle w:val="149"/>
                    <w:rPr>
                      <w:rFonts w:eastAsia="Times New Roman"/>
                    </w:rPr>
                  </w:pPr>
                  <w:r>
                    <w:rPr>
                      <w:rFonts w:eastAsia="Times New Roman"/>
                    </w:rPr>
                    <w:t>/</w:t>
                  </w:r>
                </w:p>
              </w:tc>
              <w:tc>
                <w:tcPr>
                  <w:tcW w:w="352" w:type="pct"/>
                  <w:vAlign w:val="center"/>
                </w:tcPr>
                <w:p w14:paraId="5DD9EEFB">
                  <w:pPr>
                    <w:pStyle w:val="149"/>
                    <w:rPr>
                      <w:rFonts w:eastAsia="Times New Roman"/>
                    </w:rPr>
                  </w:pPr>
                  <w:r>
                    <w:rPr>
                      <w:rFonts w:eastAsia="Times New Roman"/>
                    </w:rPr>
                    <w:t>0</w:t>
                  </w:r>
                </w:p>
              </w:tc>
              <w:tc>
                <w:tcPr>
                  <w:tcW w:w="370" w:type="pct"/>
                  <w:vAlign w:val="center"/>
                </w:tcPr>
                <w:p w14:paraId="5EF5BEEA">
                  <w:pPr>
                    <w:pStyle w:val="149"/>
                    <w:rPr>
                      <w:rFonts w:eastAsia="Times New Roman"/>
                    </w:rPr>
                  </w:pPr>
                  <w:r>
                    <w:rPr>
                      <w:rFonts w:eastAsia="Times New Roman"/>
                    </w:rPr>
                    <w:t>0</w:t>
                  </w:r>
                </w:p>
              </w:tc>
              <w:tc>
                <w:tcPr>
                  <w:tcW w:w="321" w:type="pct"/>
                  <w:vAlign w:val="center"/>
                </w:tcPr>
                <w:p w14:paraId="210742C1">
                  <w:pPr>
                    <w:pStyle w:val="149"/>
                    <w:rPr>
                      <w:rFonts w:eastAsia="Times New Roman"/>
                    </w:rPr>
                  </w:pPr>
                  <w:r>
                    <w:rPr>
                      <w:rFonts w:eastAsia="Times New Roman"/>
                    </w:rPr>
                    <w:t>0</w:t>
                  </w:r>
                </w:p>
              </w:tc>
              <w:tc>
                <w:tcPr>
                  <w:tcW w:w="383" w:type="pct"/>
                  <w:vAlign w:val="center"/>
                </w:tcPr>
                <w:p w14:paraId="5F1C81C5">
                  <w:pPr>
                    <w:pStyle w:val="149"/>
                    <w:rPr>
                      <w:rFonts w:eastAsia="Times New Roman"/>
                    </w:rPr>
                  </w:pPr>
                  <w:r>
                    <w:rPr>
                      <w:rFonts w:eastAsia="Times New Roman"/>
                    </w:rPr>
                    <w:t>0</w:t>
                  </w:r>
                </w:p>
              </w:tc>
              <w:tc>
                <w:tcPr>
                  <w:tcW w:w="254" w:type="pct"/>
                  <w:vAlign w:val="center"/>
                </w:tcPr>
                <w:p w14:paraId="56362AB9">
                  <w:pPr>
                    <w:pStyle w:val="149"/>
                    <w:rPr>
                      <w:rFonts w:eastAsia="Times New Roman"/>
                    </w:rPr>
                  </w:pPr>
                  <w:r>
                    <w:rPr>
                      <w:rFonts w:eastAsia="Times New Roman"/>
                    </w:rPr>
                    <w:t>/</w:t>
                  </w:r>
                </w:p>
              </w:tc>
              <w:tc>
                <w:tcPr>
                  <w:tcW w:w="254" w:type="pct"/>
                  <w:vAlign w:val="center"/>
                </w:tcPr>
                <w:p w14:paraId="5522EBDD">
                  <w:pPr>
                    <w:pStyle w:val="149"/>
                    <w:rPr>
                      <w:rFonts w:eastAsia="Times New Roman"/>
                    </w:rPr>
                  </w:pPr>
                  <w:r>
                    <w:rPr>
                      <w:rFonts w:eastAsia="Times New Roman"/>
                    </w:rPr>
                    <w:t>0</w:t>
                  </w:r>
                </w:p>
              </w:tc>
              <w:tc>
                <w:tcPr>
                  <w:tcW w:w="254" w:type="pct"/>
                  <w:vAlign w:val="center"/>
                </w:tcPr>
                <w:p w14:paraId="5D7A416A">
                  <w:pPr>
                    <w:pStyle w:val="149"/>
                    <w:rPr>
                      <w:rFonts w:eastAsia="Times New Roman"/>
                    </w:rPr>
                  </w:pPr>
                  <w:r>
                    <w:rPr>
                      <w:rFonts w:eastAsia="Times New Roman"/>
                    </w:rPr>
                    <w:t>0</w:t>
                  </w:r>
                </w:p>
              </w:tc>
              <w:tc>
                <w:tcPr>
                  <w:tcW w:w="342" w:type="pct"/>
                  <w:vAlign w:val="center"/>
                </w:tcPr>
                <w:p w14:paraId="3DD0B5B3">
                  <w:pPr>
                    <w:pStyle w:val="149"/>
                    <w:rPr>
                      <w:rFonts w:eastAsia="Times New Roman"/>
                    </w:rPr>
                  </w:pPr>
                  <w:r>
                    <w:rPr>
                      <w:rFonts w:eastAsia="Times New Roman"/>
                    </w:rPr>
                    <w:t>0</w:t>
                  </w:r>
                </w:p>
              </w:tc>
              <w:tc>
                <w:tcPr>
                  <w:tcW w:w="452" w:type="pct"/>
                  <w:vAlign w:val="center"/>
                </w:tcPr>
                <w:p w14:paraId="2FF70945">
                  <w:pPr>
                    <w:pStyle w:val="149"/>
                    <w:rPr>
                      <w:rFonts w:eastAsia="Times New Roman"/>
                    </w:rPr>
                  </w:pPr>
                  <w:r>
                    <w:rPr>
                      <w:rFonts w:eastAsia="Times New Roman"/>
                    </w:rPr>
                    <w:t>0</w:t>
                  </w:r>
                </w:p>
              </w:tc>
            </w:tr>
            <w:tr w14:paraId="2DB1DD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continue"/>
                  <w:vAlign w:val="center"/>
                </w:tcPr>
                <w:p w14:paraId="1B0E1844">
                  <w:pPr>
                    <w:pStyle w:val="149"/>
                    <w:rPr>
                      <w:rFonts w:eastAsia="Times New Roman"/>
                    </w:rPr>
                  </w:pPr>
                </w:p>
              </w:tc>
              <w:tc>
                <w:tcPr>
                  <w:tcW w:w="608" w:type="pct"/>
                  <w:vAlign w:val="center"/>
                </w:tcPr>
                <w:p w14:paraId="5EE4E639">
                  <w:pPr>
                    <w:pStyle w:val="149"/>
                    <w:rPr>
                      <w:rFonts w:eastAsia="Times New Roman"/>
                    </w:rPr>
                  </w:pPr>
                  <w:r>
                    <w:rPr>
                      <w:rFonts w:hint="eastAsia" w:ascii="宋体" w:hAnsi="宋体" w:eastAsia="宋体" w:cs="宋体"/>
                    </w:rPr>
                    <w:t>达标情况</w:t>
                  </w:r>
                </w:p>
              </w:tc>
              <w:tc>
                <w:tcPr>
                  <w:tcW w:w="293" w:type="pct"/>
                  <w:vAlign w:val="center"/>
                </w:tcPr>
                <w:p w14:paraId="0EB52660">
                  <w:pPr>
                    <w:pStyle w:val="149"/>
                    <w:rPr>
                      <w:rFonts w:eastAsia="Times New Roman"/>
                    </w:rPr>
                  </w:pPr>
                  <w:r>
                    <w:rPr>
                      <w:rFonts w:hint="eastAsia" w:ascii="宋体" w:hAnsi="宋体" w:eastAsia="宋体" w:cs="宋体"/>
                    </w:rPr>
                    <w:t>达标</w:t>
                  </w:r>
                </w:p>
              </w:tc>
              <w:tc>
                <w:tcPr>
                  <w:tcW w:w="289" w:type="pct"/>
                  <w:vAlign w:val="center"/>
                </w:tcPr>
                <w:p w14:paraId="2694D837">
                  <w:pPr>
                    <w:pStyle w:val="149"/>
                    <w:rPr>
                      <w:rFonts w:eastAsia="Times New Roman"/>
                    </w:rPr>
                  </w:pPr>
                  <w:r>
                    <w:rPr>
                      <w:rFonts w:hint="eastAsia" w:ascii="宋体" w:hAnsi="宋体" w:eastAsia="宋体" w:cs="宋体"/>
                    </w:rPr>
                    <w:t>达标</w:t>
                  </w:r>
                </w:p>
              </w:tc>
              <w:tc>
                <w:tcPr>
                  <w:tcW w:w="317" w:type="pct"/>
                  <w:vAlign w:val="center"/>
                </w:tcPr>
                <w:p w14:paraId="4BA5CEB3">
                  <w:pPr>
                    <w:pStyle w:val="149"/>
                    <w:rPr>
                      <w:rFonts w:eastAsia="Times New Roman"/>
                    </w:rPr>
                  </w:pPr>
                  <w:r>
                    <w:rPr>
                      <w:rFonts w:hint="eastAsia" w:ascii="宋体" w:hAnsi="宋体" w:eastAsia="宋体" w:cs="宋体"/>
                    </w:rPr>
                    <w:t>达标</w:t>
                  </w:r>
                </w:p>
              </w:tc>
              <w:tc>
                <w:tcPr>
                  <w:tcW w:w="273" w:type="pct"/>
                  <w:vAlign w:val="center"/>
                </w:tcPr>
                <w:p w14:paraId="765AD3C6">
                  <w:pPr>
                    <w:pStyle w:val="149"/>
                    <w:rPr>
                      <w:rFonts w:eastAsia="Times New Roman"/>
                    </w:rPr>
                  </w:pPr>
                  <w:r>
                    <w:rPr>
                      <w:rFonts w:hint="eastAsia" w:ascii="宋体" w:hAnsi="宋体" w:eastAsia="宋体" w:cs="宋体"/>
                    </w:rPr>
                    <w:t>达标</w:t>
                  </w:r>
                </w:p>
              </w:tc>
              <w:tc>
                <w:tcPr>
                  <w:tcW w:w="352" w:type="pct"/>
                  <w:vAlign w:val="center"/>
                </w:tcPr>
                <w:p w14:paraId="7E4CBA2C">
                  <w:pPr>
                    <w:pStyle w:val="149"/>
                    <w:rPr>
                      <w:rFonts w:eastAsia="Times New Roman"/>
                    </w:rPr>
                  </w:pPr>
                  <w:r>
                    <w:rPr>
                      <w:rFonts w:hint="eastAsia" w:ascii="宋体" w:hAnsi="宋体" w:eastAsia="宋体" w:cs="宋体"/>
                    </w:rPr>
                    <w:t>达标</w:t>
                  </w:r>
                </w:p>
              </w:tc>
              <w:tc>
                <w:tcPr>
                  <w:tcW w:w="370" w:type="pct"/>
                  <w:vAlign w:val="center"/>
                </w:tcPr>
                <w:p w14:paraId="2ADDEF7C">
                  <w:pPr>
                    <w:pStyle w:val="149"/>
                    <w:rPr>
                      <w:rFonts w:eastAsia="Times New Roman"/>
                    </w:rPr>
                  </w:pPr>
                  <w:r>
                    <w:rPr>
                      <w:rFonts w:hint="eastAsia" w:ascii="宋体" w:hAnsi="宋体" w:eastAsia="宋体" w:cs="宋体"/>
                    </w:rPr>
                    <w:t>达标</w:t>
                  </w:r>
                </w:p>
              </w:tc>
              <w:tc>
                <w:tcPr>
                  <w:tcW w:w="321" w:type="pct"/>
                  <w:vAlign w:val="center"/>
                </w:tcPr>
                <w:p w14:paraId="46F6687C">
                  <w:pPr>
                    <w:pStyle w:val="149"/>
                    <w:rPr>
                      <w:rFonts w:eastAsia="Times New Roman"/>
                    </w:rPr>
                  </w:pPr>
                  <w:r>
                    <w:rPr>
                      <w:rFonts w:hint="eastAsia" w:ascii="宋体" w:hAnsi="宋体" w:eastAsia="宋体" w:cs="宋体"/>
                    </w:rPr>
                    <w:t>达标</w:t>
                  </w:r>
                </w:p>
              </w:tc>
              <w:tc>
                <w:tcPr>
                  <w:tcW w:w="383" w:type="pct"/>
                  <w:vAlign w:val="center"/>
                </w:tcPr>
                <w:p w14:paraId="32570122">
                  <w:pPr>
                    <w:pStyle w:val="149"/>
                    <w:rPr>
                      <w:rFonts w:eastAsia="Times New Roman"/>
                    </w:rPr>
                  </w:pPr>
                  <w:r>
                    <w:rPr>
                      <w:rFonts w:hint="eastAsia" w:ascii="宋体" w:hAnsi="宋体" w:eastAsia="宋体" w:cs="宋体"/>
                    </w:rPr>
                    <w:t>达标</w:t>
                  </w:r>
                </w:p>
              </w:tc>
              <w:tc>
                <w:tcPr>
                  <w:tcW w:w="254" w:type="pct"/>
                  <w:vAlign w:val="center"/>
                </w:tcPr>
                <w:p w14:paraId="37250DA8">
                  <w:pPr>
                    <w:pStyle w:val="149"/>
                    <w:rPr>
                      <w:rFonts w:eastAsia="Times New Roman"/>
                    </w:rPr>
                  </w:pPr>
                  <w:r>
                    <w:rPr>
                      <w:rFonts w:hint="eastAsia" w:ascii="宋体" w:hAnsi="宋体" w:eastAsia="宋体" w:cs="宋体"/>
                    </w:rPr>
                    <w:t>达标</w:t>
                  </w:r>
                </w:p>
              </w:tc>
              <w:tc>
                <w:tcPr>
                  <w:tcW w:w="254" w:type="pct"/>
                  <w:vAlign w:val="center"/>
                </w:tcPr>
                <w:p w14:paraId="29C9F40D">
                  <w:pPr>
                    <w:pStyle w:val="149"/>
                    <w:rPr>
                      <w:rFonts w:eastAsia="Times New Roman"/>
                    </w:rPr>
                  </w:pPr>
                  <w:r>
                    <w:rPr>
                      <w:rFonts w:hint="eastAsia" w:ascii="宋体" w:hAnsi="宋体" w:eastAsia="宋体" w:cs="宋体"/>
                    </w:rPr>
                    <w:t>达标</w:t>
                  </w:r>
                </w:p>
              </w:tc>
              <w:tc>
                <w:tcPr>
                  <w:tcW w:w="254" w:type="pct"/>
                  <w:vAlign w:val="center"/>
                </w:tcPr>
                <w:p w14:paraId="729F7D57">
                  <w:pPr>
                    <w:pStyle w:val="149"/>
                    <w:rPr>
                      <w:rFonts w:eastAsia="Times New Roman"/>
                    </w:rPr>
                  </w:pPr>
                  <w:r>
                    <w:rPr>
                      <w:rFonts w:hint="eastAsia" w:ascii="宋体" w:hAnsi="宋体" w:eastAsia="宋体" w:cs="宋体"/>
                    </w:rPr>
                    <w:t>达标</w:t>
                  </w:r>
                </w:p>
              </w:tc>
              <w:tc>
                <w:tcPr>
                  <w:tcW w:w="342" w:type="pct"/>
                  <w:vAlign w:val="center"/>
                </w:tcPr>
                <w:p w14:paraId="23B11EC3">
                  <w:pPr>
                    <w:pStyle w:val="149"/>
                    <w:rPr>
                      <w:rFonts w:eastAsia="Times New Roman"/>
                    </w:rPr>
                  </w:pPr>
                  <w:r>
                    <w:rPr>
                      <w:rFonts w:hint="eastAsia" w:ascii="宋体" w:hAnsi="宋体" w:eastAsia="宋体" w:cs="宋体"/>
                    </w:rPr>
                    <w:t>达标</w:t>
                  </w:r>
                </w:p>
              </w:tc>
              <w:tc>
                <w:tcPr>
                  <w:tcW w:w="452" w:type="pct"/>
                  <w:vAlign w:val="center"/>
                </w:tcPr>
                <w:p w14:paraId="70F87250">
                  <w:pPr>
                    <w:pStyle w:val="149"/>
                    <w:rPr>
                      <w:rFonts w:eastAsia="Times New Roman"/>
                    </w:rPr>
                  </w:pPr>
                  <w:r>
                    <w:rPr>
                      <w:rFonts w:hint="eastAsia" w:ascii="宋体" w:hAnsi="宋体" w:eastAsia="宋体" w:cs="宋体"/>
                    </w:rPr>
                    <w:t>达标</w:t>
                  </w:r>
                </w:p>
              </w:tc>
            </w:tr>
            <w:tr w14:paraId="733FB2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restart"/>
                  <w:vAlign w:val="center"/>
                </w:tcPr>
                <w:p w14:paraId="0626002C">
                  <w:pPr>
                    <w:pStyle w:val="149"/>
                    <w:rPr>
                      <w:rFonts w:eastAsia="Times New Roman"/>
                    </w:rPr>
                  </w:pPr>
                  <w:r>
                    <w:rPr>
                      <w:rFonts w:eastAsia="Times New Roman"/>
                    </w:rPr>
                    <w:t>W8</w:t>
                  </w:r>
                </w:p>
              </w:tc>
              <w:tc>
                <w:tcPr>
                  <w:tcW w:w="608" w:type="pct"/>
                  <w:vAlign w:val="center"/>
                </w:tcPr>
                <w:p w14:paraId="2AB1C467">
                  <w:pPr>
                    <w:pStyle w:val="149"/>
                    <w:rPr>
                      <w:rFonts w:eastAsia="Times New Roman"/>
                    </w:rPr>
                  </w:pPr>
                  <w:r>
                    <w:rPr>
                      <w:rFonts w:eastAsia="Times New Roman"/>
                    </w:rPr>
                    <w:t>2023.11.20</w:t>
                  </w:r>
                </w:p>
              </w:tc>
              <w:tc>
                <w:tcPr>
                  <w:tcW w:w="293" w:type="pct"/>
                  <w:vAlign w:val="center"/>
                </w:tcPr>
                <w:p w14:paraId="4409C4F0">
                  <w:pPr>
                    <w:pStyle w:val="149"/>
                    <w:rPr>
                      <w:rFonts w:eastAsia="Times New Roman"/>
                    </w:rPr>
                  </w:pPr>
                  <w:r>
                    <w:rPr>
                      <w:rFonts w:eastAsia="Times New Roman"/>
                    </w:rPr>
                    <w:t>16.5</w:t>
                  </w:r>
                </w:p>
              </w:tc>
              <w:tc>
                <w:tcPr>
                  <w:tcW w:w="289" w:type="pct"/>
                  <w:vAlign w:val="center"/>
                </w:tcPr>
                <w:p w14:paraId="249FF9FE">
                  <w:pPr>
                    <w:pStyle w:val="149"/>
                    <w:rPr>
                      <w:rFonts w:eastAsia="Times New Roman"/>
                    </w:rPr>
                  </w:pPr>
                  <w:r>
                    <w:rPr>
                      <w:rFonts w:eastAsia="Times New Roman"/>
                    </w:rPr>
                    <w:t>6.8</w:t>
                  </w:r>
                </w:p>
              </w:tc>
              <w:tc>
                <w:tcPr>
                  <w:tcW w:w="317" w:type="pct"/>
                  <w:vAlign w:val="center"/>
                </w:tcPr>
                <w:p w14:paraId="5C134233">
                  <w:pPr>
                    <w:pStyle w:val="149"/>
                    <w:rPr>
                      <w:rFonts w:eastAsia="Times New Roman"/>
                    </w:rPr>
                  </w:pPr>
                  <w:r>
                    <w:rPr>
                      <w:rFonts w:eastAsia="Times New Roman"/>
                    </w:rPr>
                    <w:t>6.1</w:t>
                  </w:r>
                </w:p>
              </w:tc>
              <w:tc>
                <w:tcPr>
                  <w:tcW w:w="273" w:type="pct"/>
                  <w:vAlign w:val="center"/>
                </w:tcPr>
                <w:p w14:paraId="683C5BC3">
                  <w:pPr>
                    <w:pStyle w:val="149"/>
                    <w:rPr>
                      <w:rFonts w:eastAsia="Times New Roman"/>
                    </w:rPr>
                  </w:pPr>
                  <w:r>
                    <w:rPr>
                      <w:rFonts w:eastAsia="Times New Roman"/>
                    </w:rPr>
                    <w:t>30</w:t>
                  </w:r>
                </w:p>
              </w:tc>
              <w:tc>
                <w:tcPr>
                  <w:tcW w:w="352" w:type="pct"/>
                  <w:vAlign w:val="center"/>
                </w:tcPr>
                <w:p w14:paraId="0DBB2635">
                  <w:pPr>
                    <w:pStyle w:val="149"/>
                    <w:rPr>
                      <w:rFonts w:eastAsia="Times New Roman"/>
                    </w:rPr>
                  </w:pPr>
                  <w:r>
                    <w:rPr>
                      <w:rFonts w:eastAsia="Times New Roman"/>
                    </w:rPr>
                    <w:t>21</w:t>
                  </w:r>
                </w:p>
              </w:tc>
              <w:tc>
                <w:tcPr>
                  <w:tcW w:w="370" w:type="pct"/>
                  <w:vAlign w:val="center"/>
                </w:tcPr>
                <w:p w14:paraId="7A7DD04B">
                  <w:pPr>
                    <w:pStyle w:val="149"/>
                    <w:rPr>
                      <w:rFonts w:eastAsia="Times New Roman"/>
                    </w:rPr>
                  </w:pPr>
                  <w:r>
                    <w:rPr>
                      <w:rFonts w:eastAsia="Times New Roman"/>
                    </w:rPr>
                    <w:t>4.5</w:t>
                  </w:r>
                </w:p>
              </w:tc>
              <w:tc>
                <w:tcPr>
                  <w:tcW w:w="321" w:type="pct"/>
                  <w:vAlign w:val="center"/>
                </w:tcPr>
                <w:p w14:paraId="0B08C2AA">
                  <w:pPr>
                    <w:pStyle w:val="149"/>
                    <w:rPr>
                      <w:rFonts w:eastAsia="Times New Roman"/>
                    </w:rPr>
                  </w:pPr>
                  <w:r>
                    <w:rPr>
                      <w:rFonts w:eastAsia="Times New Roman"/>
                    </w:rPr>
                    <w:t>2.43</w:t>
                  </w:r>
                </w:p>
              </w:tc>
              <w:tc>
                <w:tcPr>
                  <w:tcW w:w="383" w:type="pct"/>
                  <w:vAlign w:val="center"/>
                </w:tcPr>
                <w:p w14:paraId="7A94303C">
                  <w:pPr>
                    <w:pStyle w:val="149"/>
                    <w:rPr>
                      <w:rFonts w:eastAsia="Times New Roman"/>
                    </w:rPr>
                  </w:pPr>
                  <w:r>
                    <w:rPr>
                      <w:rFonts w:eastAsia="Times New Roman"/>
                    </w:rPr>
                    <w:t>0.16</w:t>
                  </w:r>
                </w:p>
              </w:tc>
              <w:tc>
                <w:tcPr>
                  <w:tcW w:w="254" w:type="pct"/>
                  <w:vAlign w:val="center"/>
                </w:tcPr>
                <w:p w14:paraId="55F33596">
                  <w:pPr>
                    <w:pStyle w:val="149"/>
                    <w:rPr>
                      <w:rFonts w:eastAsia="Times New Roman"/>
                    </w:rPr>
                  </w:pPr>
                  <w:r>
                    <w:rPr>
                      <w:rFonts w:eastAsia="Times New Roman"/>
                    </w:rPr>
                    <w:t>6.38</w:t>
                  </w:r>
                </w:p>
              </w:tc>
              <w:tc>
                <w:tcPr>
                  <w:tcW w:w="254" w:type="pct"/>
                  <w:vAlign w:val="center"/>
                </w:tcPr>
                <w:p w14:paraId="7BDB1466">
                  <w:pPr>
                    <w:pStyle w:val="149"/>
                    <w:rPr>
                      <w:rFonts w:eastAsia="Times New Roman"/>
                    </w:rPr>
                  </w:pPr>
                  <w:r>
                    <w:rPr>
                      <w:rFonts w:eastAsia="Times New Roman"/>
                    </w:rPr>
                    <w:t>0.17</w:t>
                  </w:r>
                </w:p>
              </w:tc>
              <w:tc>
                <w:tcPr>
                  <w:tcW w:w="254" w:type="pct"/>
                  <w:vAlign w:val="center"/>
                </w:tcPr>
                <w:p w14:paraId="5CF9519C">
                  <w:pPr>
                    <w:pStyle w:val="149"/>
                    <w:rPr>
                      <w:rFonts w:eastAsia="Times New Roman"/>
                    </w:rPr>
                  </w:pPr>
                  <w:r>
                    <w:rPr>
                      <w:rFonts w:eastAsia="Times New Roman"/>
                    </w:rPr>
                    <w:t>ND</w:t>
                  </w:r>
                </w:p>
              </w:tc>
              <w:tc>
                <w:tcPr>
                  <w:tcW w:w="342" w:type="pct"/>
                  <w:vAlign w:val="center"/>
                </w:tcPr>
                <w:p w14:paraId="30C4926F">
                  <w:pPr>
                    <w:pStyle w:val="149"/>
                    <w:rPr>
                      <w:rFonts w:eastAsia="Times New Roman"/>
                    </w:rPr>
                  </w:pPr>
                  <w:r>
                    <w:rPr>
                      <w:rFonts w:eastAsia="Times New Roman"/>
                    </w:rPr>
                    <w:t>0.14</w:t>
                  </w:r>
                </w:p>
              </w:tc>
              <w:tc>
                <w:tcPr>
                  <w:tcW w:w="452" w:type="pct"/>
                  <w:vAlign w:val="center"/>
                </w:tcPr>
                <w:p w14:paraId="440E0A5C">
                  <w:pPr>
                    <w:pStyle w:val="149"/>
                    <w:rPr>
                      <w:rFonts w:eastAsia="Times New Roman"/>
                    </w:rPr>
                  </w:pPr>
                  <w:r>
                    <w:rPr>
                      <w:rFonts w:eastAsia="Times New Roman"/>
                    </w:rPr>
                    <w:t>1.4×10</w:t>
                  </w:r>
                  <w:r>
                    <w:rPr>
                      <w:rFonts w:eastAsia="Times New Roman"/>
                      <w:b/>
                      <w:vertAlign w:val="superscript"/>
                    </w:rPr>
                    <w:t>4</w:t>
                  </w:r>
                </w:p>
              </w:tc>
            </w:tr>
            <w:tr w14:paraId="4EA0F9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continue"/>
                  <w:vAlign w:val="center"/>
                </w:tcPr>
                <w:p w14:paraId="05C05697">
                  <w:pPr>
                    <w:pStyle w:val="149"/>
                    <w:rPr>
                      <w:rFonts w:eastAsia="Times New Roman"/>
                    </w:rPr>
                  </w:pPr>
                </w:p>
              </w:tc>
              <w:tc>
                <w:tcPr>
                  <w:tcW w:w="608" w:type="pct"/>
                  <w:vAlign w:val="center"/>
                </w:tcPr>
                <w:p w14:paraId="6CC0FA7B">
                  <w:pPr>
                    <w:pStyle w:val="149"/>
                    <w:rPr>
                      <w:rFonts w:eastAsia="Times New Roman"/>
                    </w:rPr>
                  </w:pPr>
                  <w:r>
                    <w:rPr>
                      <w:rFonts w:eastAsia="Times New Roman"/>
                    </w:rPr>
                    <w:t>2023.11.21</w:t>
                  </w:r>
                </w:p>
              </w:tc>
              <w:tc>
                <w:tcPr>
                  <w:tcW w:w="293" w:type="pct"/>
                  <w:vAlign w:val="center"/>
                </w:tcPr>
                <w:p w14:paraId="0B8B7E38">
                  <w:pPr>
                    <w:pStyle w:val="149"/>
                    <w:rPr>
                      <w:rFonts w:eastAsia="Times New Roman"/>
                    </w:rPr>
                  </w:pPr>
                  <w:r>
                    <w:rPr>
                      <w:rFonts w:eastAsia="Times New Roman"/>
                    </w:rPr>
                    <w:t>14.5</w:t>
                  </w:r>
                </w:p>
              </w:tc>
              <w:tc>
                <w:tcPr>
                  <w:tcW w:w="289" w:type="pct"/>
                  <w:vAlign w:val="center"/>
                </w:tcPr>
                <w:p w14:paraId="27560055">
                  <w:pPr>
                    <w:pStyle w:val="149"/>
                    <w:rPr>
                      <w:rFonts w:eastAsia="Times New Roman"/>
                    </w:rPr>
                  </w:pPr>
                  <w:r>
                    <w:rPr>
                      <w:rFonts w:eastAsia="Times New Roman"/>
                    </w:rPr>
                    <w:t>7.0</w:t>
                  </w:r>
                </w:p>
              </w:tc>
              <w:tc>
                <w:tcPr>
                  <w:tcW w:w="317" w:type="pct"/>
                  <w:vAlign w:val="center"/>
                </w:tcPr>
                <w:p w14:paraId="5D44BFE6">
                  <w:pPr>
                    <w:pStyle w:val="149"/>
                    <w:rPr>
                      <w:rFonts w:eastAsia="Times New Roman"/>
                    </w:rPr>
                  </w:pPr>
                  <w:r>
                    <w:rPr>
                      <w:rFonts w:eastAsia="Times New Roman"/>
                    </w:rPr>
                    <w:t>6.2</w:t>
                  </w:r>
                </w:p>
              </w:tc>
              <w:tc>
                <w:tcPr>
                  <w:tcW w:w="273" w:type="pct"/>
                  <w:vAlign w:val="center"/>
                </w:tcPr>
                <w:p w14:paraId="0B222D97">
                  <w:pPr>
                    <w:pStyle w:val="149"/>
                    <w:rPr>
                      <w:rFonts w:eastAsia="Times New Roman"/>
                    </w:rPr>
                  </w:pPr>
                  <w:r>
                    <w:rPr>
                      <w:rFonts w:eastAsia="Times New Roman"/>
                    </w:rPr>
                    <w:t>33</w:t>
                  </w:r>
                </w:p>
              </w:tc>
              <w:tc>
                <w:tcPr>
                  <w:tcW w:w="352" w:type="pct"/>
                  <w:vAlign w:val="center"/>
                </w:tcPr>
                <w:p w14:paraId="61C72E4D">
                  <w:pPr>
                    <w:pStyle w:val="149"/>
                    <w:rPr>
                      <w:rFonts w:eastAsia="Times New Roman"/>
                    </w:rPr>
                  </w:pPr>
                  <w:r>
                    <w:rPr>
                      <w:rFonts w:eastAsia="Times New Roman"/>
                    </w:rPr>
                    <w:t>18</w:t>
                  </w:r>
                </w:p>
              </w:tc>
              <w:tc>
                <w:tcPr>
                  <w:tcW w:w="370" w:type="pct"/>
                  <w:vAlign w:val="center"/>
                </w:tcPr>
                <w:p w14:paraId="56D68990">
                  <w:pPr>
                    <w:pStyle w:val="149"/>
                    <w:rPr>
                      <w:rFonts w:eastAsia="Times New Roman"/>
                    </w:rPr>
                  </w:pPr>
                  <w:r>
                    <w:rPr>
                      <w:rFonts w:eastAsia="Times New Roman"/>
                    </w:rPr>
                    <w:t>3.9</w:t>
                  </w:r>
                </w:p>
              </w:tc>
              <w:tc>
                <w:tcPr>
                  <w:tcW w:w="321" w:type="pct"/>
                  <w:vAlign w:val="center"/>
                </w:tcPr>
                <w:p w14:paraId="3B33CB9D">
                  <w:pPr>
                    <w:pStyle w:val="149"/>
                    <w:rPr>
                      <w:rFonts w:eastAsia="Times New Roman"/>
                    </w:rPr>
                  </w:pPr>
                  <w:r>
                    <w:rPr>
                      <w:rFonts w:eastAsia="Times New Roman"/>
                    </w:rPr>
                    <w:t>2.97</w:t>
                  </w:r>
                </w:p>
              </w:tc>
              <w:tc>
                <w:tcPr>
                  <w:tcW w:w="383" w:type="pct"/>
                  <w:vAlign w:val="center"/>
                </w:tcPr>
                <w:p w14:paraId="56E3BFC6">
                  <w:pPr>
                    <w:pStyle w:val="149"/>
                    <w:rPr>
                      <w:rFonts w:eastAsia="Times New Roman"/>
                    </w:rPr>
                  </w:pPr>
                  <w:r>
                    <w:rPr>
                      <w:rFonts w:eastAsia="Times New Roman"/>
                    </w:rPr>
                    <w:t>0.13</w:t>
                  </w:r>
                </w:p>
              </w:tc>
              <w:tc>
                <w:tcPr>
                  <w:tcW w:w="254" w:type="pct"/>
                  <w:vAlign w:val="center"/>
                </w:tcPr>
                <w:p w14:paraId="58F906E6">
                  <w:pPr>
                    <w:pStyle w:val="149"/>
                    <w:rPr>
                      <w:rFonts w:eastAsia="Times New Roman"/>
                    </w:rPr>
                  </w:pPr>
                  <w:r>
                    <w:rPr>
                      <w:rFonts w:eastAsia="Times New Roman"/>
                    </w:rPr>
                    <w:t>7.78</w:t>
                  </w:r>
                </w:p>
              </w:tc>
              <w:tc>
                <w:tcPr>
                  <w:tcW w:w="254" w:type="pct"/>
                  <w:vAlign w:val="center"/>
                </w:tcPr>
                <w:p w14:paraId="0E7E476A">
                  <w:pPr>
                    <w:pStyle w:val="149"/>
                    <w:rPr>
                      <w:rFonts w:eastAsia="Times New Roman"/>
                    </w:rPr>
                  </w:pPr>
                  <w:r>
                    <w:rPr>
                      <w:rFonts w:eastAsia="Times New Roman"/>
                    </w:rPr>
                    <w:t>0.16</w:t>
                  </w:r>
                </w:p>
              </w:tc>
              <w:tc>
                <w:tcPr>
                  <w:tcW w:w="254" w:type="pct"/>
                  <w:vAlign w:val="center"/>
                </w:tcPr>
                <w:p w14:paraId="20FBD8EB">
                  <w:pPr>
                    <w:pStyle w:val="149"/>
                    <w:rPr>
                      <w:rFonts w:eastAsia="Times New Roman"/>
                    </w:rPr>
                  </w:pPr>
                  <w:r>
                    <w:rPr>
                      <w:rFonts w:eastAsia="Times New Roman"/>
                    </w:rPr>
                    <w:t>ND</w:t>
                  </w:r>
                </w:p>
              </w:tc>
              <w:tc>
                <w:tcPr>
                  <w:tcW w:w="342" w:type="pct"/>
                  <w:vAlign w:val="center"/>
                </w:tcPr>
                <w:p w14:paraId="7B46728D">
                  <w:pPr>
                    <w:pStyle w:val="149"/>
                    <w:rPr>
                      <w:rFonts w:eastAsia="Times New Roman"/>
                    </w:rPr>
                  </w:pPr>
                  <w:r>
                    <w:rPr>
                      <w:rFonts w:eastAsia="Times New Roman"/>
                    </w:rPr>
                    <w:t>0.16</w:t>
                  </w:r>
                </w:p>
              </w:tc>
              <w:tc>
                <w:tcPr>
                  <w:tcW w:w="452" w:type="pct"/>
                  <w:vAlign w:val="center"/>
                </w:tcPr>
                <w:p w14:paraId="60EC9BA6">
                  <w:pPr>
                    <w:pStyle w:val="149"/>
                    <w:rPr>
                      <w:rFonts w:eastAsia="Times New Roman"/>
                    </w:rPr>
                  </w:pPr>
                  <w:r>
                    <w:rPr>
                      <w:rFonts w:eastAsia="Times New Roman"/>
                    </w:rPr>
                    <w:t>1.0×10</w:t>
                  </w:r>
                  <w:r>
                    <w:rPr>
                      <w:rFonts w:eastAsia="Times New Roman"/>
                      <w:b/>
                      <w:vertAlign w:val="superscript"/>
                    </w:rPr>
                    <w:t>4</w:t>
                  </w:r>
                </w:p>
              </w:tc>
            </w:tr>
            <w:tr w14:paraId="76B317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continue"/>
                  <w:vAlign w:val="center"/>
                </w:tcPr>
                <w:p w14:paraId="5F5CB48C">
                  <w:pPr>
                    <w:pStyle w:val="149"/>
                    <w:rPr>
                      <w:rFonts w:eastAsia="Times New Roman"/>
                    </w:rPr>
                  </w:pPr>
                </w:p>
              </w:tc>
              <w:tc>
                <w:tcPr>
                  <w:tcW w:w="608" w:type="pct"/>
                  <w:vAlign w:val="center"/>
                </w:tcPr>
                <w:p w14:paraId="38BA9ECF">
                  <w:pPr>
                    <w:pStyle w:val="149"/>
                    <w:rPr>
                      <w:rFonts w:eastAsia="Times New Roman"/>
                    </w:rPr>
                  </w:pPr>
                  <w:r>
                    <w:rPr>
                      <w:rFonts w:eastAsia="Times New Roman"/>
                    </w:rPr>
                    <w:t>2023.11.22</w:t>
                  </w:r>
                </w:p>
              </w:tc>
              <w:tc>
                <w:tcPr>
                  <w:tcW w:w="293" w:type="pct"/>
                  <w:vAlign w:val="center"/>
                </w:tcPr>
                <w:p w14:paraId="4E36A5CE">
                  <w:pPr>
                    <w:pStyle w:val="149"/>
                    <w:rPr>
                      <w:rFonts w:eastAsia="Times New Roman"/>
                    </w:rPr>
                  </w:pPr>
                  <w:r>
                    <w:rPr>
                      <w:rFonts w:eastAsia="Times New Roman"/>
                    </w:rPr>
                    <w:t>15.1</w:t>
                  </w:r>
                </w:p>
              </w:tc>
              <w:tc>
                <w:tcPr>
                  <w:tcW w:w="289" w:type="pct"/>
                  <w:vAlign w:val="center"/>
                </w:tcPr>
                <w:p w14:paraId="2F33BABA">
                  <w:pPr>
                    <w:pStyle w:val="149"/>
                    <w:rPr>
                      <w:rFonts w:eastAsia="Times New Roman"/>
                    </w:rPr>
                  </w:pPr>
                  <w:r>
                    <w:rPr>
                      <w:rFonts w:eastAsia="Times New Roman"/>
                    </w:rPr>
                    <w:t>6.8</w:t>
                  </w:r>
                </w:p>
              </w:tc>
              <w:tc>
                <w:tcPr>
                  <w:tcW w:w="317" w:type="pct"/>
                  <w:vAlign w:val="center"/>
                </w:tcPr>
                <w:p w14:paraId="373BBB20">
                  <w:pPr>
                    <w:pStyle w:val="149"/>
                    <w:rPr>
                      <w:rFonts w:eastAsia="Times New Roman"/>
                    </w:rPr>
                  </w:pPr>
                  <w:r>
                    <w:rPr>
                      <w:rFonts w:eastAsia="Times New Roman"/>
                    </w:rPr>
                    <w:t>5.9</w:t>
                  </w:r>
                </w:p>
              </w:tc>
              <w:tc>
                <w:tcPr>
                  <w:tcW w:w="273" w:type="pct"/>
                  <w:vAlign w:val="center"/>
                </w:tcPr>
                <w:p w14:paraId="0597DEEF">
                  <w:pPr>
                    <w:pStyle w:val="149"/>
                    <w:rPr>
                      <w:rFonts w:eastAsia="Times New Roman"/>
                    </w:rPr>
                  </w:pPr>
                  <w:r>
                    <w:rPr>
                      <w:rFonts w:eastAsia="Times New Roman"/>
                    </w:rPr>
                    <w:t>24</w:t>
                  </w:r>
                </w:p>
              </w:tc>
              <w:tc>
                <w:tcPr>
                  <w:tcW w:w="352" w:type="pct"/>
                  <w:vAlign w:val="center"/>
                </w:tcPr>
                <w:p w14:paraId="198E25C7">
                  <w:pPr>
                    <w:pStyle w:val="149"/>
                    <w:rPr>
                      <w:rFonts w:eastAsia="Times New Roman"/>
                    </w:rPr>
                  </w:pPr>
                  <w:r>
                    <w:rPr>
                      <w:rFonts w:eastAsia="Times New Roman"/>
                    </w:rPr>
                    <w:t>23</w:t>
                  </w:r>
                </w:p>
              </w:tc>
              <w:tc>
                <w:tcPr>
                  <w:tcW w:w="370" w:type="pct"/>
                  <w:vAlign w:val="center"/>
                </w:tcPr>
                <w:p w14:paraId="5E588691">
                  <w:pPr>
                    <w:pStyle w:val="149"/>
                    <w:rPr>
                      <w:rFonts w:eastAsia="Times New Roman"/>
                    </w:rPr>
                  </w:pPr>
                  <w:r>
                    <w:rPr>
                      <w:rFonts w:eastAsia="Times New Roman"/>
                    </w:rPr>
                    <w:t>4.0</w:t>
                  </w:r>
                </w:p>
              </w:tc>
              <w:tc>
                <w:tcPr>
                  <w:tcW w:w="321" w:type="pct"/>
                  <w:vAlign w:val="center"/>
                </w:tcPr>
                <w:p w14:paraId="30BB645F">
                  <w:pPr>
                    <w:pStyle w:val="149"/>
                    <w:rPr>
                      <w:rFonts w:eastAsia="Times New Roman"/>
                    </w:rPr>
                  </w:pPr>
                  <w:r>
                    <w:rPr>
                      <w:rFonts w:eastAsia="Times New Roman"/>
                    </w:rPr>
                    <w:t>1.97</w:t>
                  </w:r>
                </w:p>
              </w:tc>
              <w:tc>
                <w:tcPr>
                  <w:tcW w:w="383" w:type="pct"/>
                  <w:vAlign w:val="center"/>
                </w:tcPr>
                <w:p w14:paraId="1F9A0B25">
                  <w:pPr>
                    <w:pStyle w:val="149"/>
                    <w:rPr>
                      <w:rFonts w:eastAsia="Times New Roman"/>
                    </w:rPr>
                  </w:pPr>
                  <w:r>
                    <w:rPr>
                      <w:rFonts w:eastAsia="Times New Roman"/>
                    </w:rPr>
                    <w:t>0.19</w:t>
                  </w:r>
                </w:p>
              </w:tc>
              <w:tc>
                <w:tcPr>
                  <w:tcW w:w="254" w:type="pct"/>
                  <w:vAlign w:val="center"/>
                </w:tcPr>
                <w:p w14:paraId="09B80448">
                  <w:pPr>
                    <w:pStyle w:val="149"/>
                    <w:rPr>
                      <w:rFonts w:eastAsia="Times New Roman"/>
                    </w:rPr>
                  </w:pPr>
                  <w:r>
                    <w:rPr>
                      <w:rFonts w:eastAsia="Times New Roman"/>
                    </w:rPr>
                    <w:t>9.00</w:t>
                  </w:r>
                </w:p>
              </w:tc>
              <w:tc>
                <w:tcPr>
                  <w:tcW w:w="254" w:type="pct"/>
                  <w:vAlign w:val="center"/>
                </w:tcPr>
                <w:p w14:paraId="67BEE5AC">
                  <w:pPr>
                    <w:pStyle w:val="149"/>
                    <w:rPr>
                      <w:rFonts w:eastAsia="Times New Roman"/>
                    </w:rPr>
                  </w:pPr>
                  <w:r>
                    <w:rPr>
                      <w:rFonts w:eastAsia="Times New Roman"/>
                    </w:rPr>
                    <w:t>0.18</w:t>
                  </w:r>
                </w:p>
              </w:tc>
              <w:tc>
                <w:tcPr>
                  <w:tcW w:w="254" w:type="pct"/>
                  <w:vAlign w:val="center"/>
                </w:tcPr>
                <w:p w14:paraId="340ABC92">
                  <w:pPr>
                    <w:pStyle w:val="149"/>
                    <w:rPr>
                      <w:rFonts w:eastAsia="Times New Roman"/>
                    </w:rPr>
                  </w:pPr>
                  <w:r>
                    <w:rPr>
                      <w:rFonts w:eastAsia="Times New Roman"/>
                    </w:rPr>
                    <w:t>ND</w:t>
                  </w:r>
                </w:p>
              </w:tc>
              <w:tc>
                <w:tcPr>
                  <w:tcW w:w="342" w:type="pct"/>
                  <w:vAlign w:val="center"/>
                </w:tcPr>
                <w:p w14:paraId="0E24B76E">
                  <w:pPr>
                    <w:pStyle w:val="149"/>
                    <w:rPr>
                      <w:rFonts w:eastAsia="Times New Roman"/>
                    </w:rPr>
                  </w:pPr>
                  <w:r>
                    <w:rPr>
                      <w:rFonts w:eastAsia="Times New Roman"/>
                    </w:rPr>
                    <w:t>0.18</w:t>
                  </w:r>
                </w:p>
              </w:tc>
              <w:tc>
                <w:tcPr>
                  <w:tcW w:w="452" w:type="pct"/>
                  <w:vAlign w:val="center"/>
                </w:tcPr>
                <w:p w14:paraId="37381100">
                  <w:pPr>
                    <w:pStyle w:val="149"/>
                    <w:rPr>
                      <w:rFonts w:eastAsia="Times New Roman"/>
                    </w:rPr>
                  </w:pPr>
                  <w:r>
                    <w:rPr>
                      <w:rFonts w:eastAsia="Times New Roman"/>
                    </w:rPr>
                    <w:t>8.3×10</w:t>
                  </w:r>
                  <w:r>
                    <w:rPr>
                      <w:rFonts w:eastAsia="Times New Roman"/>
                      <w:b/>
                      <w:vertAlign w:val="superscript"/>
                    </w:rPr>
                    <w:t>4</w:t>
                  </w:r>
                </w:p>
              </w:tc>
            </w:tr>
            <w:tr w14:paraId="658B0A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continue"/>
                  <w:vAlign w:val="center"/>
                </w:tcPr>
                <w:p w14:paraId="2890A03C">
                  <w:pPr>
                    <w:pStyle w:val="149"/>
                    <w:rPr>
                      <w:rFonts w:eastAsia="Times New Roman"/>
                    </w:rPr>
                  </w:pPr>
                </w:p>
              </w:tc>
              <w:tc>
                <w:tcPr>
                  <w:tcW w:w="608" w:type="pct"/>
                  <w:vAlign w:val="center"/>
                </w:tcPr>
                <w:p w14:paraId="24F29C58">
                  <w:pPr>
                    <w:pStyle w:val="149"/>
                    <w:rPr>
                      <w:rFonts w:eastAsia="Times New Roman"/>
                    </w:rPr>
                  </w:pPr>
                  <w:r>
                    <w:rPr>
                      <w:rFonts w:hint="eastAsia" w:ascii="宋体" w:hAnsi="宋体" w:eastAsia="宋体" w:cs="宋体"/>
                    </w:rPr>
                    <w:t>平均值</w:t>
                  </w:r>
                </w:p>
              </w:tc>
              <w:tc>
                <w:tcPr>
                  <w:tcW w:w="293" w:type="pct"/>
                  <w:vAlign w:val="center"/>
                </w:tcPr>
                <w:p w14:paraId="47E7A23A">
                  <w:pPr>
                    <w:pStyle w:val="149"/>
                    <w:rPr>
                      <w:rFonts w:eastAsia="Times New Roman"/>
                    </w:rPr>
                  </w:pPr>
                  <w:r>
                    <w:rPr>
                      <w:rFonts w:eastAsia="Times New Roman"/>
                    </w:rPr>
                    <w:t>15.3</w:t>
                  </w:r>
                </w:p>
              </w:tc>
              <w:tc>
                <w:tcPr>
                  <w:tcW w:w="289" w:type="pct"/>
                  <w:vAlign w:val="center"/>
                </w:tcPr>
                <w:p w14:paraId="1153DD61">
                  <w:pPr>
                    <w:pStyle w:val="149"/>
                    <w:rPr>
                      <w:rFonts w:eastAsia="Times New Roman"/>
                    </w:rPr>
                  </w:pPr>
                  <w:r>
                    <w:rPr>
                      <w:rFonts w:eastAsia="Times New Roman"/>
                    </w:rPr>
                    <w:t>6.9</w:t>
                  </w:r>
                </w:p>
              </w:tc>
              <w:tc>
                <w:tcPr>
                  <w:tcW w:w="317" w:type="pct"/>
                  <w:vAlign w:val="center"/>
                </w:tcPr>
                <w:p w14:paraId="6E46B185">
                  <w:pPr>
                    <w:pStyle w:val="149"/>
                    <w:rPr>
                      <w:rFonts w:eastAsia="Times New Roman"/>
                    </w:rPr>
                  </w:pPr>
                  <w:r>
                    <w:rPr>
                      <w:rFonts w:eastAsia="Times New Roman"/>
                    </w:rPr>
                    <w:t>6.1</w:t>
                  </w:r>
                </w:p>
              </w:tc>
              <w:tc>
                <w:tcPr>
                  <w:tcW w:w="273" w:type="pct"/>
                  <w:vAlign w:val="center"/>
                </w:tcPr>
                <w:p w14:paraId="5A0BD15D">
                  <w:pPr>
                    <w:pStyle w:val="149"/>
                    <w:rPr>
                      <w:rFonts w:eastAsia="Times New Roman"/>
                    </w:rPr>
                  </w:pPr>
                  <w:r>
                    <w:rPr>
                      <w:rFonts w:eastAsia="Times New Roman"/>
                    </w:rPr>
                    <w:t>29</w:t>
                  </w:r>
                </w:p>
              </w:tc>
              <w:tc>
                <w:tcPr>
                  <w:tcW w:w="352" w:type="pct"/>
                  <w:vAlign w:val="center"/>
                </w:tcPr>
                <w:p w14:paraId="0C735E98">
                  <w:pPr>
                    <w:pStyle w:val="149"/>
                    <w:rPr>
                      <w:rFonts w:eastAsia="Times New Roman"/>
                    </w:rPr>
                  </w:pPr>
                  <w:r>
                    <w:rPr>
                      <w:rFonts w:eastAsia="Times New Roman"/>
                    </w:rPr>
                    <w:t>21</w:t>
                  </w:r>
                </w:p>
              </w:tc>
              <w:tc>
                <w:tcPr>
                  <w:tcW w:w="370" w:type="pct"/>
                  <w:vAlign w:val="center"/>
                </w:tcPr>
                <w:p w14:paraId="713CDBBF">
                  <w:pPr>
                    <w:pStyle w:val="149"/>
                    <w:rPr>
                      <w:rFonts w:eastAsia="Times New Roman"/>
                    </w:rPr>
                  </w:pPr>
                  <w:r>
                    <w:rPr>
                      <w:rFonts w:eastAsia="Times New Roman"/>
                    </w:rPr>
                    <w:t>4.1</w:t>
                  </w:r>
                </w:p>
              </w:tc>
              <w:tc>
                <w:tcPr>
                  <w:tcW w:w="321" w:type="pct"/>
                  <w:vAlign w:val="center"/>
                </w:tcPr>
                <w:p w14:paraId="4BE50C0C">
                  <w:pPr>
                    <w:pStyle w:val="149"/>
                    <w:rPr>
                      <w:rFonts w:eastAsia="Times New Roman"/>
                    </w:rPr>
                  </w:pPr>
                  <w:r>
                    <w:rPr>
                      <w:rFonts w:eastAsia="Times New Roman"/>
                    </w:rPr>
                    <w:t>2.46</w:t>
                  </w:r>
                </w:p>
              </w:tc>
              <w:tc>
                <w:tcPr>
                  <w:tcW w:w="383" w:type="pct"/>
                  <w:vAlign w:val="center"/>
                </w:tcPr>
                <w:p w14:paraId="4166EDA3">
                  <w:pPr>
                    <w:pStyle w:val="149"/>
                    <w:rPr>
                      <w:rFonts w:eastAsia="Times New Roman"/>
                    </w:rPr>
                  </w:pPr>
                  <w:r>
                    <w:rPr>
                      <w:rFonts w:eastAsia="Times New Roman"/>
                    </w:rPr>
                    <w:t>0.16</w:t>
                  </w:r>
                </w:p>
              </w:tc>
              <w:tc>
                <w:tcPr>
                  <w:tcW w:w="254" w:type="pct"/>
                  <w:vAlign w:val="center"/>
                </w:tcPr>
                <w:p w14:paraId="70CEA870">
                  <w:pPr>
                    <w:pStyle w:val="149"/>
                    <w:rPr>
                      <w:rFonts w:eastAsia="Times New Roman"/>
                    </w:rPr>
                  </w:pPr>
                  <w:r>
                    <w:rPr>
                      <w:rFonts w:eastAsia="Times New Roman"/>
                    </w:rPr>
                    <w:t>7.72</w:t>
                  </w:r>
                </w:p>
              </w:tc>
              <w:tc>
                <w:tcPr>
                  <w:tcW w:w="254" w:type="pct"/>
                  <w:vAlign w:val="center"/>
                </w:tcPr>
                <w:p w14:paraId="17471DD1">
                  <w:pPr>
                    <w:pStyle w:val="149"/>
                    <w:rPr>
                      <w:rFonts w:eastAsia="Times New Roman"/>
                    </w:rPr>
                  </w:pPr>
                  <w:r>
                    <w:rPr>
                      <w:rFonts w:eastAsia="Times New Roman"/>
                    </w:rPr>
                    <w:t>0.17</w:t>
                  </w:r>
                </w:p>
              </w:tc>
              <w:tc>
                <w:tcPr>
                  <w:tcW w:w="254" w:type="pct"/>
                  <w:vAlign w:val="center"/>
                </w:tcPr>
                <w:p w14:paraId="154D459A">
                  <w:pPr>
                    <w:pStyle w:val="149"/>
                    <w:rPr>
                      <w:rFonts w:eastAsia="Times New Roman"/>
                    </w:rPr>
                  </w:pPr>
                  <w:r>
                    <w:rPr>
                      <w:rFonts w:eastAsia="Times New Roman"/>
                    </w:rPr>
                    <w:t>/</w:t>
                  </w:r>
                </w:p>
              </w:tc>
              <w:tc>
                <w:tcPr>
                  <w:tcW w:w="342" w:type="pct"/>
                  <w:vAlign w:val="center"/>
                </w:tcPr>
                <w:p w14:paraId="11E70BBE">
                  <w:pPr>
                    <w:pStyle w:val="149"/>
                    <w:rPr>
                      <w:rFonts w:eastAsia="Times New Roman"/>
                    </w:rPr>
                  </w:pPr>
                  <w:r>
                    <w:rPr>
                      <w:rFonts w:eastAsia="Times New Roman"/>
                    </w:rPr>
                    <w:t>0.16</w:t>
                  </w:r>
                </w:p>
              </w:tc>
              <w:tc>
                <w:tcPr>
                  <w:tcW w:w="452" w:type="pct"/>
                  <w:vAlign w:val="center"/>
                </w:tcPr>
                <w:p w14:paraId="0A2C4D53">
                  <w:pPr>
                    <w:pStyle w:val="149"/>
                    <w:rPr>
                      <w:rFonts w:eastAsia="Times New Roman"/>
                    </w:rPr>
                  </w:pPr>
                  <w:r>
                    <w:rPr>
                      <w:rFonts w:eastAsia="Times New Roman"/>
                    </w:rPr>
                    <w:t>3.6×10</w:t>
                  </w:r>
                  <w:r>
                    <w:rPr>
                      <w:rFonts w:eastAsia="Times New Roman"/>
                      <w:b/>
                      <w:vertAlign w:val="superscript"/>
                    </w:rPr>
                    <w:t>4</w:t>
                  </w:r>
                </w:p>
              </w:tc>
            </w:tr>
            <w:tr w14:paraId="34E7E1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continue"/>
                  <w:vAlign w:val="center"/>
                </w:tcPr>
                <w:p w14:paraId="17143A94">
                  <w:pPr>
                    <w:pStyle w:val="149"/>
                    <w:rPr>
                      <w:rFonts w:eastAsia="Times New Roman"/>
                    </w:rPr>
                  </w:pPr>
                </w:p>
              </w:tc>
              <w:tc>
                <w:tcPr>
                  <w:tcW w:w="608" w:type="pct"/>
                  <w:vAlign w:val="center"/>
                </w:tcPr>
                <w:p w14:paraId="50354AB0">
                  <w:pPr>
                    <w:pStyle w:val="149"/>
                    <w:rPr>
                      <w:rFonts w:eastAsia="Times New Roman"/>
                    </w:rPr>
                  </w:pPr>
                  <w:r>
                    <w:rPr>
                      <w:rFonts w:hint="eastAsia" w:ascii="宋体" w:hAnsi="宋体" w:eastAsia="宋体" w:cs="宋体"/>
                    </w:rPr>
                    <w:t>标准指数</w:t>
                  </w:r>
                </w:p>
              </w:tc>
              <w:tc>
                <w:tcPr>
                  <w:tcW w:w="293" w:type="pct"/>
                  <w:vAlign w:val="center"/>
                </w:tcPr>
                <w:p w14:paraId="1E7AFA15">
                  <w:pPr>
                    <w:pStyle w:val="149"/>
                    <w:rPr>
                      <w:rFonts w:eastAsia="Times New Roman"/>
                    </w:rPr>
                  </w:pPr>
                  <w:r>
                    <w:rPr>
                      <w:rFonts w:eastAsia="Times New Roman"/>
                    </w:rPr>
                    <w:t>/</w:t>
                  </w:r>
                </w:p>
              </w:tc>
              <w:tc>
                <w:tcPr>
                  <w:tcW w:w="289" w:type="pct"/>
                  <w:vAlign w:val="center"/>
                </w:tcPr>
                <w:p w14:paraId="10F0F963">
                  <w:pPr>
                    <w:pStyle w:val="149"/>
                    <w:rPr>
                      <w:rFonts w:eastAsia="Times New Roman"/>
                    </w:rPr>
                  </w:pPr>
                  <w:r>
                    <w:rPr>
                      <w:rFonts w:eastAsia="Times New Roman"/>
                    </w:rPr>
                    <w:t>0.1</w:t>
                  </w:r>
                </w:p>
              </w:tc>
              <w:tc>
                <w:tcPr>
                  <w:tcW w:w="317" w:type="pct"/>
                  <w:vAlign w:val="center"/>
                </w:tcPr>
                <w:p w14:paraId="258EFD43">
                  <w:pPr>
                    <w:pStyle w:val="149"/>
                    <w:rPr>
                      <w:rFonts w:eastAsia="Times New Roman"/>
                    </w:rPr>
                  </w:pPr>
                  <w:r>
                    <w:rPr>
                      <w:rFonts w:eastAsia="Times New Roman"/>
                    </w:rPr>
                    <w:t>0.67</w:t>
                  </w:r>
                </w:p>
              </w:tc>
              <w:tc>
                <w:tcPr>
                  <w:tcW w:w="273" w:type="pct"/>
                  <w:vAlign w:val="center"/>
                </w:tcPr>
                <w:p w14:paraId="1A14CD9E">
                  <w:pPr>
                    <w:pStyle w:val="149"/>
                    <w:rPr>
                      <w:rFonts w:eastAsia="Times New Roman"/>
                    </w:rPr>
                  </w:pPr>
                  <w:r>
                    <w:rPr>
                      <w:rFonts w:eastAsia="Times New Roman"/>
                    </w:rPr>
                    <w:t>/</w:t>
                  </w:r>
                </w:p>
              </w:tc>
              <w:tc>
                <w:tcPr>
                  <w:tcW w:w="352" w:type="pct"/>
                  <w:vAlign w:val="center"/>
                </w:tcPr>
                <w:p w14:paraId="4A1F0865">
                  <w:pPr>
                    <w:pStyle w:val="149"/>
                    <w:rPr>
                      <w:rFonts w:eastAsia="Times New Roman"/>
                    </w:rPr>
                  </w:pPr>
                  <w:r>
                    <w:rPr>
                      <w:rFonts w:eastAsia="Times New Roman"/>
                    </w:rPr>
                    <w:t>0.525</w:t>
                  </w:r>
                </w:p>
              </w:tc>
              <w:tc>
                <w:tcPr>
                  <w:tcW w:w="370" w:type="pct"/>
                  <w:vAlign w:val="center"/>
                </w:tcPr>
                <w:p w14:paraId="59292E50">
                  <w:pPr>
                    <w:pStyle w:val="149"/>
                    <w:rPr>
                      <w:rFonts w:eastAsia="Times New Roman"/>
                    </w:rPr>
                  </w:pPr>
                  <w:r>
                    <w:rPr>
                      <w:rFonts w:eastAsia="Times New Roman"/>
                    </w:rPr>
                    <w:t>0.41</w:t>
                  </w:r>
                </w:p>
              </w:tc>
              <w:tc>
                <w:tcPr>
                  <w:tcW w:w="321" w:type="pct"/>
                  <w:vAlign w:val="center"/>
                </w:tcPr>
                <w:p w14:paraId="7394C854">
                  <w:pPr>
                    <w:pStyle w:val="149"/>
                    <w:rPr>
                      <w:rFonts w:eastAsia="Times New Roman"/>
                    </w:rPr>
                  </w:pPr>
                  <w:r>
                    <w:rPr>
                      <w:rFonts w:eastAsia="Times New Roman"/>
                    </w:rPr>
                    <w:t>1.23</w:t>
                  </w:r>
                </w:p>
              </w:tc>
              <w:tc>
                <w:tcPr>
                  <w:tcW w:w="383" w:type="pct"/>
                  <w:vAlign w:val="center"/>
                </w:tcPr>
                <w:p w14:paraId="71738767">
                  <w:pPr>
                    <w:pStyle w:val="149"/>
                    <w:rPr>
                      <w:rFonts w:eastAsia="Times New Roman"/>
                    </w:rPr>
                  </w:pPr>
                  <w:r>
                    <w:rPr>
                      <w:rFonts w:eastAsia="Times New Roman"/>
                    </w:rPr>
                    <w:t>0.4</w:t>
                  </w:r>
                </w:p>
              </w:tc>
              <w:tc>
                <w:tcPr>
                  <w:tcW w:w="254" w:type="pct"/>
                  <w:vAlign w:val="center"/>
                </w:tcPr>
                <w:p w14:paraId="69C03C14">
                  <w:pPr>
                    <w:pStyle w:val="149"/>
                    <w:rPr>
                      <w:rFonts w:eastAsia="Times New Roman"/>
                    </w:rPr>
                  </w:pPr>
                  <w:r>
                    <w:rPr>
                      <w:rFonts w:eastAsia="Times New Roman"/>
                    </w:rPr>
                    <w:t>/</w:t>
                  </w:r>
                </w:p>
              </w:tc>
              <w:tc>
                <w:tcPr>
                  <w:tcW w:w="254" w:type="pct"/>
                  <w:vAlign w:val="center"/>
                </w:tcPr>
                <w:p w14:paraId="50A7B46A">
                  <w:pPr>
                    <w:pStyle w:val="149"/>
                    <w:rPr>
                      <w:rFonts w:eastAsia="Times New Roman"/>
                    </w:rPr>
                  </w:pPr>
                  <w:r>
                    <w:rPr>
                      <w:rFonts w:eastAsia="Times New Roman"/>
                    </w:rPr>
                    <w:t>0.11</w:t>
                  </w:r>
                </w:p>
              </w:tc>
              <w:tc>
                <w:tcPr>
                  <w:tcW w:w="254" w:type="pct"/>
                  <w:vAlign w:val="center"/>
                </w:tcPr>
                <w:p w14:paraId="49B2A2A3">
                  <w:pPr>
                    <w:pStyle w:val="149"/>
                    <w:rPr>
                      <w:rFonts w:eastAsia="Times New Roman"/>
                    </w:rPr>
                  </w:pPr>
                  <w:r>
                    <w:rPr>
                      <w:rFonts w:eastAsia="Times New Roman"/>
                    </w:rPr>
                    <w:t>/</w:t>
                  </w:r>
                </w:p>
              </w:tc>
              <w:tc>
                <w:tcPr>
                  <w:tcW w:w="342" w:type="pct"/>
                  <w:vAlign w:val="center"/>
                </w:tcPr>
                <w:p w14:paraId="04EB182F">
                  <w:pPr>
                    <w:pStyle w:val="149"/>
                    <w:rPr>
                      <w:rFonts w:eastAsia="Times New Roman"/>
                    </w:rPr>
                  </w:pPr>
                  <w:r>
                    <w:rPr>
                      <w:rFonts w:eastAsia="Times New Roman"/>
                    </w:rPr>
                    <w:t>0.53</w:t>
                  </w:r>
                </w:p>
              </w:tc>
              <w:tc>
                <w:tcPr>
                  <w:tcW w:w="452" w:type="pct"/>
                  <w:vAlign w:val="center"/>
                </w:tcPr>
                <w:p w14:paraId="0BC309DE">
                  <w:pPr>
                    <w:pStyle w:val="149"/>
                    <w:rPr>
                      <w:rFonts w:eastAsia="Times New Roman"/>
                    </w:rPr>
                  </w:pPr>
                  <w:r>
                    <w:rPr>
                      <w:rFonts w:eastAsia="Times New Roman"/>
                    </w:rPr>
                    <w:t>0.9</w:t>
                  </w:r>
                </w:p>
              </w:tc>
            </w:tr>
            <w:tr w14:paraId="4F852F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trPr>
              <w:tc>
                <w:tcPr>
                  <w:tcW w:w="236" w:type="pct"/>
                  <w:vMerge w:val="continue"/>
                  <w:vAlign w:val="center"/>
                </w:tcPr>
                <w:p w14:paraId="36E58C50">
                  <w:pPr>
                    <w:pStyle w:val="149"/>
                    <w:rPr>
                      <w:rFonts w:eastAsia="Times New Roman"/>
                    </w:rPr>
                  </w:pPr>
                </w:p>
              </w:tc>
              <w:tc>
                <w:tcPr>
                  <w:tcW w:w="608" w:type="pct"/>
                  <w:vAlign w:val="center"/>
                </w:tcPr>
                <w:p w14:paraId="50AA3BE0">
                  <w:pPr>
                    <w:pStyle w:val="149"/>
                    <w:rPr>
                      <w:rFonts w:eastAsia="Times New Roman"/>
                    </w:rPr>
                  </w:pPr>
                  <w:r>
                    <w:rPr>
                      <w:rFonts w:hint="eastAsia" w:ascii="宋体" w:hAnsi="宋体" w:eastAsia="宋体" w:cs="宋体"/>
                    </w:rPr>
                    <w:t>超标倍数</w:t>
                  </w:r>
                </w:p>
              </w:tc>
              <w:tc>
                <w:tcPr>
                  <w:tcW w:w="293" w:type="pct"/>
                  <w:vAlign w:val="center"/>
                </w:tcPr>
                <w:p w14:paraId="0DE95160">
                  <w:pPr>
                    <w:pStyle w:val="149"/>
                    <w:rPr>
                      <w:rFonts w:eastAsia="Times New Roman"/>
                    </w:rPr>
                  </w:pPr>
                  <w:r>
                    <w:rPr>
                      <w:rFonts w:eastAsia="Times New Roman"/>
                    </w:rPr>
                    <w:t>/</w:t>
                  </w:r>
                </w:p>
              </w:tc>
              <w:tc>
                <w:tcPr>
                  <w:tcW w:w="289" w:type="pct"/>
                  <w:vAlign w:val="center"/>
                </w:tcPr>
                <w:p w14:paraId="16136B8A">
                  <w:pPr>
                    <w:pStyle w:val="149"/>
                    <w:rPr>
                      <w:rFonts w:eastAsia="Times New Roman"/>
                    </w:rPr>
                  </w:pPr>
                  <w:r>
                    <w:rPr>
                      <w:rFonts w:eastAsia="Times New Roman"/>
                    </w:rPr>
                    <w:t>0</w:t>
                  </w:r>
                </w:p>
              </w:tc>
              <w:tc>
                <w:tcPr>
                  <w:tcW w:w="317" w:type="pct"/>
                  <w:vAlign w:val="center"/>
                </w:tcPr>
                <w:p w14:paraId="77DEE898">
                  <w:pPr>
                    <w:pStyle w:val="149"/>
                    <w:rPr>
                      <w:rFonts w:eastAsia="Times New Roman"/>
                    </w:rPr>
                  </w:pPr>
                  <w:r>
                    <w:rPr>
                      <w:rFonts w:eastAsia="Times New Roman"/>
                    </w:rPr>
                    <w:t>0</w:t>
                  </w:r>
                </w:p>
              </w:tc>
              <w:tc>
                <w:tcPr>
                  <w:tcW w:w="273" w:type="pct"/>
                  <w:vAlign w:val="center"/>
                </w:tcPr>
                <w:p w14:paraId="5F750819">
                  <w:pPr>
                    <w:pStyle w:val="149"/>
                    <w:rPr>
                      <w:rFonts w:eastAsia="Times New Roman"/>
                    </w:rPr>
                  </w:pPr>
                  <w:r>
                    <w:rPr>
                      <w:rFonts w:eastAsia="Times New Roman"/>
                    </w:rPr>
                    <w:t>/</w:t>
                  </w:r>
                </w:p>
              </w:tc>
              <w:tc>
                <w:tcPr>
                  <w:tcW w:w="352" w:type="pct"/>
                  <w:vAlign w:val="center"/>
                </w:tcPr>
                <w:p w14:paraId="64E109B4">
                  <w:pPr>
                    <w:pStyle w:val="149"/>
                    <w:rPr>
                      <w:rFonts w:eastAsia="Times New Roman"/>
                    </w:rPr>
                  </w:pPr>
                  <w:r>
                    <w:rPr>
                      <w:rFonts w:eastAsia="Times New Roman"/>
                    </w:rPr>
                    <w:t>0</w:t>
                  </w:r>
                </w:p>
              </w:tc>
              <w:tc>
                <w:tcPr>
                  <w:tcW w:w="370" w:type="pct"/>
                  <w:vAlign w:val="center"/>
                </w:tcPr>
                <w:p w14:paraId="6476BC53">
                  <w:pPr>
                    <w:pStyle w:val="149"/>
                    <w:rPr>
                      <w:rFonts w:eastAsia="Times New Roman"/>
                    </w:rPr>
                  </w:pPr>
                  <w:r>
                    <w:rPr>
                      <w:rFonts w:eastAsia="Times New Roman"/>
                    </w:rPr>
                    <w:t>0</w:t>
                  </w:r>
                </w:p>
              </w:tc>
              <w:tc>
                <w:tcPr>
                  <w:tcW w:w="321" w:type="pct"/>
                  <w:vAlign w:val="center"/>
                </w:tcPr>
                <w:p w14:paraId="19DDEB4E">
                  <w:pPr>
                    <w:pStyle w:val="149"/>
                    <w:rPr>
                      <w:rFonts w:eastAsia="Times New Roman"/>
                      <w:b/>
                    </w:rPr>
                  </w:pPr>
                  <w:r>
                    <w:rPr>
                      <w:rFonts w:eastAsia="Times New Roman"/>
                      <w:b/>
                    </w:rPr>
                    <w:t>0.23</w:t>
                  </w:r>
                </w:p>
              </w:tc>
              <w:tc>
                <w:tcPr>
                  <w:tcW w:w="383" w:type="pct"/>
                  <w:vAlign w:val="center"/>
                </w:tcPr>
                <w:p w14:paraId="5B629C0E">
                  <w:pPr>
                    <w:pStyle w:val="149"/>
                    <w:rPr>
                      <w:rFonts w:eastAsia="Times New Roman"/>
                    </w:rPr>
                  </w:pPr>
                  <w:r>
                    <w:rPr>
                      <w:rFonts w:eastAsia="Times New Roman"/>
                    </w:rPr>
                    <w:t>0</w:t>
                  </w:r>
                </w:p>
              </w:tc>
              <w:tc>
                <w:tcPr>
                  <w:tcW w:w="254" w:type="pct"/>
                  <w:vAlign w:val="center"/>
                </w:tcPr>
                <w:p w14:paraId="3335BB31">
                  <w:pPr>
                    <w:pStyle w:val="149"/>
                    <w:rPr>
                      <w:rFonts w:eastAsia="Times New Roman"/>
                    </w:rPr>
                  </w:pPr>
                  <w:r>
                    <w:rPr>
                      <w:rFonts w:eastAsia="Times New Roman"/>
                    </w:rPr>
                    <w:t>/</w:t>
                  </w:r>
                </w:p>
              </w:tc>
              <w:tc>
                <w:tcPr>
                  <w:tcW w:w="254" w:type="pct"/>
                  <w:vAlign w:val="center"/>
                </w:tcPr>
                <w:p w14:paraId="4EC650E0">
                  <w:pPr>
                    <w:pStyle w:val="149"/>
                    <w:rPr>
                      <w:rFonts w:eastAsia="Times New Roman"/>
                    </w:rPr>
                  </w:pPr>
                  <w:r>
                    <w:rPr>
                      <w:rFonts w:eastAsia="Times New Roman"/>
                    </w:rPr>
                    <w:t>0</w:t>
                  </w:r>
                </w:p>
              </w:tc>
              <w:tc>
                <w:tcPr>
                  <w:tcW w:w="254" w:type="pct"/>
                  <w:vAlign w:val="center"/>
                </w:tcPr>
                <w:p w14:paraId="088CD42A">
                  <w:pPr>
                    <w:pStyle w:val="149"/>
                    <w:rPr>
                      <w:rFonts w:eastAsia="Times New Roman"/>
                    </w:rPr>
                  </w:pPr>
                  <w:r>
                    <w:rPr>
                      <w:rFonts w:eastAsia="Times New Roman"/>
                    </w:rPr>
                    <w:t>0</w:t>
                  </w:r>
                </w:p>
              </w:tc>
              <w:tc>
                <w:tcPr>
                  <w:tcW w:w="342" w:type="pct"/>
                  <w:vAlign w:val="center"/>
                </w:tcPr>
                <w:p w14:paraId="6380D6ED">
                  <w:pPr>
                    <w:pStyle w:val="149"/>
                    <w:rPr>
                      <w:rFonts w:eastAsia="Times New Roman"/>
                    </w:rPr>
                  </w:pPr>
                  <w:r>
                    <w:rPr>
                      <w:rFonts w:eastAsia="Times New Roman"/>
                    </w:rPr>
                    <w:t>0</w:t>
                  </w:r>
                </w:p>
              </w:tc>
              <w:tc>
                <w:tcPr>
                  <w:tcW w:w="452" w:type="pct"/>
                  <w:vAlign w:val="center"/>
                </w:tcPr>
                <w:p w14:paraId="5D1D6BEA">
                  <w:pPr>
                    <w:pStyle w:val="149"/>
                    <w:rPr>
                      <w:rFonts w:eastAsia="Times New Roman"/>
                    </w:rPr>
                  </w:pPr>
                  <w:r>
                    <w:rPr>
                      <w:rFonts w:eastAsia="Times New Roman"/>
                    </w:rPr>
                    <w:t>0</w:t>
                  </w:r>
                </w:p>
              </w:tc>
            </w:tr>
            <w:tr w14:paraId="75981E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3" w:hRule="atLeast"/>
              </w:trPr>
              <w:tc>
                <w:tcPr>
                  <w:tcW w:w="236" w:type="pct"/>
                  <w:vMerge w:val="continue"/>
                  <w:vAlign w:val="center"/>
                </w:tcPr>
                <w:p w14:paraId="091E499C">
                  <w:pPr>
                    <w:pStyle w:val="149"/>
                    <w:rPr>
                      <w:rFonts w:eastAsia="Times New Roman"/>
                    </w:rPr>
                  </w:pPr>
                </w:p>
              </w:tc>
              <w:tc>
                <w:tcPr>
                  <w:tcW w:w="608" w:type="pct"/>
                  <w:vAlign w:val="center"/>
                </w:tcPr>
                <w:p w14:paraId="1CAE3BE7">
                  <w:pPr>
                    <w:pStyle w:val="149"/>
                    <w:rPr>
                      <w:rFonts w:eastAsia="Times New Roman"/>
                    </w:rPr>
                  </w:pPr>
                  <w:r>
                    <w:rPr>
                      <w:rFonts w:hint="eastAsia" w:ascii="宋体" w:hAnsi="宋体" w:eastAsia="宋体" w:cs="宋体"/>
                    </w:rPr>
                    <w:t>达标情况</w:t>
                  </w:r>
                </w:p>
              </w:tc>
              <w:tc>
                <w:tcPr>
                  <w:tcW w:w="293" w:type="pct"/>
                  <w:vAlign w:val="center"/>
                </w:tcPr>
                <w:p w14:paraId="3D5D6874">
                  <w:pPr>
                    <w:pStyle w:val="149"/>
                    <w:rPr>
                      <w:rFonts w:eastAsia="Times New Roman"/>
                    </w:rPr>
                  </w:pPr>
                  <w:r>
                    <w:rPr>
                      <w:rFonts w:hint="eastAsia" w:ascii="宋体" w:hAnsi="宋体" w:eastAsia="宋体" w:cs="宋体"/>
                    </w:rPr>
                    <w:t>达标</w:t>
                  </w:r>
                </w:p>
              </w:tc>
              <w:tc>
                <w:tcPr>
                  <w:tcW w:w="289" w:type="pct"/>
                  <w:vAlign w:val="center"/>
                </w:tcPr>
                <w:p w14:paraId="54299183">
                  <w:pPr>
                    <w:pStyle w:val="149"/>
                    <w:rPr>
                      <w:rFonts w:eastAsia="Times New Roman"/>
                    </w:rPr>
                  </w:pPr>
                  <w:r>
                    <w:rPr>
                      <w:rFonts w:hint="eastAsia" w:ascii="宋体" w:hAnsi="宋体" w:eastAsia="宋体" w:cs="宋体"/>
                    </w:rPr>
                    <w:t>达标</w:t>
                  </w:r>
                </w:p>
              </w:tc>
              <w:tc>
                <w:tcPr>
                  <w:tcW w:w="317" w:type="pct"/>
                  <w:vAlign w:val="center"/>
                </w:tcPr>
                <w:p w14:paraId="7F8AC0AC">
                  <w:pPr>
                    <w:pStyle w:val="149"/>
                    <w:rPr>
                      <w:rFonts w:eastAsia="Times New Roman"/>
                    </w:rPr>
                  </w:pPr>
                  <w:r>
                    <w:rPr>
                      <w:rFonts w:hint="eastAsia" w:ascii="宋体" w:hAnsi="宋体" w:eastAsia="宋体" w:cs="宋体"/>
                    </w:rPr>
                    <w:t>达标</w:t>
                  </w:r>
                </w:p>
              </w:tc>
              <w:tc>
                <w:tcPr>
                  <w:tcW w:w="273" w:type="pct"/>
                  <w:vAlign w:val="center"/>
                </w:tcPr>
                <w:p w14:paraId="14906803">
                  <w:pPr>
                    <w:pStyle w:val="149"/>
                    <w:rPr>
                      <w:rFonts w:eastAsia="Times New Roman"/>
                    </w:rPr>
                  </w:pPr>
                  <w:r>
                    <w:rPr>
                      <w:rFonts w:hint="eastAsia" w:ascii="宋体" w:hAnsi="宋体" w:eastAsia="宋体" w:cs="宋体"/>
                    </w:rPr>
                    <w:t>达标</w:t>
                  </w:r>
                </w:p>
              </w:tc>
              <w:tc>
                <w:tcPr>
                  <w:tcW w:w="352" w:type="pct"/>
                  <w:vAlign w:val="center"/>
                </w:tcPr>
                <w:p w14:paraId="3A9C54E7">
                  <w:pPr>
                    <w:pStyle w:val="149"/>
                    <w:rPr>
                      <w:rFonts w:eastAsia="Times New Roman"/>
                    </w:rPr>
                  </w:pPr>
                  <w:r>
                    <w:rPr>
                      <w:rFonts w:hint="eastAsia" w:ascii="宋体" w:hAnsi="宋体" w:eastAsia="宋体" w:cs="宋体"/>
                    </w:rPr>
                    <w:t>达标</w:t>
                  </w:r>
                </w:p>
              </w:tc>
              <w:tc>
                <w:tcPr>
                  <w:tcW w:w="370" w:type="pct"/>
                  <w:vAlign w:val="center"/>
                </w:tcPr>
                <w:p w14:paraId="52BCEDE0">
                  <w:pPr>
                    <w:pStyle w:val="149"/>
                    <w:rPr>
                      <w:rFonts w:eastAsia="Times New Roman"/>
                    </w:rPr>
                  </w:pPr>
                  <w:r>
                    <w:rPr>
                      <w:rFonts w:hint="eastAsia" w:ascii="宋体" w:hAnsi="宋体" w:eastAsia="宋体" w:cs="宋体"/>
                    </w:rPr>
                    <w:t>达标</w:t>
                  </w:r>
                </w:p>
              </w:tc>
              <w:tc>
                <w:tcPr>
                  <w:tcW w:w="321" w:type="pct"/>
                  <w:vAlign w:val="center"/>
                </w:tcPr>
                <w:p w14:paraId="29EA2DF7">
                  <w:pPr>
                    <w:pStyle w:val="149"/>
                    <w:rPr>
                      <w:rFonts w:eastAsia="Times New Roman"/>
                      <w:b/>
                    </w:rPr>
                  </w:pPr>
                  <w:r>
                    <w:rPr>
                      <w:rFonts w:hint="eastAsia" w:ascii="宋体" w:hAnsi="宋体" w:eastAsia="宋体" w:cs="宋体"/>
                      <w:b/>
                    </w:rPr>
                    <w:t>不达标</w:t>
                  </w:r>
                </w:p>
              </w:tc>
              <w:tc>
                <w:tcPr>
                  <w:tcW w:w="383" w:type="pct"/>
                  <w:vAlign w:val="center"/>
                </w:tcPr>
                <w:p w14:paraId="7590FA28">
                  <w:pPr>
                    <w:pStyle w:val="149"/>
                    <w:rPr>
                      <w:rFonts w:eastAsia="Times New Roman"/>
                    </w:rPr>
                  </w:pPr>
                  <w:r>
                    <w:rPr>
                      <w:rFonts w:hint="eastAsia" w:ascii="宋体" w:hAnsi="宋体" w:eastAsia="宋体" w:cs="宋体"/>
                    </w:rPr>
                    <w:t>达标</w:t>
                  </w:r>
                </w:p>
              </w:tc>
              <w:tc>
                <w:tcPr>
                  <w:tcW w:w="254" w:type="pct"/>
                  <w:vAlign w:val="center"/>
                </w:tcPr>
                <w:p w14:paraId="7BF468D2">
                  <w:pPr>
                    <w:pStyle w:val="149"/>
                    <w:rPr>
                      <w:rFonts w:eastAsia="Times New Roman"/>
                    </w:rPr>
                  </w:pPr>
                  <w:r>
                    <w:rPr>
                      <w:rFonts w:hint="eastAsia" w:ascii="宋体" w:hAnsi="宋体" w:eastAsia="宋体" w:cs="宋体"/>
                    </w:rPr>
                    <w:t>达标</w:t>
                  </w:r>
                </w:p>
              </w:tc>
              <w:tc>
                <w:tcPr>
                  <w:tcW w:w="254" w:type="pct"/>
                  <w:vAlign w:val="center"/>
                </w:tcPr>
                <w:p w14:paraId="121BE92B">
                  <w:pPr>
                    <w:pStyle w:val="149"/>
                    <w:rPr>
                      <w:rFonts w:eastAsia="Times New Roman"/>
                    </w:rPr>
                  </w:pPr>
                  <w:r>
                    <w:rPr>
                      <w:rFonts w:hint="eastAsia" w:ascii="宋体" w:hAnsi="宋体" w:eastAsia="宋体" w:cs="宋体"/>
                    </w:rPr>
                    <w:t>达标</w:t>
                  </w:r>
                </w:p>
              </w:tc>
              <w:tc>
                <w:tcPr>
                  <w:tcW w:w="254" w:type="pct"/>
                  <w:vAlign w:val="center"/>
                </w:tcPr>
                <w:p w14:paraId="22AEED44">
                  <w:pPr>
                    <w:pStyle w:val="149"/>
                    <w:rPr>
                      <w:rFonts w:eastAsia="Times New Roman"/>
                    </w:rPr>
                  </w:pPr>
                  <w:r>
                    <w:rPr>
                      <w:rFonts w:hint="eastAsia" w:ascii="宋体" w:hAnsi="宋体" w:eastAsia="宋体" w:cs="宋体"/>
                    </w:rPr>
                    <w:t>达标</w:t>
                  </w:r>
                </w:p>
              </w:tc>
              <w:tc>
                <w:tcPr>
                  <w:tcW w:w="342" w:type="pct"/>
                  <w:vAlign w:val="center"/>
                </w:tcPr>
                <w:p w14:paraId="597AADE6">
                  <w:pPr>
                    <w:pStyle w:val="149"/>
                    <w:rPr>
                      <w:rFonts w:eastAsia="Times New Roman"/>
                    </w:rPr>
                  </w:pPr>
                  <w:r>
                    <w:rPr>
                      <w:rFonts w:hint="eastAsia" w:ascii="宋体" w:hAnsi="宋体" w:eastAsia="宋体" w:cs="宋体"/>
                    </w:rPr>
                    <w:t>达标</w:t>
                  </w:r>
                </w:p>
              </w:tc>
              <w:tc>
                <w:tcPr>
                  <w:tcW w:w="452" w:type="pct"/>
                  <w:vAlign w:val="center"/>
                </w:tcPr>
                <w:p w14:paraId="027636B8">
                  <w:pPr>
                    <w:pStyle w:val="149"/>
                    <w:rPr>
                      <w:rFonts w:eastAsia="Times New Roman"/>
                    </w:rPr>
                  </w:pPr>
                  <w:r>
                    <w:rPr>
                      <w:rFonts w:hint="eastAsia" w:ascii="宋体" w:hAnsi="宋体" w:eastAsia="宋体" w:cs="宋体"/>
                    </w:rPr>
                    <w:t>达标</w:t>
                  </w:r>
                </w:p>
              </w:tc>
            </w:tr>
            <w:tr w14:paraId="33469D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3" w:hRule="atLeast"/>
              </w:trPr>
              <w:tc>
                <w:tcPr>
                  <w:tcW w:w="236" w:type="pct"/>
                  <w:vMerge w:val="restart"/>
                  <w:vAlign w:val="center"/>
                </w:tcPr>
                <w:p w14:paraId="29EC608D">
                  <w:pPr>
                    <w:pStyle w:val="149"/>
                    <w:rPr>
                      <w:rFonts w:eastAsia="Times New Roman"/>
                    </w:rPr>
                  </w:pPr>
                  <w:r>
                    <w:rPr>
                      <w:rFonts w:eastAsia="Times New Roman"/>
                    </w:rPr>
                    <w:t>W9</w:t>
                  </w:r>
                </w:p>
              </w:tc>
              <w:tc>
                <w:tcPr>
                  <w:tcW w:w="608" w:type="pct"/>
                  <w:vAlign w:val="center"/>
                </w:tcPr>
                <w:p w14:paraId="6569E8CB">
                  <w:pPr>
                    <w:pStyle w:val="149"/>
                    <w:rPr>
                      <w:rFonts w:eastAsia="Times New Roman"/>
                    </w:rPr>
                  </w:pPr>
                  <w:r>
                    <w:rPr>
                      <w:rFonts w:eastAsia="Times New Roman"/>
                    </w:rPr>
                    <w:t>2023.11.20</w:t>
                  </w:r>
                </w:p>
              </w:tc>
              <w:tc>
                <w:tcPr>
                  <w:tcW w:w="293" w:type="pct"/>
                  <w:vAlign w:val="center"/>
                </w:tcPr>
                <w:p w14:paraId="71788A85">
                  <w:pPr>
                    <w:pStyle w:val="149"/>
                    <w:rPr>
                      <w:rFonts w:eastAsia="Times New Roman"/>
                    </w:rPr>
                  </w:pPr>
                  <w:r>
                    <w:rPr>
                      <w:rFonts w:eastAsia="Times New Roman"/>
                    </w:rPr>
                    <w:t>16.2</w:t>
                  </w:r>
                </w:p>
              </w:tc>
              <w:tc>
                <w:tcPr>
                  <w:tcW w:w="289" w:type="pct"/>
                  <w:vAlign w:val="center"/>
                </w:tcPr>
                <w:p w14:paraId="102E8AAA">
                  <w:pPr>
                    <w:pStyle w:val="149"/>
                    <w:rPr>
                      <w:rFonts w:eastAsia="Times New Roman"/>
                    </w:rPr>
                  </w:pPr>
                  <w:r>
                    <w:rPr>
                      <w:rFonts w:eastAsia="Times New Roman"/>
                    </w:rPr>
                    <w:t>6.7</w:t>
                  </w:r>
                </w:p>
              </w:tc>
              <w:tc>
                <w:tcPr>
                  <w:tcW w:w="317" w:type="pct"/>
                  <w:vAlign w:val="center"/>
                </w:tcPr>
                <w:p w14:paraId="19E10606">
                  <w:pPr>
                    <w:pStyle w:val="149"/>
                    <w:rPr>
                      <w:rFonts w:eastAsia="Times New Roman"/>
                    </w:rPr>
                  </w:pPr>
                  <w:r>
                    <w:rPr>
                      <w:rFonts w:eastAsia="Times New Roman"/>
                    </w:rPr>
                    <w:t>5.8</w:t>
                  </w:r>
                </w:p>
              </w:tc>
              <w:tc>
                <w:tcPr>
                  <w:tcW w:w="273" w:type="pct"/>
                  <w:vAlign w:val="center"/>
                </w:tcPr>
                <w:p w14:paraId="3E874F13">
                  <w:pPr>
                    <w:pStyle w:val="149"/>
                    <w:rPr>
                      <w:rFonts w:eastAsia="Times New Roman"/>
                    </w:rPr>
                  </w:pPr>
                  <w:r>
                    <w:rPr>
                      <w:rFonts w:eastAsia="Times New Roman"/>
                    </w:rPr>
                    <w:t>21</w:t>
                  </w:r>
                </w:p>
              </w:tc>
              <w:tc>
                <w:tcPr>
                  <w:tcW w:w="352" w:type="pct"/>
                  <w:vAlign w:val="center"/>
                </w:tcPr>
                <w:p w14:paraId="0F8CBA99">
                  <w:pPr>
                    <w:pStyle w:val="149"/>
                    <w:rPr>
                      <w:rFonts w:eastAsia="Times New Roman"/>
                    </w:rPr>
                  </w:pPr>
                  <w:r>
                    <w:rPr>
                      <w:rFonts w:eastAsia="Times New Roman"/>
                    </w:rPr>
                    <w:t>20</w:t>
                  </w:r>
                </w:p>
              </w:tc>
              <w:tc>
                <w:tcPr>
                  <w:tcW w:w="370" w:type="pct"/>
                  <w:vAlign w:val="center"/>
                </w:tcPr>
                <w:p w14:paraId="7C05354B">
                  <w:pPr>
                    <w:pStyle w:val="149"/>
                    <w:rPr>
                      <w:rFonts w:eastAsia="Times New Roman"/>
                    </w:rPr>
                  </w:pPr>
                  <w:r>
                    <w:rPr>
                      <w:rFonts w:eastAsia="Times New Roman"/>
                    </w:rPr>
                    <w:t>4.1</w:t>
                  </w:r>
                </w:p>
              </w:tc>
              <w:tc>
                <w:tcPr>
                  <w:tcW w:w="321" w:type="pct"/>
                  <w:vAlign w:val="center"/>
                </w:tcPr>
                <w:p w14:paraId="093976AC">
                  <w:pPr>
                    <w:pStyle w:val="149"/>
                    <w:rPr>
                      <w:rFonts w:eastAsia="Times New Roman"/>
                    </w:rPr>
                  </w:pPr>
                  <w:r>
                    <w:rPr>
                      <w:rFonts w:eastAsia="Times New Roman"/>
                    </w:rPr>
                    <w:t>4.59</w:t>
                  </w:r>
                </w:p>
              </w:tc>
              <w:tc>
                <w:tcPr>
                  <w:tcW w:w="383" w:type="pct"/>
                  <w:vAlign w:val="center"/>
                </w:tcPr>
                <w:p w14:paraId="72F329C3">
                  <w:pPr>
                    <w:pStyle w:val="149"/>
                    <w:rPr>
                      <w:rFonts w:eastAsia="Times New Roman"/>
                    </w:rPr>
                  </w:pPr>
                  <w:r>
                    <w:rPr>
                      <w:rFonts w:eastAsia="Times New Roman"/>
                    </w:rPr>
                    <w:t>0.35</w:t>
                  </w:r>
                </w:p>
              </w:tc>
              <w:tc>
                <w:tcPr>
                  <w:tcW w:w="254" w:type="pct"/>
                  <w:vAlign w:val="center"/>
                </w:tcPr>
                <w:p w14:paraId="1A9F3425">
                  <w:pPr>
                    <w:pStyle w:val="149"/>
                    <w:rPr>
                      <w:rFonts w:eastAsia="Times New Roman"/>
                    </w:rPr>
                  </w:pPr>
                  <w:r>
                    <w:rPr>
                      <w:rFonts w:eastAsia="Times New Roman"/>
                    </w:rPr>
                    <w:t>8.30</w:t>
                  </w:r>
                </w:p>
              </w:tc>
              <w:tc>
                <w:tcPr>
                  <w:tcW w:w="254" w:type="pct"/>
                  <w:vAlign w:val="center"/>
                </w:tcPr>
                <w:p w14:paraId="2A840282">
                  <w:pPr>
                    <w:pStyle w:val="149"/>
                    <w:rPr>
                      <w:rFonts w:eastAsia="Times New Roman"/>
                    </w:rPr>
                  </w:pPr>
                  <w:r>
                    <w:rPr>
                      <w:rFonts w:eastAsia="Times New Roman"/>
                    </w:rPr>
                    <w:t>0.28</w:t>
                  </w:r>
                </w:p>
              </w:tc>
              <w:tc>
                <w:tcPr>
                  <w:tcW w:w="254" w:type="pct"/>
                  <w:vAlign w:val="center"/>
                </w:tcPr>
                <w:p w14:paraId="289ABC36">
                  <w:pPr>
                    <w:pStyle w:val="149"/>
                    <w:rPr>
                      <w:rFonts w:eastAsia="Times New Roman"/>
                    </w:rPr>
                  </w:pPr>
                  <w:r>
                    <w:rPr>
                      <w:rFonts w:eastAsia="Times New Roman"/>
                    </w:rPr>
                    <w:t>ND</w:t>
                  </w:r>
                </w:p>
              </w:tc>
              <w:tc>
                <w:tcPr>
                  <w:tcW w:w="342" w:type="pct"/>
                  <w:vAlign w:val="center"/>
                </w:tcPr>
                <w:p w14:paraId="19B52A8D">
                  <w:pPr>
                    <w:pStyle w:val="149"/>
                    <w:rPr>
                      <w:rFonts w:eastAsia="Times New Roman"/>
                    </w:rPr>
                  </w:pPr>
                  <w:r>
                    <w:rPr>
                      <w:rFonts w:eastAsia="Times New Roman"/>
                    </w:rPr>
                    <w:t>0.24</w:t>
                  </w:r>
                </w:p>
              </w:tc>
              <w:tc>
                <w:tcPr>
                  <w:tcW w:w="452" w:type="pct"/>
                  <w:vAlign w:val="center"/>
                </w:tcPr>
                <w:p w14:paraId="025C0CD6">
                  <w:pPr>
                    <w:pStyle w:val="149"/>
                    <w:rPr>
                      <w:rFonts w:eastAsia="Times New Roman"/>
                    </w:rPr>
                  </w:pPr>
                  <w:r>
                    <w:rPr>
                      <w:rFonts w:eastAsia="Times New Roman"/>
                    </w:rPr>
                    <w:t>8.2×10</w:t>
                  </w:r>
                  <w:r>
                    <w:rPr>
                      <w:rFonts w:eastAsia="Times New Roman"/>
                      <w:b/>
                      <w:vertAlign w:val="superscript"/>
                    </w:rPr>
                    <w:t>4</w:t>
                  </w:r>
                </w:p>
              </w:tc>
            </w:tr>
            <w:tr w14:paraId="2900D1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3" w:hRule="atLeast"/>
              </w:trPr>
              <w:tc>
                <w:tcPr>
                  <w:tcW w:w="236" w:type="pct"/>
                  <w:vMerge w:val="continue"/>
                  <w:vAlign w:val="center"/>
                </w:tcPr>
                <w:p w14:paraId="6F4B451B">
                  <w:pPr>
                    <w:pStyle w:val="149"/>
                    <w:rPr>
                      <w:rFonts w:eastAsia="Times New Roman"/>
                    </w:rPr>
                  </w:pPr>
                </w:p>
              </w:tc>
              <w:tc>
                <w:tcPr>
                  <w:tcW w:w="608" w:type="pct"/>
                  <w:vAlign w:val="center"/>
                </w:tcPr>
                <w:p w14:paraId="3640318F">
                  <w:pPr>
                    <w:pStyle w:val="149"/>
                    <w:rPr>
                      <w:rFonts w:eastAsia="Times New Roman"/>
                    </w:rPr>
                  </w:pPr>
                  <w:r>
                    <w:rPr>
                      <w:rFonts w:eastAsia="Times New Roman"/>
                    </w:rPr>
                    <w:t>2023.11.21</w:t>
                  </w:r>
                </w:p>
              </w:tc>
              <w:tc>
                <w:tcPr>
                  <w:tcW w:w="293" w:type="pct"/>
                  <w:vAlign w:val="center"/>
                </w:tcPr>
                <w:p w14:paraId="430BF876">
                  <w:pPr>
                    <w:pStyle w:val="149"/>
                    <w:rPr>
                      <w:rFonts w:eastAsia="Times New Roman"/>
                    </w:rPr>
                  </w:pPr>
                  <w:r>
                    <w:rPr>
                      <w:rFonts w:eastAsia="Times New Roman"/>
                    </w:rPr>
                    <w:t>14.2</w:t>
                  </w:r>
                </w:p>
              </w:tc>
              <w:tc>
                <w:tcPr>
                  <w:tcW w:w="289" w:type="pct"/>
                  <w:vAlign w:val="center"/>
                </w:tcPr>
                <w:p w14:paraId="20BB9F00">
                  <w:pPr>
                    <w:pStyle w:val="149"/>
                    <w:rPr>
                      <w:rFonts w:eastAsia="Times New Roman"/>
                    </w:rPr>
                  </w:pPr>
                  <w:r>
                    <w:rPr>
                      <w:rFonts w:eastAsia="Times New Roman"/>
                    </w:rPr>
                    <w:t>6.8</w:t>
                  </w:r>
                </w:p>
              </w:tc>
              <w:tc>
                <w:tcPr>
                  <w:tcW w:w="317" w:type="pct"/>
                  <w:vAlign w:val="center"/>
                </w:tcPr>
                <w:p w14:paraId="53BE9C62">
                  <w:pPr>
                    <w:pStyle w:val="149"/>
                    <w:rPr>
                      <w:rFonts w:eastAsia="Times New Roman"/>
                    </w:rPr>
                  </w:pPr>
                  <w:r>
                    <w:rPr>
                      <w:rFonts w:eastAsia="Times New Roman"/>
                    </w:rPr>
                    <w:t>5.9</w:t>
                  </w:r>
                </w:p>
              </w:tc>
              <w:tc>
                <w:tcPr>
                  <w:tcW w:w="273" w:type="pct"/>
                  <w:vAlign w:val="center"/>
                </w:tcPr>
                <w:p w14:paraId="35681D5A">
                  <w:pPr>
                    <w:pStyle w:val="149"/>
                    <w:rPr>
                      <w:rFonts w:eastAsia="Times New Roman"/>
                    </w:rPr>
                  </w:pPr>
                  <w:r>
                    <w:rPr>
                      <w:rFonts w:eastAsia="Times New Roman"/>
                    </w:rPr>
                    <w:t>15</w:t>
                  </w:r>
                </w:p>
              </w:tc>
              <w:tc>
                <w:tcPr>
                  <w:tcW w:w="352" w:type="pct"/>
                  <w:vAlign w:val="center"/>
                </w:tcPr>
                <w:p w14:paraId="485463FF">
                  <w:pPr>
                    <w:pStyle w:val="149"/>
                    <w:rPr>
                      <w:rFonts w:eastAsia="Times New Roman"/>
                    </w:rPr>
                  </w:pPr>
                  <w:r>
                    <w:rPr>
                      <w:rFonts w:eastAsia="Times New Roman"/>
                    </w:rPr>
                    <w:t>17</w:t>
                  </w:r>
                </w:p>
              </w:tc>
              <w:tc>
                <w:tcPr>
                  <w:tcW w:w="370" w:type="pct"/>
                  <w:vAlign w:val="center"/>
                </w:tcPr>
                <w:p w14:paraId="5C964162">
                  <w:pPr>
                    <w:pStyle w:val="149"/>
                    <w:rPr>
                      <w:rFonts w:eastAsia="Times New Roman"/>
                    </w:rPr>
                  </w:pPr>
                  <w:r>
                    <w:rPr>
                      <w:rFonts w:eastAsia="Times New Roman"/>
                    </w:rPr>
                    <w:t>3.5</w:t>
                  </w:r>
                </w:p>
              </w:tc>
              <w:tc>
                <w:tcPr>
                  <w:tcW w:w="321" w:type="pct"/>
                  <w:vAlign w:val="center"/>
                </w:tcPr>
                <w:p w14:paraId="00C4A15A">
                  <w:pPr>
                    <w:pStyle w:val="149"/>
                    <w:rPr>
                      <w:rFonts w:eastAsia="Times New Roman"/>
                    </w:rPr>
                  </w:pPr>
                  <w:r>
                    <w:rPr>
                      <w:rFonts w:eastAsia="Times New Roman"/>
                    </w:rPr>
                    <w:t>5.26</w:t>
                  </w:r>
                </w:p>
              </w:tc>
              <w:tc>
                <w:tcPr>
                  <w:tcW w:w="383" w:type="pct"/>
                  <w:vAlign w:val="center"/>
                </w:tcPr>
                <w:p w14:paraId="4290298E">
                  <w:pPr>
                    <w:pStyle w:val="149"/>
                    <w:rPr>
                      <w:rFonts w:eastAsia="Times New Roman"/>
                    </w:rPr>
                  </w:pPr>
                  <w:r>
                    <w:rPr>
                      <w:rFonts w:eastAsia="Times New Roman"/>
                    </w:rPr>
                    <w:t>0.28</w:t>
                  </w:r>
                </w:p>
              </w:tc>
              <w:tc>
                <w:tcPr>
                  <w:tcW w:w="254" w:type="pct"/>
                  <w:vAlign w:val="center"/>
                </w:tcPr>
                <w:p w14:paraId="04AA3380">
                  <w:pPr>
                    <w:pStyle w:val="149"/>
                    <w:rPr>
                      <w:rFonts w:eastAsia="Times New Roman"/>
                    </w:rPr>
                  </w:pPr>
                  <w:r>
                    <w:rPr>
                      <w:rFonts w:eastAsia="Times New Roman"/>
                    </w:rPr>
                    <w:t>6.92</w:t>
                  </w:r>
                </w:p>
              </w:tc>
              <w:tc>
                <w:tcPr>
                  <w:tcW w:w="254" w:type="pct"/>
                  <w:vAlign w:val="center"/>
                </w:tcPr>
                <w:p w14:paraId="78AC4797">
                  <w:pPr>
                    <w:pStyle w:val="149"/>
                    <w:rPr>
                      <w:rFonts w:eastAsia="Times New Roman"/>
                    </w:rPr>
                  </w:pPr>
                  <w:r>
                    <w:rPr>
                      <w:rFonts w:eastAsia="Times New Roman"/>
                    </w:rPr>
                    <w:t>0.25</w:t>
                  </w:r>
                </w:p>
              </w:tc>
              <w:tc>
                <w:tcPr>
                  <w:tcW w:w="254" w:type="pct"/>
                  <w:vAlign w:val="center"/>
                </w:tcPr>
                <w:p w14:paraId="4D780C64">
                  <w:pPr>
                    <w:pStyle w:val="149"/>
                    <w:rPr>
                      <w:rFonts w:eastAsia="Times New Roman"/>
                    </w:rPr>
                  </w:pPr>
                  <w:r>
                    <w:rPr>
                      <w:rFonts w:eastAsia="Times New Roman"/>
                    </w:rPr>
                    <w:t>ND</w:t>
                  </w:r>
                </w:p>
              </w:tc>
              <w:tc>
                <w:tcPr>
                  <w:tcW w:w="342" w:type="pct"/>
                  <w:vAlign w:val="center"/>
                </w:tcPr>
                <w:p w14:paraId="2C9C2012">
                  <w:pPr>
                    <w:pStyle w:val="149"/>
                    <w:rPr>
                      <w:rFonts w:eastAsia="Times New Roman"/>
                    </w:rPr>
                  </w:pPr>
                  <w:r>
                    <w:rPr>
                      <w:rFonts w:eastAsia="Times New Roman"/>
                    </w:rPr>
                    <w:t>0.14</w:t>
                  </w:r>
                </w:p>
              </w:tc>
              <w:tc>
                <w:tcPr>
                  <w:tcW w:w="452" w:type="pct"/>
                  <w:vAlign w:val="center"/>
                </w:tcPr>
                <w:p w14:paraId="06205056">
                  <w:pPr>
                    <w:pStyle w:val="149"/>
                    <w:rPr>
                      <w:rFonts w:eastAsia="Times New Roman"/>
                    </w:rPr>
                  </w:pPr>
                  <w:r>
                    <w:rPr>
                      <w:rFonts w:eastAsia="Times New Roman"/>
                    </w:rPr>
                    <w:t>5.5×10</w:t>
                  </w:r>
                  <w:r>
                    <w:rPr>
                      <w:rFonts w:eastAsia="Times New Roman"/>
                      <w:b/>
                      <w:vertAlign w:val="superscript"/>
                    </w:rPr>
                    <w:t>4</w:t>
                  </w:r>
                </w:p>
              </w:tc>
            </w:tr>
            <w:tr w14:paraId="56B583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3" w:hRule="atLeast"/>
              </w:trPr>
              <w:tc>
                <w:tcPr>
                  <w:tcW w:w="236" w:type="pct"/>
                  <w:vMerge w:val="continue"/>
                  <w:vAlign w:val="center"/>
                </w:tcPr>
                <w:p w14:paraId="3D7285E5">
                  <w:pPr>
                    <w:pStyle w:val="149"/>
                    <w:rPr>
                      <w:rFonts w:eastAsia="Times New Roman"/>
                    </w:rPr>
                  </w:pPr>
                </w:p>
              </w:tc>
              <w:tc>
                <w:tcPr>
                  <w:tcW w:w="608" w:type="pct"/>
                  <w:vAlign w:val="center"/>
                </w:tcPr>
                <w:p w14:paraId="4D681595">
                  <w:pPr>
                    <w:pStyle w:val="149"/>
                    <w:rPr>
                      <w:rFonts w:eastAsia="Times New Roman"/>
                    </w:rPr>
                  </w:pPr>
                  <w:r>
                    <w:rPr>
                      <w:rFonts w:eastAsia="Times New Roman"/>
                    </w:rPr>
                    <w:t>2023.11.22</w:t>
                  </w:r>
                </w:p>
              </w:tc>
              <w:tc>
                <w:tcPr>
                  <w:tcW w:w="293" w:type="pct"/>
                  <w:vAlign w:val="center"/>
                </w:tcPr>
                <w:p w14:paraId="6C168F3E">
                  <w:pPr>
                    <w:pStyle w:val="149"/>
                    <w:rPr>
                      <w:rFonts w:eastAsia="Times New Roman"/>
                    </w:rPr>
                  </w:pPr>
                  <w:r>
                    <w:rPr>
                      <w:rFonts w:eastAsia="Times New Roman"/>
                    </w:rPr>
                    <w:t>15.1</w:t>
                  </w:r>
                </w:p>
              </w:tc>
              <w:tc>
                <w:tcPr>
                  <w:tcW w:w="289" w:type="pct"/>
                  <w:vAlign w:val="center"/>
                </w:tcPr>
                <w:p w14:paraId="1A96ACC7">
                  <w:pPr>
                    <w:pStyle w:val="149"/>
                    <w:rPr>
                      <w:rFonts w:eastAsia="Times New Roman"/>
                    </w:rPr>
                  </w:pPr>
                  <w:r>
                    <w:rPr>
                      <w:rFonts w:eastAsia="Times New Roman"/>
                    </w:rPr>
                    <w:t>6.9</w:t>
                  </w:r>
                </w:p>
              </w:tc>
              <w:tc>
                <w:tcPr>
                  <w:tcW w:w="317" w:type="pct"/>
                  <w:vAlign w:val="center"/>
                </w:tcPr>
                <w:p w14:paraId="23E1CC8A">
                  <w:pPr>
                    <w:pStyle w:val="149"/>
                    <w:rPr>
                      <w:rFonts w:eastAsia="Times New Roman"/>
                    </w:rPr>
                  </w:pPr>
                  <w:r>
                    <w:rPr>
                      <w:rFonts w:eastAsia="Times New Roman"/>
                    </w:rPr>
                    <w:t>5.8</w:t>
                  </w:r>
                </w:p>
              </w:tc>
              <w:tc>
                <w:tcPr>
                  <w:tcW w:w="273" w:type="pct"/>
                  <w:vAlign w:val="center"/>
                </w:tcPr>
                <w:p w14:paraId="0B370A3B">
                  <w:pPr>
                    <w:pStyle w:val="149"/>
                    <w:rPr>
                      <w:rFonts w:eastAsia="Times New Roman"/>
                    </w:rPr>
                  </w:pPr>
                  <w:r>
                    <w:rPr>
                      <w:rFonts w:eastAsia="Times New Roman"/>
                    </w:rPr>
                    <w:t>18</w:t>
                  </w:r>
                </w:p>
              </w:tc>
              <w:tc>
                <w:tcPr>
                  <w:tcW w:w="352" w:type="pct"/>
                  <w:vAlign w:val="center"/>
                </w:tcPr>
                <w:p w14:paraId="0AC02A97">
                  <w:pPr>
                    <w:pStyle w:val="149"/>
                    <w:rPr>
                      <w:rFonts w:eastAsia="Times New Roman"/>
                    </w:rPr>
                  </w:pPr>
                  <w:r>
                    <w:rPr>
                      <w:rFonts w:eastAsia="Times New Roman"/>
                    </w:rPr>
                    <w:t>22</w:t>
                  </w:r>
                </w:p>
              </w:tc>
              <w:tc>
                <w:tcPr>
                  <w:tcW w:w="370" w:type="pct"/>
                  <w:vAlign w:val="center"/>
                </w:tcPr>
                <w:p w14:paraId="3AF45777">
                  <w:pPr>
                    <w:pStyle w:val="149"/>
                    <w:rPr>
                      <w:rFonts w:eastAsia="Times New Roman"/>
                    </w:rPr>
                  </w:pPr>
                  <w:r>
                    <w:rPr>
                      <w:rFonts w:eastAsia="Times New Roman"/>
                    </w:rPr>
                    <w:t>3.8</w:t>
                  </w:r>
                </w:p>
              </w:tc>
              <w:tc>
                <w:tcPr>
                  <w:tcW w:w="321" w:type="pct"/>
                  <w:vAlign w:val="center"/>
                </w:tcPr>
                <w:p w14:paraId="7D6FD94A">
                  <w:pPr>
                    <w:pStyle w:val="149"/>
                    <w:rPr>
                      <w:rFonts w:eastAsia="Times New Roman"/>
                    </w:rPr>
                  </w:pPr>
                  <w:r>
                    <w:rPr>
                      <w:rFonts w:eastAsia="Times New Roman"/>
                    </w:rPr>
                    <w:t>4.02</w:t>
                  </w:r>
                </w:p>
              </w:tc>
              <w:tc>
                <w:tcPr>
                  <w:tcW w:w="383" w:type="pct"/>
                  <w:vAlign w:val="center"/>
                </w:tcPr>
                <w:p w14:paraId="4E65DF2C">
                  <w:pPr>
                    <w:pStyle w:val="149"/>
                    <w:rPr>
                      <w:rFonts w:eastAsia="Times New Roman"/>
                    </w:rPr>
                  </w:pPr>
                  <w:r>
                    <w:rPr>
                      <w:rFonts w:eastAsia="Times New Roman"/>
                    </w:rPr>
                    <w:t>0.30</w:t>
                  </w:r>
                </w:p>
              </w:tc>
              <w:tc>
                <w:tcPr>
                  <w:tcW w:w="254" w:type="pct"/>
                  <w:vAlign w:val="center"/>
                </w:tcPr>
                <w:p w14:paraId="7029E85A">
                  <w:pPr>
                    <w:pStyle w:val="149"/>
                    <w:rPr>
                      <w:rFonts w:eastAsia="Times New Roman"/>
                    </w:rPr>
                  </w:pPr>
                  <w:r>
                    <w:rPr>
                      <w:rFonts w:eastAsia="Times New Roman"/>
                    </w:rPr>
                    <w:t>5.22</w:t>
                  </w:r>
                </w:p>
              </w:tc>
              <w:tc>
                <w:tcPr>
                  <w:tcW w:w="254" w:type="pct"/>
                  <w:vAlign w:val="center"/>
                </w:tcPr>
                <w:p w14:paraId="79599F0C">
                  <w:pPr>
                    <w:pStyle w:val="149"/>
                    <w:rPr>
                      <w:rFonts w:eastAsia="Times New Roman"/>
                    </w:rPr>
                  </w:pPr>
                  <w:r>
                    <w:rPr>
                      <w:rFonts w:eastAsia="Times New Roman"/>
                    </w:rPr>
                    <w:t>0.28</w:t>
                  </w:r>
                </w:p>
              </w:tc>
              <w:tc>
                <w:tcPr>
                  <w:tcW w:w="254" w:type="pct"/>
                  <w:vAlign w:val="center"/>
                </w:tcPr>
                <w:p w14:paraId="4B7FFE90">
                  <w:pPr>
                    <w:pStyle w:val="149"/>
                    <w:rPr>
                      <w:rFonts w:eastAsia="Times New Roman"/>
                    </w:rPr>
                  </w:pPr>
                  <w:r>
                    <w:rPr>
                      <w:rFonts w:eastAsia="Times New Roman"/>
                    </w:rPr>
                    <w:t>ND</w:t>
                  </w:r>
                </w:p>
              </w:tc>
              <w:tc>
                <w:tcPr>
                  <w:tcW w:w="342" w:type="pct"/>
                  <w:vAlign w:val="center"/>
                </w:tcPr>
                <w:p w14:paraId="6D88CFC4">
                  <w:pPr>
                    <w:pStyle w:val="149"/>
                    <w:rPr>
                      <w:rFonts w:eastAsia="Times New Roman"/>
                    </w:rPr>
                  </w:pPr>
                  <w:r>
                    <w:rPr>
                      <w:rFonts w:eastAsia="Times New Roman"/>
                    </w:rPr>
                    <w:t>0.20</w:t>
                  </w:r>
                </w:p>
              </w:tc>
              <w:tc>
                <w:tcPr>
                  <w:tcW w:w="452" w:type="pct"/>
                  <w:vAlign w:val="center"/>
                </w:tcPr>
                <w:p w14:paraId="74908818">
                  <w:pPr>
                    <w:pStyle w:val="149"/>
                    <w:rPr>
                      <w:rFonts w:eastAsia="Times New Roman"/>
                    </w:rPr>
                  </w:pPr>
                  <w:r>
                    <w:rPr>
                      <w:rFonts w:eastAsia="Times New Roman"/>
                    </w:rPr>
                    <w:t>6.9×10</w:t>
                  </w:r>
                  <w:r>
                    <w:rPr>
                      <w:rFonts w:eastAsia="Times New Roman"/>
                      <w:b/>
                      <w:vertAlign w:val="superscript"/>
                    </w:rPr>
                    <w:t>4</w:t>
                  </w:r>
                </w:p>
              </w:tc>
            </w:tr>
            <w:tr w14:paraId="776F54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3" w:hRule="atLeast"/>
              </w:trPr>
              <w:tc>
                <w:tcPr>
                  <w:tcW w:w="236" w:type="pct"/>
                  <w:vMerge w:val="continue"/>
                  <w:vAlign w:val="center"/>
                </w:tcPr>
                <w:p w14:paraId="7880597B">
                  <w:pPr>
                    <w:pStyle w:val="149"/>
                    <w:rPr>
                      <w:rFonts w:eastAsia="Times New Roman"/>
                    </w:rPr>
                  </w:pPr>
                </w:p>
              </w:tc>
              <w:tc>
                <w:tcPr>
                  <w:tcW w:w="608" w:type="pct"/>
                  <w:vAlign w:val="center"/>
                </w:tcPr>
                <w:p w14:paraId="6439540F">
                  <w:pPr>
                    <w:pStyle w:val="149"/>
                    <w:rPr>
                      <w:rFonts w:eastAsia="Times New Roman"/>
                    </w:rPr>
                  </w:pPr>
                  <w:r>
                    <w:rPr>
                      <w:rFonts w:hint="eastAsia" w:ascii="宋体" w:hAnsi="宋体" w:eastAsia="宋体" w:cs="宋体"/>
                    </w:rPr>
                    <w:t>平均值</w:t>
                  </w:r>
                </w:p>
              </w:tc>
              <w:tc>
                <w:tcPr>
                  <w:tcW w:w="293" w:type="pct"/>
                  <w:vAlign w:val="center"/>
                </w:tcPr>
                <w:p w14:paraId="0618A351">
                  <w:pPr>
                    <w:pStyle w:val="149"/>
                    <w:rPr>
                      <w:rFonts w:eastAsia="Times New Roman"/>
                    </w:rPr>
                  </w:pPr>
                  <w:r>
                    <w:rPr>
                      <w:rFonts w:eastAsia="Times New Roman"/>
                    </w:rPr>
                    <w:t>15.2</w:t>
                  </w:r>
                </w:p>
              </w:tc>
              <w:tc>
                <w:tcPr>
                  <w:tcW w:w="289" w:type="pct"/>
                  <w:vAlign w:val="center"/>
                </w:tcPr>
                <w:p w14:paraId="70A2377B">
                  <w:pPr>
                    <w:pStyle w:val="149"/>
                    <w:rPr>
                      <w:rFonts w:eastAsia="Times New Roman"/>
                    </w:rPr>
                  </w:pPr>
                  <w:r>
                    <w:rPr>
                      <w:rFonts w:eastAsia="Times New Roman"/>
                    </w:rPr>
                    <w:t>6.8</w:t>
                  </w:r>
                </w:p>
              </w:tc>
              <w:tc>
                <w:tcPr>
                  <w:tcW w:w="317" w:type="pct"/>
                  <w:vAlign w:val="center"/>
                </w:tcPr>
                <w:p w14:paraId="5D9CF3D4">
                  <w:pPr>
                    <w:pStyle w:val="149"/>
                    <w:rPr>
                      <w:rFonts w:eastAsia="Times New Roman"/>
                    </w:rPr>
                  </w:pPr>
                  <w:r>
                    <w:rPr>
                      <w:rFonts w:eastAsia="Times New Roman"/>
                    </w:rPr>
                    <w:t>5.8</w:t>
                  </w:r>
                </w:p>
              </w:tc>
              <w:tc>
                <w:tcPr>
                  <w:tcW w:w="273" w:type="pct"/>
                  <w:vAlign w:val="center"/>
                </w:tcPr>
                <w:p w14:paraId="6AD92FEE">
                  <w:pPr>
                    <w:pStyle w:val="149"/>
                    <w:rPr>
                      <w:rFonts w:eastAsia="Times New Roman"/>
                    </w:rPr>
                  </w:pPr>
                  <w:r>
                    <w:rPr>
                      <w:rFonts w:eastAsia="Times New Roman"/>
                    </w:rPr>
                    <w:t>18</w:t>
                  </w:r>
                </w:p>
              </w:tc>
              <w:tc>
                <w:tcPr>
                  <w:tcW w:w="352" w:type="pct"/>
                  <w:vAlign w:val="center"/>
                </w:tcPr>
                <w:p w14:paraId="2E8C9DD9">
                  <w:pPr>
                    <w:pStyle w:val="149"/>
                    <w:rPr>
                      <w:rFonts w:eastAsia="Times New Roman"/>
                    </w:rPr>
                  </w:pPr>
                  <w:r>
                    <w:rPr>
                      <w:rFonts w:eastAsia="Times New Roman"/>
                    </w:rPr>
                    <w:t>20</w:t>
                  </w:r>
                </w:p>
              </w:tc>
              <w:tc>
                <w:tcPr>
                  <w:tcW w:w="370" w:type="pct"/>
                  <w:vAlign w:val="center"/>
                </w:tcPr>
                <w:p w14:paraId="5C95A653">
                  <w:pPr>
                    <w:pStyle w:val="149"/>
                    <w:rPr>
                      <w:rFonts w:eastAsia="Times New Roman"/>
                    </w:rPr>
                  </w:pPr>
                  <w:r>
                    <w:rPr>
                      <w:rFonts w:eastAsia="Times New Roman"/>
                    </w:rPr>
                    <w:t>3.8</w:t>
                  </w:r>
                </w:p>
              </w:tc>
              <w:tc>
                <w:tcPr>
                  <w:tcW w:w="321" w:type="pct"/>
                  <w:vAlign w:val="center"/>
                </w:tcPr>
                <w:p w14:paraId="2B062C59">
                  <w:pPr>
                    <w:pStyle w:val="149"/>
                    <w:rPr>
                      <w:rFonts w:eastAsia="Times New Roman"/>
                    </w:rPr>
                  </w:pPr>
                  <w:r>
                    <w:rPr>
                      <w:rFonts w:eastAsia="Times New Roman"/>
                    </w:rPr>
                    <w:t>4.62</w:t>
                  </w:r>
                </w:p>
              </w:tc>
              <w:tc>
                <w:tcPr>
                  <w:tcW w:w="383" w:type="pct"/>
                  <w:vAlign w:val="center"/>
                </w:tcPr>
                <w:p w14:paraId="1DD7AEB0">
                  <w:pPr>
                    <w:pStyle w:val="149"/>
                    <w:rPr>
                      <w:rFonts w:eastAsia="Times New Roman"/>
                    </w:rPr>
                  </w:pPr>
                  <w:r>
                    <w:rPr>
                      <w:rFonts w:eastAsia="Times New Roman"/>
                    </w:rPr>
                    <w:t>0.31</w:t>
                  </w:r>
                </w:p>
              </w:tc>
              <w:tc>
                <w:tcPr>
                  <w:tcW w:w="254" w:type="pct"/>
                  <w:vAlign w:val="center"/>
                </w:tcPr>
                <w:p w14:paraId="21319C70">
                  <w:pPr>
                    <w:pStyle w:val="149"/>
                    <w:rPr>
                      <w:rFonts w:eastAsia="Times New Roman"/>
                    </w:rPr>
                  </w:pPr>
                  <w:r>
                    <w:rPr>
                      <w:rFonts w:eastAsia="Times New Roman"/>
                    </w:rPr>
                    <w:t>6.81</w:t>
                  </w:r>
                </w:p>
              </w:tc>
              <w:tc>
                <w:tcPr>
                  <w:tcW w:w="254" w:type="pct"/>
                  <w:vAlign w:val="center"/>
                </w:tcPr>
                <w:p w14:paraId="4BD3EFE5">
                  <w:pPr>
                    <w:pStyle w:val="149"/>
                    <w:rPr>
                      <w:rFonts w:eastAsia="Times New Roman"/>
                    </w:rPr>
                  </w:pPr>
                  <w:r>
                    <w:rPr>
                      <w:rFonts w:eastAsia="Times New Roman"/>
                    </w:rPr>
                    <w:t>0.27</w:t>
                  </w:r>
                </w:p>
              </w:tc>
              <w:tc>
                <w:tcPr>
                  <w:tcW w:w="254" w:type="pct"/>
                  <w:vAlign w:val="center"/>
                </w:tcPr>
                <w:p w14:paraId="2FED4B38">
                  <w:pPr>
                    <w:pStyle w:val="149"/>
                    <w:rPr>
                      <w:rFonts w:eastAsia="Times New Roman"/>
                    </w:rPr>
                  </w:pPr>
                  <w:r>
                    <w:rPr>
                      <w:rFonts w:eastAsia="Times New Roman"/>
                    </w:rPr>
                    <w:t>/</w:t>
                  </w:r>
                </w:p>
              </w:tc>
              <w:tc>
                <w:tcPr>
                  <w:tcW w:w="342" w:type="pct"/>
                  <w:vAlign w:val="center"/>
                </w:tcPr>
                <w:p w14:paraId="18C5DCB4">
                  <w:pPr>
                    <w:pStyle w:val="149"/>
                    <w:rPr>
                      <w:rFonts w:eastAsia="Times New Roman"/>
                    </w:rPr>
                  </w:pPr>
                  <w:r>
                    <w:rPr>
                      <w:rFonts w:eastAsia="Times New Roman"/>
                    </w:rPr>
                    <w:t>0.19</w:t>
                  </w:r>
                </w:p>
              </w:tc>
              <w:tc>
                <w:tcPr>
                  <w:tcW w:w="452" w:type="pct"/>
                  <w:vAlign w:val="center"/>
                </w:tcPr>
                <w:p w14:paraId="052BD0C3">
                  <w:pPr>
                    <w:pStyle w:val="149"/>
                    <w:rPr>
                      <w:rFonts w:eastAsia="Times New Roman"/>
                    </w:rPr>
                  </w:pPr>
                  <w:r>
                    <w:rPr>
                      <w:rFonts w:eastAsia="Times New Roman"/>
                    </w:rPr>
                    <w:t>6.9×10</w:t>
                  </w:r>
                  <w:r>
                    <w:rPr>
                      <w:rFonts w:eastAsia="Times New Roman"/>
                      <w:b/>
                      <w:vertAlign w:val="superscript"/>
                    </w:rPr>
                    <w:t>4</w:t>
                  </w:r>
                </w:p>
              </w:tc>
            </w:tr>
            <w:tr w14:paraId="715540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3" w:hRule="atLeast"/>
              </w:trPr>
              <w:tc>
                <w:tcPr>
                  <w:tcW w:w="236" w:type="pct"/>
                  <w:vMerge w:val="continue"/>
                  <w:vAlign w:val="center"/>
                </w:tcPr>
                <w:p w14:paraId="290470D1">
                  <w:pPr>
                    <w:pStyle w:val="149"/>
                    <w:rPr>
                      <w:rFonts w:eastAsia="Times New Roman"/>
                    </w:rPr>
                  </w:pPr>
                </w:p>
              </w:tc>
              <w:tc>
                <w:tcPr>
                  <w:tcW w:w="608" w:type="pct"/>
                  <w:vAlign w:val="center"/>
                </w:tcPr>
                <w:p w14:paraId="43636C1D">
                  <w:pPr>
                    <w:pStyle w:val="149"/>
                    <w:rPr>
                      <w:rFonts w:eastAsia="Times New Roman"/>
                    </w:rPr>
                  </w:pPr>
                  <w:r>
                    <w:rPr>
                      <w:rFonts w:hint="eastAsia" w:ascii="宋体" w:hAnsi="宋体" w:eastAsia="宋体" w:cs="宋体"/>
                    </w:rPr>
                    <w:t>标准指数</w:t>
                  </w:r>
                </w:p>
              </w:tc>
              <w:tc>
                <w:tcPr>
                  <w:tcW w:w="293" w:type="pct"/>
                  <w:vAlign w:val="center"/>
                </w:tcPr>
                <w:p w14:paraId="7E584073">
                  <w:pPr>
                    <w:pStyle w:val="149"/>
                    <w:rPr>
                      <w:rFonts w:eastAsia="Times New Roman"/>
                    </w:rPr>
                  </w:pPr>
                  <w:r>
                    <w:rPr>
                      <w:rFonts w:eastAsia="Times New Roman"/>
                    </w:rPr>
                    <w:t>/</w:t>
                  </w:r>
                </w:p>
              </w:tc>
              <w:tc>
                <w:tcPr>
                  <w:tcW w:w="289" w:type="pct"/>
                  <w:vAlign w:val="center"/>
                </w:tcPr>
                <w:p w14:paraId="71944E0D">
                  <w:pPr>
                    <w:pStyle w:val="149"/>
                    <w:rPr>
                      <w:rFonts w:eastAsia="Times New Roman"/>
                    </w:rPr>
                  </w:pPr>
                  <w:r>
                    <w:rPr>
                      <w:rFonts w:eastAsia="Times New Roman"/>
                    </w:rPr>
                    <w:t>0.2</w:t>
                  </w:r>
                </w:p>
              </w:tc>
              <w:tc>
                <w:tcPr>
                  <w:tcW w:w="317" w:type="pct"/>
                  <w:vAlign w:val="center"/>
                </w:tcPr>
                <w:p w14:paraId="6F0C5F09">
                  <w:pPr>
                    <w:pStyle w:val="149"/>
                    <w:rPr>
                      <w:rFonts w:eastAsia="Times New Roman"/>
                    </w:rPr>
                  </w:pPr>
                  <w:r>
                    <w:rPr>
                      <w:rFonts w:eastAsia="Times New Roman"/>
                    </w:rPr>
                    <w:t>0.65</w:t>
                  </w:r>
                </w:p>
              </w:tc>
              <w:tc>
                <w:tcPr>
                  <w:tcW w:w="273" w:type="pct"/>
                  <w:vAlign w:val="center"/>
                </w:tcPr>
                <w:p w14:paraId="21917340">
                  <w:pPr>
                    <w:pStyle w:val="149"/>
                    <w:rPr>
                      <w:rFonts w:eastAsia="Times New Roman"/>
                    </w:rPr>
                  </w:pPr>
                  <w:r>
                    <w:rPr>
                      <w:rFonts w:eastAsia="Times New Roman"/>
                    </w:rPr>
                    <w:t>/</w:t>
                  </w:r>
                </w:p>
              </w:tc>
              <w:tc>
                <w:tcPr>
                  <w:tcW w:w="352" w:type="pct"/>
                  <w:vAlign w:val="center"/>
                </w:tcPr>
                <w:p w14:paraId="55960315">
                  <w:pPr>
                    <w:pStyle w:val="149"/>
                    <w:rPr>
                      <w:rFonts w:eastAsia="Times New Roman"/>
                    </w:rPr>
                  </w:pPr>
                  <w:r>
                    <w:rPr>
                      <w:rFonts w:eastAsia="Times New Roman"/>
                    </w:rPr>
                    <w:t>0.5</w:t>
                  </w:r>
                </w:p>
              </w:tc>
              <w:tc>
                <w:tcPr>
                  <w:tcW w:w="370" w:type="pct"/>
                  <w:vAlign w:val="center"/>
                </w:tcPr>
                <w:p w14:paraId="56FD3527">
                  <w:pPr>
                    <w:pStyle w:val="149"/>
                    <w:rPr>
                      <w:rFonts w:eastAsia="Times New Roman"/>
                    </w:rPr>
                  </w:pPr>
                  <w:r>
                    <w:rPr>
                      <w:rFonts w:eastAsia="Times New Roman"/>
                    </w:rPr>
                    <w:t>0.38</w:t>
                  </w:r>
                </w:p>
              </w:tc>
              <w:tc>
                <w:tcPr>
                  <w:tcW w:w="321" w:type="pct"/>
                  <w:vAlign w:val="center"/>
                </w:tcPr>
                <w:p w14:paraId="6D25272D">
                  <w:pPr>
                    <w:pStyle w:val="149"/>
                    <w:rPr>
                      <w:rFonts w:eastAsia="Times New Roman"/>
                    </w:rPr>
                  </w:pPr>
                  <w:r>
                    <w:rPr>
                      <w:rFonts w:eastAsia="Times New Roman"/>
                    </w:rPr>
                    <w:t>2.31</w:t>
                  </w:r>
                </w:p>
              </w:tc>
              <w:tc>
                <w:tcPr>
                  <w:tcW w:w="383" w:type="pct"/>
                  <w:vAlign w:val="center"/>
                </w:tcPr>
                <w:p w14:paraId="1614423D">
                  <w:pPr>
                    <w:pStyle w:val="149"/>
                    <w:rPr>
                      <w:rFonts w:eastAsia="Times New Roman"/>
                    </w:rPr>
                  </w:pPr>
                  <w:r>
                    <w:rPr>
                      <w:rFonts w:eastAsia="Times New Roman"/>
                    </w:rPr>
                    <w:t>0.78</w:t>
                  </w:r>
                </w:p>
              </w:tc>
              <w:tc>
                <w:tcPr>
                  <w:tcW w:w="254" w:type="pct"/>
                  <w:vAlign w:val="center"/>
                </w:tcPr>
                <w:p w14:paraId="762942E7">
                  <w:pPr>
                    <w:pStyle w:val="149"/>
                    <w:rPr>
                      <w:rFonts w:eastAsia="Times New Roman"/>
                    </w:rPr>
                  </w:pPr>
                  <w:r>
                    <w:rPr>
                      <w:rFonts w:eastAsia="Times New Roman"/>
                    </w:rPr>
                    <w:t>/</w:t>
                  </w:r>
                </w:p>
              </w:tc>
              <w:tc>
                <w:tcPr>
                  <w:tcW w:w="254" w:type="pct"/>
                  <w:vAlign w:val="center"/>
                </w:tcPr>
                <w:p w14:paraId="3B6FA871">
                  <w:pPr>
                    <w:pStyle w:val="149"/>
                    <w:rPr>
                      <w:rFonts w:eastAsia="Times New Roman"/>
                    </w:rPr>
                  </w:pPr>
                  <w:r>
                    <w:rPr>
                      <w:rFonts w:eastAsia="Times New Roman"/>
                    </w:rPr>
                    <w:t>0.18</w:t>
                  </w:r>
                </w:p>
              </w:tc>
              <w:tc>
                <w:tcPr>
                  <w:tcW w:w="254" w:type="pct"/>
                  <w:vAlign w:val="center"/>
                </w:tcPr>
                <w:p w14:paraId="759C17EE">
                  <w:pPr>
                    <w:pStyle w:val="149"/>
                    <w:rPr>
                      <w:rFonts w:eastAsia="Times New Roman"/>
                    </w:rPr>
                  </w:pPr>
                  <w:r>
                    <w:rPr>
                      <w:rFonts w:eastAsia="Times New Roman"/>
                    </w:rPr>
                    <w:t>/</w:t>
                  </w:r>
                </w:p>
              </w:tc>
              <w:tc>
                <w:tcPr>
                  <w:tcW w:w="342" w:type="pct"/>
                  <w:vAlign w:val="center"/>
                </w:tcPr>
                <w:p w14:paraId="24EB6793">
                  <w:pPr>
                    <w:pStyle w:val="149"/>
                    <w:rPr>
                      <w:rFonts w:eastAsia="Times New Roman"/>
                    </w:rPr>
                  </w:pPr>
                  <w:r>
                    <w:rPr>
                      <w:rFonts w:eastAsia="Times New Roman"/>
                    </w:rPr>
                    <w:t>0.63</w:t>
                  </w:r>
                </w:p>
              </w:tc>
              <w:tc>
                <w:tcPr>
                  <w:tcW w:w="452" w:type="pct"/>
                  <w:vAlign w:val="center"/>
                </w:tcPr>
                <w:p w14:paraId="0E0AD1CE">
                  <w:pPr>
                    <w:pStyle w:val="149"/>
                    <w:rPr>
                      <w:rFonts w:eastAsia="Times New Roman"/>
                    </w:rPr>
                  </w:pPr>
                  <w:r>
                    <w:rPr>
                      <w:rFonts w:eastAsia="Times New Roman"/>
                    </w:rPr>
                    <w:t>1.73</w:t>
                  </w:r>
                </w:p>
              </w:tc>
            </w:tr>
            <w:tr w14:paraId="687D61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3" w:hRule="atLeast"/>
              </w:trPr>
              <w:tc>
                <w:tcPr>
                  <w:tcW w:w="236" w:type="pct"/>
                  <w:vMerge w:val="continue"/>
                  <w:vAlign w:val="center"/>
                </w:tcPr>
                <w:p w14:paraId="01D72C10">
                  <w:pPr>
                    <w:pStyle w:val="149"/>
                    <w:rPr>
                      <w:rFonts w:eastAsia="Times New Roman"/>
                    </w:rPr>
                  </w:pPr>
                </w:p>
              </w:tc>
              <w:tc>
                <w:tcPr>
                  <w:tcW w:w="608" w:type="pct"/>
                  <w:vAlign w:val="center"/>
                </w:tcPr>
                <w:p w14:paraId="1924B572">
                  <w:pPr>
                    <w:pStyle w:val="149"/>
                    <w:rPr>
                      <w:rFonts w:eastAsia="Times New Roman"/>
                    </w:rPr>
                  </w:pPr>
                  <w:r>
                    <w:rPr>
                      <w:rFonts w:hint="eastAsia" w:ascii="宋体" w:hAnsi="宋体" w:eastAsia="宋体" w:cs="宋体"/>
                    </w:rPr>
                    <w:t>超标倍数</w:t>
                  </w:r>
                </w:p>
              </w:tc>
              <w:tc>
                <w:tcPr>
                  <w:tcW w:w="293" w:type="pct"/>
                  <w:vAlign w:val="center"/>
                </w:tcPr>
                <w:p w14:paraId="133FE17D">
                  <w:pPr>
                    <w:pStyle w:val="149"/>
                    <w:rPr>
                      <w:rFonts w:eastAsia="Times New Roman"/>
                    </w:rPr>
                  </w:pPr>
                  <w:r>
                    <w:rPr>
                      <w:rFonts w:eastAsia="Times New Roman"/>
                    </w:rPr>
                    <w:t>/</w:t>
                  </w:r>
                </w:p>
              </w:tc>
              <w:tc>
                <w:tcPr>
                  <w:tcW w:w="289" w:type="pct"/>
                  <w:vAlign w:val="center"/>
                </w:tcPr>
                <w:p w14:paraId="500CD5D9">
                  <w:pPr>
                    <w:pStyle w:val="149"/>
                    <w:rPr>
                      <w:rFonts w:eastAsia="Times New Roman"/>
                    </w:rPr>
                  </w:pPr>
                  <w:r>
                    <w:rPr>
                      <w:rFonts w:eastAsia="Times New Roman"/>
                    </w:rPr>
                    <w:t>0</w:t>
                  </w:r>
                </w:p>
              </w:tc>
              <w:tc>
                <w:tcPr>
                  <w:tcW w:w="317" w:type="pct"/>
                  <w:vAlign w:val="center"/>
                </w:tcPr>
                <w:p w14:paraId="0381C942">
                  <w:pPr>
                    <w:pStyle w:val="149"/>
                    <w:rPr>
                      <w:rFonts w:eastAsia="Times New Roman"/>
                    </w:rPr>
                  </w:pPr>
                  <w:r>
                    <w:rPr>
                      <w:rFonts w:eastAsia="Times New Roman"/>
                    </w:rPr>
                    <w:t>0</w:t>
                  </w:r>
                </w:p>
              </w:tc>
              <w:tc>
                <w:tcPr>
                  <w:tcW w:w="273" w:type="pct"/>
                  <w:vAlign w:val="center"/>
                </w:tcPr>
                <w:p w14:paraId="565CD5DD">
                  <w:pPr>
                    <w:pStyle w:val="149"/>
                    <w:rPr>
                      <w:rFonts w:eastAsia="Times New Roman"/>
                    </w:rPr>
                  </w:pPr>
                  <w:r>
                    <w:rPr>
                      <w:rFonts w:eastAsia="Times New Roman"/>
                    </w:rPr>
                    <w:t>/</w:t>
                  </w:r>
                </w:p>
              </w:tc>
              <w:tc>
                <w:tcPr>
                  <w:tcW w:w="352" w:type="pct"/>
                  <w:vAlign w:val="center"/>
                </w:tcPr>
                <w:p w14:paraId="126F5C56">
                  <w:pPr>
                    <w:pStyle w:val="149"/>
                    <w:rPr>
                      <w:rFonts w:eastAsia="Times New Roman"/>
                    </w:rPr>
                  </w:pPr>
                  <w:r>
                    <w:rPr>
                      <w:rFonts w:eastAsia="Times New Roman"/>
                    </w:rPr>
                    <w:t>0</w:t>
                  </w:r>
                </w:p>
              </w:tc>
              <w:tc>
                <w:tcPr>
                  <w:tcW w:w="370" w:type="pct"/>
                  <w:vAlign w:val="center"/>
                </w:tcPr>
                <w:p w14:paraId="790F5EC6">
                  <w:pPr>
                    <w:pStyle w:val="149"/>
                    <w:rPr>
                      <w:rFonts w:eastAsia="Times New Roman"/>
                    </w:rPr>
                  </w:pPr>
                  <w:r>
                    <w:rPr>
                      <w:rFonts w:eastAsia="Times New Roman"/>
                    </w:rPr>
                    <w:t>0</w:t>
                  </w:r>
                </w:p>
              </w:tc>
              <w:tc>
                <w:tcPr>
                  <w:tcW w:w="321" w:type="pct"/>
                  <w:vAlign w:val="center"/>
                </w:tcPr>
                <w:p w14:paraId="3BA151F1">
                  <w:pPr>
                    <w:pStyle w:val="149"/>
                    <w:rPr>
                      <w:rFonts w:eastAsia="Times New Roman"/>
                      <w:b/>
                    </w:rPr>
                  </w:pPr>
                  <w:r>
                    <w:rPr>
                      <w:rFonts w:eastAsia="Times New Roman"/>
                      <w:b/>
                    </w:rPr>
                    <w:t>1.31</w:t>
                  </w:r>
                </w:p>
              </w:tc>
              <w:tc>
                <w:tcPr>
                  <w:tcW w:w="383" w:type="pct"/>
                  <w:vAlign w:val="center"/>
                </w:tcPr>
                <w:p w14:paraId="62FB91C6">
                  <w:pPr>
                    <w:pStyle w:val="149"/>
                    <w:rPr>
                      <w:rFonts w:eastAsia="Times New Roman"/>
                    </w:rPr>
                  </w:pPr>
                  <w:r>
                    <w:rPr>
                      <w:rFonts w:eastAsia="Times New Roman"/>
                    </w:rPr>
                    <w:t>0</w:t>
                  </w:r>
                </w:p>
              </w:tc>
              <w:tc>
                <w:tcPr>
                  <w:tcW w:w="254" w:type="pct"/>
                  <w:vAlign w:val="center"/>
                </w:tcPr>
                <w:p w14:paraId="76427689">
                  <w:pPr>
                    <w:pStyle w:val="149"/>
                    <w:rPr>
                      <w:rFonts w:eastAsia="Times New Roman"/>
                    </w:rPr>
                  </w:pPr>
                  <w:r>
                    <w:rPr>
                      <w:rFonts w:eastAsia="Times New Roman"/>
                    </w:rPr>
                    <w:t>/</w:t>
                  </w:r>
                </w:p>
              </w:tc>
              <w:tc>
                <w:tcPr>
                  <w:tcW w:w="254" w:type="pct"/>
                  <w:vAlign w:val="center"/>
                </w:tcPr>
                <w:p w14:paraId="4778A951">
                  <w:pPr>
                    <w:pStyle w:val="149"/>
                    <w:rPr>
                      <w:rFonts w:eastAsia="Times New Roman"/>
                    </w:rPr>
                  </w:pPr>
                  <w:r>
                    <w:rPr>
                      <w:rFonts w:eastAsia="Times New Roman"/>
                    </w:rPr>
                    <w:t>0</w:t>
                  </w:r>
                </w:p>
              </w:tc>
              <w:tc>
                <w:tcPr>
                  <w:tcW w:w="254" w:type="pct"/>
                  <w:vAlign w:val="center"/>
                </w:tcPr>
                <w:p w14:paraId="1F2AABC1">
                  <w:pPr>
                    <w:pStyle w:val="149"/>
                    <w:rPr>
                      <w:rFonts w:eastAsia="Times New Roman"/>
                    </w:rPr>
                  </w:pPr>
                  <w:r>
                    <w:rPr>
                      <w:rFonts w:eastAsia="Times New Roman"/>
                    </w:rPr>
                    <w:t>0</w:t>
                  </w:r>
                </w:p>
              </w:tc>
              <w:tc>
                <w:tcPr>
                  <w:tcW w:w="342" w:type="pct"/>
                  <w:vAlign w:val="center"/>
                </w:tcPr>
                <w:p w14:paraId="167AB427">
                  <w:pPr>
                    <w:pStyle w:val="149"/>
                    <w:rPr>
                      <w:rFonts w:eastAsia="Times New Roman"/>
                    </w:rPr>
                  </w:pPr>
                  <w:r>
                    <w:rPr>
                      <w:rFonts w:eastAsia="Times New Roman"/>
                    </w:rPr>
                    <w:t>0</w:t>
                  </w:r>
                </w:p>
              </w:tc>
              <w:tc>
                <w:tcPr>
                  <w:tcW w:w="452" w:type="pct"/>
                  <w:vAlign w:val="center"/>
                </w:tcPr>
                <w:p w14:paraId="05C8B422">
                  <w:pPr>
                    <w:pStyle w:val="149"/>
                    <w:rPr>
                      <w:rFonts w:eastAsia="Times New Roman"/>
                      <w:b/>
                    </w:rPr>
                  </w:pPr>
                  <w:r>
                    <w:rPr>
                      <w:rFonts w:eastAsia="Times New Roman"/>
                      <w:b/>
                    </w:rPr>
                    <w:t>0.73</w:t>
                  </w:r>
                </w:p>
              </w:tc>
            </w:tr>
            <w:tr w14:paraId="4F8F62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3" w:hRule="atLeast"/>
              </w:trPr>
              <w:tc>
                <w:tcPr>
                  <w:tcW w:w="236" w:type="pct"/>
                  <w:vMerge w:val="continue"/>
                  <w:vAlign w:val="center"/>
                </w:tcPr>
                <w:p w14:paraId="7E561ACA">
                  <w:pPr>
                    <w:pStyle w:val="149"/>
                    <w:rPr>
                      <w:rFonts w:eastAsia="Times New Roman"/>
                    </w:rPr>
                  </w:pPr>
                </w:p>
              </w:tc>
              <w:tc>
                <w:tcPr>
                  <w:tcW w:w="608" w:type="pct"/>
                  <w:vAlign w:val="center"/>
                </w:tcPr>
                <w:p w14:paraId="046C0395">
                  <w:pPr>
                    <w:pStyle w:val="149"/>
                    <w:rPr>
                      <w:rFonts w:eastAsia="Times New Roman"/>
                    </w:rPr>
                  </w:pPr>
                  <w:r>
                    <w:rPr>
                      <w:rFonts w:hint="eastAsia" w:ascii="宋体" w:hAnsi="宋体" w:eastAsia="宋体" w:cs="宋体"/>
                    </w:rPr>
                    <w:t>达标情况</w:t>
                  </w:r>
                </w:p>
              </w:tc>
              <w:tc>
                <w:tcPr>
                  <w:tcW w:w="293" w:type="pct"/>
                  <w:vAlign w:val="center"/>
                </w:tcPr>
                <w:p w14:paraId="1CB8748F">
                  <w:pPr>
                    <w:pStyle w:val="149"/>
                    <w:rPr>
                      <w:rFonts w:eastAsia="Times New Roman"/>
                    </w:rPr>
                  </w:pPr>
                  <w:r>
                    <w:rPr>
                      <w:rFonts w:hint="eastAsia" w:ascii="宋体" w:hAnsi="宋体" w:eastAsia="宋体" w:cs="宋体"/>
                    </w:rPr>
                    <w:t>达标</w:t>
                  </w:r>
                </w:p>
              </w:tc>
              <w:tc>
                <w:tcPr>
                  <w:tcW w:w="289" w:type="pct"/>
                  <w:vAlign w:val="center"/>
                </w:tcPr>
                <w:p w14:paraId="4889AC36">
                  <w:pPr>
                    <w:pStyle w:val="149"/>
                    <w:rPr>
                      <w:rFonts w:eastAsia="Times New Roman"/>
                    </w:rPr>
                  </w:pPr>
                  <w:r>
                    <w:rPr>
                      <w:rFonts w:hint="eastAsia" w:ascii="宋体" w:hAnsi="宋体" w:eastAsia="宋体" w:cs="宋体"/>
                    </w:rPr>
                    <w:t>达标</w:t>
                  </w:r>
                </w:p>
              </w:tc>
              <w:tc>
                <w:tcPr>
                  <w:tcW w:w="317" w:type="pct"/>
                  <w:vAlign w:val="center"/>
                </w:tcPr>
                <w:p w14:paraId="7BD0351C">
                  <w:pPr>
                    <w:pStyle w:val="149"/>
                    <w:rPr>
                      <w:rFonts w:eastAsia="Times New Roman"/>
                    </w:rPr>
                  </w:pPr>
                  <w:r>
                    <w:rPr>
                      <w:rFonts w:hint="eastAsia" w:ascii="宋体" w:hAnsi="宋体" w:eastAsia="宋体" w:cs="宋体"/>
                    </w:rPr>
                    <w:t>达标</w:t>
                  </w:r>
                </w:p>
              </w:tc>
              <w:tc>
                <w:tcPr>
                  <w:tcW w:w="273" w:type="pct"/>
                  <w:vAlign w:val="center"/>
                </w:tcPr>
                <w:p w14:paraId="79F4980C">
                  <w:pPr>
                    <w:pStyle w:val="149"/>
                    <w:rPr>
                      <w:rFonts w:eastAsia="Times New Roman"/>
                    </w:rPr>
                  </w:pPr>
                  <w:r>
                    <w:rPr>
                      <w:rFonts w:hint="eastAsia" w:ascii="宋体" w:hAnsi="宋体" w:eastAsia="宋体" w:cs="宋体"/>
                    </w:rPr>
                    <w:t>达标</w:t>
                  </w:r>
                </w:p>
              </w:tc>
              <w:tc>
                <w:tcPr>
                  <w:tcW w:w="352" w:type="pct"/>
                  <w:vAlign w:val="center"/>
                </w:tcPr>
                <w:p w14:paraId="04979CE4">
                  <w:pPr>
                    <w:pStyle w:val="149"/>
                    <w:rPr>
                      <w:rFonts w:eastAsia="Times New Roman"/>
                    </w:rPr>
                  </w:pPr>
                  <w:r>
                    <w:rPr>
                      <w:rFonts w:hint="eastAsia" w:ascii="宋体" w:hAnsi="宋体" w:eastAsia="宋体" w:cs="宋体"/>
                    </w:rPr>
                    <w:t>达标</w:t>
                  </w:r>
                </w:p>
              </w:tc>
              <w:tc>
                <w:tcPr>
                  <w:tcW w:w="370" w:type="pct"/>
                  <w:vAlign w:val="center"/>
                </w:tcPr>
                <w:p w14:paraId="68D0FB58">
                  <w:pPr>
                    <w:pStyle w:val="149"/>
                    <w:rPr>
                      <w:rFonts w:eastAsia="Times New Roman"/>
                    </w:rPr>
                  </w:pPr>
                  <w:r>
                    <w:rPr>
                      <w:rFonts w:hint="eastAsia" w:ascii="宋体" w:hAnsi="宋体" w:eastAsia="宋体" w:cs="宋体"/>
                    </w:rPr>
                    <w:t>达标</w:t>
                  </w:r>
                </w:p>
              </w:tc>
              <w:tc>
                <w:tcPr>
                  <w:tcW w:w="321" w:type="pct"/>
                  <w:vAlign w:val="center"/>
                </w:tcPr>
                <w:p w14:paraId="566383E2">
                  <w:pPr>
                    <w:pStyle w:val="149"/>
                    <w:rPr>
                      <w:rFonts w:eastAsia="Times New Roman"/>
                      <w:b/>
                    </w:rPr>
                  </w:pPr>
                  <w:r>
                    <w:rPr>
                      <w:rFonts w:hint="eastAsia" w:ascii="宋体" w:hAnsi="宋体" w:eastAsia="宋体" w:cs="宋体"/>
                      <w:b/>
                    </w:rPr>
                    <w:t>不达标</w:t>
                  </w:r>
                </w:p>
              </w:tc>
              <w:tc>
                <w:tcPr>
                  <w:tcW w:w="383" w:type="pct"/>
                  <w:vAlign w:val="center"/>
                </w:tcPr>
                <w:p w14:paraId="2047F212">
                  <w:pPr>
                    <w:pStyle w:val="149"/>
                    <w:rPr>
                      <w:rFonts w:eastAsia="Times New Roman"/>
                    </w:rPr>
                  </w:pPr>
                  <w:r>
                    <w:rPr>
                      <w:rFonts w:hint="eastAsia" w:ascii="宋体" w:hAnsi="宋体" w:eastAsia="宋体" w:cs="宋体"/>
                    </w:rPr>
                    <w:t>达标</w:t>
                  </w:r>
                </w:p>
              </w:tc>
              <w:tc>
                <w:tcPr>
                  <w:tcW w:w="254" w:type="pct"/>
                  <w:vAlign w:val="center"/>
                </w:tcPr>
                <w:p w14:paraId="7CF2E39F">
                  <w:pPr>
                    <w:pStyle w:val="149"/>
                    <w:rPr>
                      <w:rFonts w:eastAsia="Times New Roman"/>
                    </w:rPr>
                  </w:pPr>
                  <w:r>
                    <w:rPr>
                      <w:rFonts w:hint="eastAsia" w:ascii="宋体" w:hAnsi="宋体" w:eastAsia="宋体" w:cs="宋体"/>
                    </w:rPr>
                    <w:t>达标</w:t>
                  </w:r>
                </w:p>
              </w:tc>
              <w:tc>
                <w:tcPr>
                  <w:tcW w:w="254" w:type="pct"/>
                  <w:vAlign w:val="center"/>
                </w:tcPr>
                <w:p w14:paraId="61D5569B">
                  <w:pPr>
                    <w:pStyle w:val="149"/>
                    <w:rPr>
                      <w:rFonts w:eastAsia="Times New Roman"/>
                    </w:rPr>
                  </w:pPr>
                  <w:r>
                    <w:rPr>
                      <w:rFonts w:hint="eastAsia" w:ascii="宋体" w:hAnsi="宋体" w:eastAsia="宋体" w:cs="宋体"/>
                    </w:rPr>
                    <w:t>达标</w:t>
                  </w:r>
                </w:p>
              </w:tc>
              <w:tc>
                <w:tcPr>
                  <w:tcW w:w="254" w:type="pct"/>
                  <w:vAlign w:val="center"/>
                </w:tcPr>
                <w:p w14:paraId="1C3D81AD">
                  <w:pPr>
                    <w:pStyle w:val="149"/>
                    <w:rPr>
                      <w:rFonts w:eastAsia="Times New Roman"/>
                    </w:rPr>
                  </w:pPr>
                  <w:r>
                    <w:rPr>
                      <w:rFonts w:hint="eastAsia" w:ascii="宋体" w:hAnsi="宋体" w:eastAsia="宋体" w:cs="宋体"/>
                    </w:rPr>
                    <w:t>达标</w:t>
                  </w:r>
                </w:p>
              </w:tc>
              <w:tc>
                <w:tcPr>
                  <w:tcW w:w="342" w:type="pct"/>
                  <w:vAlign w:val="center"/>
                </w:tcPr>
                <w:p w14:paraId="49525492">
                  <w:pPr>
                    <w:pStyle w:val="149"/>
                    <w:rPr>
                      <w:rFonts w:eastAsia="Times New Roman"/>
                    </w:rPr>
                  </w:pPr>
                  <w:r>
                    <w:rPr>
                      <w:rFonts w:hint="eastAsia" w:ascii="宋体" w:hAnsi="宋体" w:eastAsia="宋体" w:cs="宋体"/>
                    </w:rPr>
                    <w:t>达标</w:t>
                  </w:r>
                </w:p>
              </w:tc>
              <w:tc>
                <w:tcPr>
                  <w:tcW w:w="452" w:type="pct"/>
                  <w:vAlign w:val="center"/>
                </w:tcPr>
                <w:p w14:paraId="269DFC65">
                  <w:pPr>
                    <w:pStyle w:val="149"/>
                    <w:rPr>
                      <w:rFonts w:eastAsia="Times New Roman"/>
                      <w:b/>
                    </w:rPr>
                  </w:pPr>
                  <w:r>
                    <w:rPr>
                      <w:rFonts w:hint="eastAsia" w:ascii="宋体" w:hAnsi="宋体" w:eastAsia="宋体" w:cs="宋体"/>
                      <w:b/>
                    </w:rPr>
                    <w:t>不达标</w:t>
                  </w:r>
                </w:p>
              </w:tc>
            </w:tr>
          </w:tbl>
          <w:p w14:paraId="2F55EA30">
            <w:pPr>
              <w:pStyle w:val="2"/>
              <w:rPr>
                <w:rFonts w:eastAsia="宋体"/>
                <w:color w:val="auto"/>
                <w:kern w:val="0"/>
                <w:sz w:val="21"/>
                <w:szCs w:val="21"/>
              </w:rPr>
            </w:pPr>
            <w:r>
              <w:rPr>
                <w:rFonts w:hint="eastAsia" w:eastAsia="宋体"/>
                <w:color w:val="auto"/>
                <w:kern w:val="0"/>
                <w:sz w:val="21"/>
                <w:szCs w:val="21"/>
              </w:rPr>
              <w:t>备注：《地表水环境质量标准》（</w:t>
            </w:r>
            <w:r>
              <w:rPr>
                <w:rFonts w:eastAsia="宋体"/>
                <w:color w:val="auto"/>
                <w:kern w:val="0"/>
                <w:sz w:val="21"/>
                <w:szCs w:val="21"/>
              </w:rPr>
              <w:t>GB3838-2002</w:t>
            </w:r>
            <w:r>
              <w:rPr>
                <w:rFonts w:hint="eastAsia" w:eastAsia="宋体"/>
                <w:color w:val="auto"/>
                <w:kern w:val="0"/>
                <w:sz w:val="21"/>
                <w:szCs w:val="21"/>
              </w:rPr>
              <w:t>）中无河流总氮、悬浮物的质量标准，不做评价。</w:t>
            </w:r>
          </w:p>
          <w:p w14:paraId="6A20B023">
            <w:pPr>
              <w:spacing w:line="360" w:lineRule="auto"/>
              <w:ind w:firstLine="480" w:firstLineChars="200"/>
              <w:rPr>
                <w:kern w:val="0"/>
                <w:sz w:val="24"/>
                <w:szCs w:val="20"/>
              </w:rPr>
            </w:pPr>
            <w:r>
              <w:rPr>
                <w:rFonts w:hint="eastAsia"/>
                <w:kern w:val="0"/>
                <w:sz w:val="24"/>
                <w:szCs w:val="20"/>
              </w:rPr>
              <w:t>根据监测结果可知，石湾镇中心排渠氨氮、粪大肠菌群均出现不同程度的超标，石湾镇中心排渠水质无法满足《地表水环境质量标准》（</w:t>
            </w:r>
            <w:r>
              <w:rPr>
                <w:kern w:val="0"/>
                <w:sz w:val="24"/>
                <w:szCs w:val="20"/>
              </w:rPr>
              <w:t>GB3838-2002</w:t>
            </w:r>
            <w:r>
              <w:rPr>
                <w:rFonts w:hint="eastAsia"/>
                <w:kern w:val="0"/>
                <w:sz w:val="24"/>
                <w:szCs w:val="20"/>
              </w:rPr>
              <w:t>）Ⅴ类水标准。从超标项目上来看，纳污水体在一定程度上受到有机污染，水环境质量现状较差。</w:t>
            </w:r>
          </w:p>
          <w:p w14:paraId="79291629">
            <w:pPr>
              <w:spacing w:line="360" w:lineRule="auto"/>
              <w:ind w:firstLine="480" w:firstLineChars="200"/>
              <w:rPr>
                <w:kern w:val="0"/>
                <w:sz w:val="24"/>
                <w:szCs w:val="20"/>
              </w:rPr>
            </w:pPr>
            <w:r>
              <w:rPr>
                <w:rFonts w:hint="eastAsia"/>
                <w:kern w:val="0"/>
                <w:sz w:val="24"/>
                <w:szCs w:val="20"/>
              </w:rPr>
              <w:t>鉴于项目区域水质较差，地方政府一方面应加快城镇生活污水处理厂及其管网的建设，另一方面环保部门需加强工业污染源的监管，确保水质达标：</w:t>
            </w:r>
          </w:p>
          <w:p w14:paraId="38037C8B">
            <w:pPr>
              <w:spacing w:line="360" w:lineRule="auto"/>
              <w:ind w:firstLine="480" w:firstLineChars="200"/>
              <w:rPr>
                <w:kern w:val="0"/>
                <w:sz w:val="24"/>
                <w:szCs w:val="20"/>
              </w:rPr>
            </w:pPr>
            <w:r>
              <w:rPr>
                <w:rFonts w:hint="eastAsia"/>
                <w:kern w:val="0"/>
                <w:sz w:val="24"/>
                <w:szCs w:val="20"/>
              </w:rPr>
              <w:t>①加快片区生活污水处理厂建设进度：本项目所在地属于石湾镇大牛垒生活污水处理厂的纳污范围。片区内部分企业生活污水直接经化粪池处理后排放，这是造成水质污染日益严重的重要原因。因此，随着片区内企业的增加，片区必须尽快集中生活污水处理厂的建设进度，以削减进入排污渠的污染物总量。</w:t>
            </w:r>
          </w:p>
          <w:p w14:paraId="462CE85F">
            <w:pPr>
              <w:spacing w:line="360" w:lineRule="auto"/>
              <w:ind w:firstLine="480" w:firstLineChars="200"/>
              <w:rPr>
                <w:kern w:val="0"/>
                <w:sz w:val="24"/>
                <w:szCs w:val="20"/>
              </w:rPr>
            </w:pPr>
            <w:r>
              <w:rPr>
                <w:rFonts w:hint="eastAsia"/>
                <w:kern w:val="0"/>
                <w:sz w:val="24"/>
                <w:szCs w:val="20"/>
              </w:rPr>
              <w:t>②清理河涌淤泥，并妥善处理处置。</w:t>
            </w:r>
          </w:p>
          <w:p w14:paraId="735DD0FA">
            <w:pPr>
              <w:spacing w:line="360" w:lineRule="auto"/>
              <w:ind w:firstLine="480" w:firstLineChars="200"/>
              <w:rPr>
                <w:kern w:val="0"/>
                <w:sz w:val="24"/>
                <w:szCs w:val="20"/>
              </w:rPr>
            </w:pPr>
            <w:r>
              <w:rPr>
                <w:rFonts w:hint="eastAsia"/>
                <w:kern w:val="0"/>
                <w:sz w:val="24"/>
                <w:szCs w:val="20"/>
              </w:rPr>
              <w:t>③促进企业实施清洁生产，尽可能将处理后的废水回用于绿化、冲厕等方面，减少废水的产生和排放。</w:t>
            </w:r>
          </w:p>
          <w:p w14:paraId="437C9981">
            <w:pPr>
              <w:spacing w:line="360" w:lineRule="auto"/>
              <w:ind w:firstLine="480" w:firstLineChars="200"/>
              <w:rPr>
                <w:kern w:val="0"/>
                <w:sz w:val="24"/>
                <w:szCs w:val="20"/>
              </w:rPr>
            </w:pPr>
            <w:r>
              <w:rPr>
                <w:rFonts w:hint="eastAsia"/>
                <w:kern w:val="0"/>
                <w:sz w:val="24"/>
                <w:szCs w:val="20"/>
              </w:rPr>
              <w:t>④加强石湾镇工业企业环境管理：石湾镇排污企业偷排、漏排不达标污水以及超水量排放污水也是造成排污渠污染的主要因素之一，因此，环境监察部门应严查严惩石湾镇偷排漏排企业，使企业做到达标且不超水量排放。</w:t>
            </w:r>
          </w:p>
          <w:p w14:paraId="35846AA9">
            <w:pPr>
              <w:pStyle w:val="10"/>
              <w:ind w:firstLine="482"/>
              <w:rPr>
                <w:b/>
                <w:bCs/>
              </w:rPr>
            </w:pPr>
            <w:r>
              <w:rPr>
                <w:rFonts w:hint="eastAsia"/>
                <w:b/>
                <w:bCs/>
              </w:rPr>
              <w:t>（</w:t>
            </w:r>
            <w:r>
              <w:rPr>
                <w:b/>
                <w:bCs/>
              </w:rPr>
              <w:t>3</w:t>
            </w:r>
            <w:r>
              <w:rPr>
                <w:rFonts w:hint="eastAsia"/>
                <w:b/>
                <w:bCs/>
              </w:rPr>
              <w:t>）声环境环境现状</w:t>
            </w:r>
          </w:p>
          <w:p w14:paraId="63876A84">
            <w:pPr>
              <w:pStyle w:val="10"/>
            </w:pPr>
            <w:r>
              <w:rPr>
                <w:rFonts w:hint="eastAsia"/>
              </w:rPr>
              <w:t>本项目声环境不需要设置专项评价，根据《建设项目环境影响报告表编制技术指南（生态影响类）》（试行）中，“三、生态环境现状：不开展专项评价的环境要素，参照《建设项目环境影响报告表编制技术指南（污染影响类）》（试行）相关规定开展补充监测”。项目厂界外200m内无可引用的相关数据，因此参照《建设项目环境影响报告表编制技术指南（污染影响类）》（试行）的相关规定，项目厂界外周边</w:t>
            </w:r>
            <w:r>
              <w:t>50</w:t>
            </w:r>
            <w:r>
              <w:rPr>
                <w:rFonts w:hint="eastAsia"/>
              </w:rPr>
              <w:t>米范围内不存在声环境保护目标，因此无需监测声环境质量现状。</w:t>
            </w:r>
          </w:p>
          <w:p w14:paraId="0BEC3A92">
            <w:pPr>
              <w:pStyle w:val="10"/>
              <w:ind w:firstLine="482"/>
              <w:rPr>
                <w:b/>
                <w:bCs/>
              </w:rPr>
            </w:pPr>
            <w:r>
              <w:rPr>
                <w:rFonts w:hint="eastAsia"/>
                <w:b/>
                <w:bCs/>
              </w:rPr>
              <w:t>（4）生态环境现状</w:t>
            </w:r>
          </w:p>
          <w:p w14:paraId="11ED4CD4">
            <w:pPr>
              <w:pStyle w:val="10"/>
            </w:pPr>
            <w:r>
              <w:rPr>
                <w:rFonts w:hint="eastAsia"/>
              </w:rPr>
              <w:t>本次生态环境现状调查主要对区域及其周边的土地利用类型、植被类型、动物多样性等进行生态背景调查。</w:t>
            </w:r>
          </w:p>
          <w:p w14:paraId="69545879">
            <w:pPr>
              <w:pStyle w:val="10"/>
            </w:pPr>
            <w:r>
              <w:t>1</w:t>
            </w:r>
            <w:r>
              <w:rPr>
                <w:rFonts w:hint="eastAsia"/>
              </w:rPr>
              <w:t>）土地利用现状</w:t>
            </w:r>
          </w:p>
          <w:p w14:paraId="0E598C25">
            <w:pPr>
              <w:pStyle w:val="10"/>
            </w:pPr>
            <w:r>
              <w:rPr>
                <w:rFonts w:hint="eastAsia"/>
              </w:rPr>
              <w:t>根据博罗产业转移工业园管理委员会出具的《关于核查惠州欣城新能源有限公司200MW/400MWh独立储能电站新建项目选址用地情况的复函》（见附件5），用地性质为工业用地。项目所在的地块东侧为工业厂房，南面为空地（工业用地）及振兴大道，西面为迳茹北路、建设中厂房及华瓷通信，北面为空地（工业用地）。</w:t>
            </w:r>
          </w:p>
          <w:p w14:paraId="232AC1E5">
            <w:pPr>
              <w:adjustRightInd w:val="0"/>
              <w:snapToGrid w:val="0"/>
              <w:spacing w:line="360" w:lineRule="auto"/>
              <w:ind w:firstLine="480" w:firstLineChars="200"/>
              <w:rPr>
                <w:kern w:val="0"/>
                <w:sz w:val="24"/>
              </w:rPr>
            </w:pPr>
            <w:r>
              <w:rPr>
                <w:kern w:val="0"/>
                <w:sz w:val="24"/>
              </w:rPr>
              <w:t>2</w:t>
            </w:r>
            <w:r>
              <w:rPr>
                <w:rFonts w:hint="eastAsia"/>
                <w:kern w:val="0"/>
                <w:sz w:val="24"/>
              </w:rPr>
              <w:t>）植被现状调查</w:t>
            </w:r>
          </w:p>
          <w:p w14:paraId="5714C618">
            <w:pPr>
              <w:adjustRightInd w:val="0"/>
              <w:snapToGrid w:val="0"/>
              <w:spacing w:line="360" w:lineRule="auto"/>
              <w:ind w:firstLine="480" w:firstLineChars="200"/>
              <w:rPr>
                <w:kern w:val="0"/>
                <w:sz w:val="24"/>
              </w:rPr>
            </w:pPr>
            <w:r>
              <w:rPr>
                <w:rFonts w:hint="eastAsia"/>
                <w:kern w:val="0"/>
                <w:sz w:val="24"/>
              </w:rPr>
              <w:t>本项目位于惠州市博罗县石湾镇，博罗县的植被主体是马尾松针叶林，多是人工飞播或天然次生林。项目所在区域植被由于受地形、气候等自然因素与人为因素等的综合影响，地带性代表植被常绿季雨林或季雨性常绿阔叶林等原始植被已荡然无存，主要是村庄旁边的人工林，其它均以稀树灌丛和草灌丛为主，多已开辟为果园，种植多种果树。而主要的人工植被包括多种类型的果园、绿化植物等，荔枝、龙眼、芒果等等。</w:t>
            </w:r>
          </w:p>
          <w:p w14:paraId="02C52BD5">
            <w:pPr>
              <w:adjustRightInd w:val="0"/>
              <w:snapToGrid w:val="0"/>
              <w:spacing w:line="360" w:lineRule="auto"/>
              <w:ind w:firstLine="480" w:firstLineChars="200"/>
              <w:rPr>
                <w:kern w:val="0"/>
                <w:sz w:val="24"/>
              </w:rPr>
            </w:pPr>
            <w:r>
              <w:rPr>
                <w:rFonts w:hint="eastAsia"/>
                <w:kern w:val="0"/>
                <w:sz w:val="24"/>
              </w:rPr>
              <w:t>根据现场勘查可知，项目场地目前主要为荒草地，项目域周边无风景名胜区、自然保护区及文化遗产等特殊保护目标，生态环境不属于敏感区，评价范围内未见古树和珍稀濒危植物分布。</w:t>
            </w:r>
          </w:p>
          <w:p w14:paraId="0F5257C0">
            <w:pPr>
              <w:adjustRightInd w:val="0"/>
              <w:snapToGrid w:val="0"/>
              <w:spacing w:line="360" w:lineRule="auto"/>
              <w:ind w:firstLine="480" w:firstLineChars="200"/>
              <w:rPr>
                <w:kern w:val="0"/>
                <w:sz w:val="24"/>
              </w:rPr>
            </w:pPr>
            <w:r>
              <w:rPr>
                <w:rFonts w:hint="eastAsia"/>
                <w:kern w:val="0"/>
                <w:sz w:val="24"/>
              </w:rPr>
              <w:t>3）动物现状调查</w:t>
            </w:r>
          </w:p>
          <w:p w14:paraId="4591C67F">
            <w:pPr>
              <w:adjustRightInd w:val="0"/>
              <w:snapToGrid w:val="0"/>
              <w:spacing w:line="360" w:lineRule="auto"/>
              <w:ind w:firstLine="480" w:firstLineChars="200"/>
              <w:rPr>
                <w:kern w:val="0"/>
                <w:sz w:val="24"/>
              </w:rPr>
            </w:pPr>
            <w:r>
              <w:rPr>
                <w:rFonts w:hint="eastAsia"/>
                <w:kern w:val="0"/>
                <w:sz w:val="24"/>
              </w:rPr>
              <w:t>本项目所在区域人为活动较为频繁，受人类活动干扰，评价区内已不存在大型野生动物，陆生动物种类、数量均较少。根据现场踏勘，项目区域野生动物主要为适应当地环境的常见种类，如昆虫、蚁、鸟类、蛙类、鼠类等，不存在珍惜、濒危等受保护动物。</w:t>
            </w:r>
          </w:p>
          <w:p w14:paraId="1085FBEF">
            <w:pPr>
              <w:adjustRightInd w:val="0"/>
              <w:spacing w:before="120" w:beforeLines="50" w:line="360" w:lineRule="auto"/>
              <w:ind w:firstLine="482" w:firstLineChars="200"/>
              <w:textAlignment w:val="baseline"/>
              <w:rPr>
                <w:b/>
                <w:sz w:val="24"/>
              </w:rPr>
            </w:pPr>
            <w:r>
              <w:rPr>
                <w:rFonts w:hint="eastAsia"/>
                <w:b/>
                <w:sz w:val="24"/>
              </w:rPr>
              <w:t>（</w:t>
            </w:r>
            <w:r>
              <w:rPr>
                <w:b/>
                <w:sz w:val="24"/>
              </w:rPr>
              <w:t>5</w:t>
            </w:r>
            <w:r>
              <w:rPr>
                <w:rFonts w:hint="eastAsia"/>
                <w:b/>
                <w:sz w:val="24"/>
              </w:rPr>
              <w:t>）电磁环境现状监测及评价</w:t>
            </w:r>
          </w:p>
          <w:p w14:paraId="5368B38C">
            <w:pPr>
              <w:widowControl/>
              <w:wordWrap w:val="0"/>
              <w:spacing w:line="360" w:lineRule="auto"/>
              <w:ind w:firstLine="470" w:firstLineChars="196"/>
              <w:rPr>
                <w:sz w:val="24"/>
              </w:rPr>
            </w:pPr>
            <w:bookmarkStart w:id="11" w:name="_Toc467057579"/>
            <w:bookmarkStart w:id="12" w:name="_Toc29722418"/>
            <w:r>
              <w:rPr>
                <w:sz w:val="24"/>
              </w:rPr>
              <w:t>2025</w:t>
            </w:r>
            <w:r>
              <w:rPr>
                <w:rFonts w:hint="eastAsia"/>
                <w:sz w:val="24"/>
              </w:rPr>
              <w:t>年</w:t>
            </w:r>
            <w:r>
              <w:rPr>
                <w:sz w:val="24"/>
              </w:rPr>
              <w:t>04</w:t>
            </w:r>
            <w:r>
              <w:rPr>
                <w:rFonts w:hint="eastAsia"/>
                <w:sz w:val="24"/>
              </w:rPr>
              <w:t>月</w:t>
            </w:r>
            <w:r>
              <w:rPr>
                <w:sz w:val="24"/>
              </w:rPr>
              <w:t>29</w:t>
            </w:r>
            <w:r>
              <w:rPr>
                <w:rFonts w:hint="eastAsia"/>
                <w:sz w:val="24"/>
              </w:rPr>
              <w:t>日，建设单位委托深圳市源策通检测技术有限公司对惠州欣城新能源有限公司</w:t>
            </w:r>
            <w:r>
              <w:rPr>
                <w:sz w:val="24"/>
              </w:rPr>
              <w:t>200MW/400MWh</w:t>
            </w:r>
            <w:r>
              <w:rPr>
                <w:rFonts w:hint="eastAsia"/>
                <w:sz w:val="24"/>
              </w:rPr>
              <w:t>独立储能电站新建项目的电磁环境进行了现状监测，详见专项报告。</w:t>
            </w:r>
          </w:p>
          <w:bookmarkEnd w:id="11"/>
          <w:bookmarkEnd w:id="12"/>
          <w:p w14:paraId="66862265">
            <w:pPr>
              <w:widowControl/>
              <w:wordWrap w:val="0"/>
              <w:spacing w:line="360" w:lineRule="auto"/>
              <w:ind w:firstLine="470" w:firstLineChars="196"/>
              <w:rPr>
                <w:sz w:val="24"/>
              </w:rPr>
            </w:pPr>
            <w:r>
              <w:rPr>
                <w:sz w:val="24"/>
              </w:rPr>
              <w:t>1</w:t>
            </w:r>
            <w:r>
              <w:rPr>
                <w:rFonts w:hint="eastAsia"/>
                <w:sz w:val="24"/>
              </w:rPr>
              <w:t>）新建</w:t>
            </w:r>
            <w:r>
              <w:rPr>
                <w:rFonts w:hint="eastAsia"/>
                <w:bCs/>
                <w:sz w:val="24"/>
              </w:rPr>
              <w:t>储能电站</w:t>
            </w:r>
          </w:p>
          <w:p w14:paraId="456480C0">
            <w:pPr>
              <w:widowControl/>
              <w:wordWrap w:val="0"/>
              <w:spacing w:line="360" w:lineRule="auto"/>
              <w:ind w:firstLine="470" w:firstLineChars="196"/>
              <w:rPr>
                <w:sz w:val="24"/>
              </w:rPr>
            </w:pPr>
            <w:r>
              <w:rPr>
                <w:rFonts w:hint="eastAsia"/>
                <w:sz w:val="24"/>
              </w:rPr>
              <w:t>本次在厂界布设了</w:t>
            </w:r>
            <w:r>
              <w:rPr>
                <w:sz w:val="24"/>
              </w:rPr>
              <w:t>4</w:t>
            </w:r>
            <w:r>
              <w:rPr>
                <w:rFonts w:hint="eastAsia"/>
                <w:sz w:val="24"/>
              </w:rPr>
              <w:t>个电磁环境监测点，能反映新建站址处电磁环境现状。</w:t>
            </w:r>
          </w:p>
          <w:p w14:paraId="5FCC7724">
            <w:pPr>
              <w:widowControl/>
              <w:wordWrap w:val="0"/>
              <w:spacing w:line="360" w:lineRule="auto"/>
              <w:ind w:firstLine="470" w:firstLineChars="196"/>
              <w:rPr>
                <w:sz w:val="24"/>
              </w:rPr>
            </w:pPr>
            <w:r>
              <w:rPr>
                <w:sz w:val="24"/>
              </w:rPr>
              <w:t>2</w:t>
            </w:r>
            <w:r>
              <w:rPr>
                <w:rFonts w:hint="eastAsia"/>
                <w:sz w:val="24"/>
              </w:rPr>
              <w:t>）环境保护目标</w:t>
            </w:r>
          </w:p>
          <w:p w14:paraId="49D26EE3">
            <w:pPr>
              <w:widowControl/>
              <w:wordWrap w:val="0"/>
              <w:spacing w:line="360" w:lineRule="auto"/>
              <w:ind w:firstLine="470" w:firstLineChars="196"/>
              <w:rPr>
                <w:sz w:val="24"/>
              </w:rPr>
            </w:pPr>
            <w:r>
              <w:rPr>
                <w:rFonts w:hint="eastAsia"/>
                <w:sz w:val="24"/>
              </w:rPr>
              <w:t>项目储能电站</w:t>
            </w:r>
            <w:r>
              <w:rPr>
                <w:sz w:val="24"/>
              </w:rPr>
              <w:t>40</w:t>
            </w:r>
            <w:r>
              <w:rPr>
                <w:rFonts w:hint="eastAsia"/>
                <w:sz w:val="24"/>
              </w:rPr>
              <w:t>米范围内有无电磁环境保护目标，无需布设监测点。</w:t>
            </w:r>
          </w:p>
          <w:p w14:paraId="01A2997A">
            <w:pPr>
              <w:widowControl/>
              <w:wordWrap w:val="0"/>
              <w:spacing w:line="360" w:lineRule="auto"/>
              <w:ind w:firstLine="470" w:firstLineChars="196"/>
              <w:rPr>
                <w:sz w:val="24"/>
              </w:rPr>
            </w:pPr>
            <w:r>
              <w:rPr>
                <w:sz w:val="24"/>
              </w:rPr>
              <w:t>3</w:t>
            </w:r>
            <w:r>
              <w:rPr>
                <w:rFonts w:hint="eastAsia"/>
                <w:sz w:val="24"/>
              </w:rPr>
              <w:t>）电磁环境现状监测与评价</w:t>
            </w:r>
          </w:p>
          <w:p w14:paraId="685A7E1D">
            <w:pPr>
              <w:widowControl/>
              <w:wordWrap w:val="0"/>
              <w:spacing w:line="360" w:lineRule="auto"/>
              <w:ind w:firstLine="470" w:firstLineChars="196"/>
              <w:rPr>
                <w:sz w:val="24"/>
              </w:rPr>
            </w:pPr>
            <w:r>
              <w:rPr>
                <w:rFonts w:hint="eastAsia"/>
                <w:sz w:val="24"/>
              </w:rPr>
              <w:t>电磁环境现状监测结果详见表</w:t>
            </w:r>
            <w:r>
              <w:rPr>
                <w:sz w:val="24"/>
              </w:rPr>
              <w:t>3-4</w:t>
            </w:r>
            <w:r>
              <w:rPr>
                <w:rFonts w:hint="eastAsia"/>
                <w:sz w:val="24"/>
              </w:rPr>
              <w:t>。</w:t>
            </w:r>
          </w:p>
          <w:p w14:paraId="5E1BB727">
            <w:pPr>
              <w:pStyle w:val="143"/>
            </w:pPr>
            <w:r>
              <w:rPr>
                <w:rFonts w:hint="eastAsia"/>
              </w:rPr>
              <w:t>表</w:t>
            </w:r>
            <w:r>
              <w:t>3-4</w:t>
            </w:r>
            <w:r>
              <w:rPr>
                <w:rFonts w:hint="eastAsia"/>
              </w:rPr>
              <w:t>电磁环境现状监测结果与评价表</w:t>
            </w:r>
          </w:p>
          <w:tbl>
            <w:tblPr>
              <w:tblStyle w:val="150"/>
              <w:tblW w:w="5000" w:type="pct"/>
              <w:tblInd w:w="3"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1"/>
              <w:gridCol w:w="2272"/>
              <w:gridCol w:w="2064"/>
              <w:gridCol w:w="1088"/>
              <w:gridCol w:w="1013"/>
              <w:gridCol w:w="922"/>
            </w:tblGrid>
            <w:tr w14:paraId="1FB216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83" w:type="pct"/>
                  <w:vAlign w:val="center"/>
                </w:tcPr>
                <w:p w14:paraId="7DA559DC">
                  <w:pPr>
                    <w:pStyle w:val="149"/>
                    <w:rPr>
                      <w:rFonts w:hint="default" w:ascii="Times New Roman" w:hAnsi="Times New Roman" w:eastAsia="宋体" w:cs="Times New Roman"/>
                      <w:b/>
                      <w:i w:val="0"/>
                    </w:rPr>
                  </w:pPr>
                  <w:r>
                    <w:rPr>
                      <w:rFonts w:hint="eastAsia" w:ascii="Times New Roman" w:hAnsi="Times New Roman" w:eastAsia="宋体" w:cs="Times New Roman"/>
                      <w:b/>
                      <w:i w:val="0"/>
                    </w:rPr>
                    <w:t>点位编号</w:t>
                  </w:r>
                </w:p>
              </w:tc>
              <w:tc>
                <w:tcPr>
                  <w:tcW w:w="1364" w:type="pct"/>
                  <w:vAlign w:val="center"/>
                </w:tcPr>
                <w:p w14:paraId="41878FF0">
                  <w:pPr>
                    <w:pStyle w:val="149"/>
                    <w:rPr>
                      <w:rFonts w:hint="default" w:ascii="Times New Roman" w:hAnsi="Times New Roman" w:eastAsia="宋体" w:cs="Times New Roman"/>
                      <w:b/>
                      <w:i w:val="0"/>
                    </w:rPr>
                  </w:pPr>
                  <w:r>
                    <w:rPr>
                      <w:rFonts w:hint="eastAsia" w:ascii="Times New Roman" w:hAnsi="Times New Roman" w:eastAsia="宋体" w:cs="Times New Roman"/>
                      <w:b/>
                      <w:i w:val="0"/>
                    </w:rPr>
                    <w:t>监测点位</w:t>
                  </w:r>
                </w:p>
              </w:tc>
              <w:tc>
                <w:tcPr>
                  <w:tcW w:w="1239" w:type="pct"/>
                  <w:vAlign w:val="center"/>
                </w:tcPr>
                <w:p w14:paraId="624CE9B4">
                  <w:pPr>
                    <w:pStyle w:val="149"/>
                    <w:rPr>
                      <w:rFonts w:hint="default" w:ascii="Times New Roman" w:hAnsi="Times New Roman" w:eastAsia="宋体" w:cs="Times New Roman"/>
                      <w:b/>
                      <w:i w:val="0"/>
                    </w:rPr>
                  </w:pPr>
                  <w:r>
                    <w:rPr>
                      <w:rFonts w:hint="eastAsia" w:ascii="Times New Roman" w:hAnsi="Times New Roman" w:eastAsia="宋体" w:cs="Times New Roman"/>
                      <w:b/>
                      <w:i w:val="0"/>
                    </w:rPr>
                    <w:t>测量项目</w:t>
                  </w:r>
                </w:p>
              </w:tc>
              <w:tc>
                <w:tcPr>
                  <w:tcW w:w="653" w:type="pct"/>
                  <w:vAlign w:val="center"/>
                </w:tcPr>
                <w:p w14:paraId="2054AF2A">
                  <w:pPr>
                    <w:pStyle w:val="149"/>
                    <w:rPr>
                      <w:rFonts w:hint="default" w:ascii="Times New Roman" w:hAnsi="Times New Roman" w:eastAsia="宋体" w:cs="Times New Roman"/>
                      <w:b/>
                      <w:i w:val="0"/>
                    </w:rPr>
                  </w:pPr>
                  <w:r>
                    <w:rPr>
                      <w:rFonts w:hint="eastAsia" w:ascii="Times New Roman" w:hAnsi="Times New Roman" w:eastAsia="宋体" w:cs="Times New Roman"/>
                      <w:b/>
                      <w:i w:val="0"/>
                    </w:rPr>
                    <w:t>测量结果</w:t>
                  </w:r>
                </w:p>
              </w:tc>
              <w:tc>
                <w:tcPr>
                  <w:tcW w:w="608" w:type="pct"/>
                  <w:vAlign w:val="center"/>
                </w:tcPr>
                <w:p w14:paraId="591A3B1E">
                  <w:pPr>
                    <w:pStyle w:val="149"/>
                    <w:rPr>
                      <w:rFonts w:hint="default" w:ascii="Times New Roman" w:hAnsi="Times New Roman" w:eastAsia="宋体" w:cs="Times New Roman"/>
                      <w:b/>
                      <w:i w:val="0"/>
                    </w:rPr>
                  </w:pPr>
                  <w:r>
                    <w:rPr>
                      <w:rFonts w:hint="eastAsia" w:ascii="Times New Roman" w:hAnsi="Times New Roman" w:eastAsia="宋体" w:cs="Times New Roman"/>
                      <w:b/>
                      <w:i w:val="0"/>
                    </w:rPr>
                    <w:t>标准限值</w:t>
                  </w:r>
                </w:p>
              </w:tc>
              <w:tc>
                <w:tcPr>
                  <w:tcW w:w="553" w:type="pct"/>
                  <w:vAlign w:val="center"/>
                </w:tcPr>
                <w:p w14:paraId="112DBB0F">
                  <w:pPr>
                    <w:pStyle w:val="149"/>
                    <w:rPr>
                      <w:rFonts w:hint="default" w:ascii="Times New Roman" w:hAnsi="Times New Roman" w:eastAsia="宋体" w:cs="Times New Roman"/>
                      <w:b/>
                      <w:i w:val="0"/>
                    </w:rPr>
                  </w:pPr>
                  <w:r>
                    <w:rPr>
                      <w:rFonts w:hint="eastAsia" w:ascii="Times New Roman" w:hAnsi="Times New Roman" w:eastAsia="宋体" w:cs="Times New Roman"/>
                      <w:b/>
                      <w:i w:val="0"/>
                    </w:rPr>
                    <w:t>单位</w:t>
                  </w:r>
                </w:p>
              </w:tc>
            </w:tr>
            <w:tr w14:paraId="1A7569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83" w:type="pct"/>
                  <w:vMerge w:val="restart"/>
                  <w:vAlign w:val="center"/>
                </w:tcPr>
                <w:p w14:paraId="6261785B">
                  <w:pPr>
                    <w:pStyle w:val="149"/>
                    <w:rPr>
                      <w:rFonts w:eastAsia="Times New Roman"/>
                    </w:rPr>
                  </w:pPr>
                  <w:r>
                    <w:rPr>
                      <w:rFonts w:eastAsia="Times New Roman"/>
                    </w:rPr>
                    <w:t>1#</w:t>
                  </w:r>
                </w:p>
              </w:tc>
              <w:tc>
                <w:tcPr>
                  <w:tcW w:w="1364" w:type="pct"/>
                  <w:vMerge w:val="restart"/>
                  <w:vAlign w:val="center"/>
                </w:tcPr>
                <w:p w14:paraId="32B63283">
                  <w:pPr>
                    <w:pStyle w:val="149"/>
                    <w:rPr>
                      <w:rFonts w:eastAsia="Times New Roman"/>
                    </w:rPr>
                  </w:pPr>
                  <w:r>
                    <w:rPr>
                      <w:rFonts w:hint="eastAsia" w:ascii="宋体" w:hAnsi="宋体" w:eastAsia="宋体" w:cs="宋体"/>
                    </w:rPr>
                    <w:t>储能电站东侧厂界外</w:t>
                  </w:r>
                </w:p>
              </w:tc>
              <w:tc>
                <w:tcPr>
                  <w:tcW w:w="1239" w:type="pct"/>
                  <w:vAlign w:val="center"/>
                </w:tcPr>
                <w:p w14:paraId="3349F3AE">
                  <w:pPr>
                    <w:pStyle w:val="149"/>
                    <w:rPr>
                      <w:rFonts w:eastAsia="Times New Roman"/>
                    </w:rPr>
                  </w:pPr>
                  <w:r>
                    <w:rPr>
                      <w:rFonts w:hint="eastAsia" w:ascii="宋体" w:hAnsi="宋体" w:eastAsia="宋体" w:cs="宋体"/>
                    </w:rPr>
                    <w:t>工频电场强度</w:t>
                  </w:r>
                </w:p>
              </w:tc>
              <w:tc>
                <w:tcPr>
                  <w:tcW w:w="653" w:type="pct"/>
                  <w:vAlign w:val="center"/>
                </w:tcPr>
                <w:p w14:paraId="78FD6755">
                  <w:pPr>
                    <w:pStyle w:val="149"/>
                    <w:rPr>
                      <w:rFonts w:eastAsia="Times New Roman"/>
                    </w:rPr>
                  </w:pPr>
                  <w:r>
                    <w:rPr>
                      <w:rFonts w:eastAsia="Times New Roman"/>
                    </w:rPr>
                    <w:t>0.23</w:t>
                  </w:r>
                </w:p>
              </w:tc>
              <w:tc>
                <w:tcPr>
                  <w:tcW w:w="608" w:type="pct"/>
                  <w:vAlign w:val="center"/>
                </w:tcPr>
                <w:p w14:paraId="65BA60B0">
                  <w:pPr>
                    <w:pStyle w:val="149"/>
                    <w:rPr>
                      <w:rFonts w:eastAsia="Times New Roman"/>
                    </w:rPr>
                  </w:pPr>
                  <w:r>
                    <w:rPr>
                      <w:rFonts w:eastAsia="Times New Roman"/>
                    </w:rPr>
                    <w:t>4000</w:t>
                  </w:r>
                </w:p>
              </w:tc>
              <w:tc>
                <w:tcPr>
                  <w:tcW w:w="553" w:type="pct"/>
                  <w:vAlign w:val="center"/>
                </w:tcPr>
                <w:p w14:paraId="23E4DEAB">
                  <w:pPr>
                    <w:pStyle w:val="149"/>
                    <w:rPr>
                      <w:rFonts w:eastAsia="Times New Roman"/>
                    </w:rPr>
                  </w:pPr>
                  <w:r>
                    <w:rPr>
                      <w:rFonts w:eastAsia="Times New Roman"/>
                    </w:rPr>
                    <w:t>V/m</w:t>
                  </w:r>
                </w:p>
              </w:tc>
            </w:tr>
            <w:tr w14:paraId="74FFEF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83" w:type="pct"/>
                  <w:vMerge w:val="continue"/>
                  <w:vAlign w:val="center"/>
                </w:tcPr>
                <w:p w14:paraId="69FAE459">
                  <w:pPr>
                    <w:pStyle w:val="149"/>
                    <w:rPr>
                      <w:rFonts w:eastAsia="Times New Roman"/>
                    </w:rPr>
                  </w:pPr>
                </w:p>
              </w:tc>
              <w:tc>
                <w:tcPr>
                  <w:tcW w:w="1364" w:type="pct"/>
                  <w:vMerge w:val="continue"/>
                  <w:vAlign w:val="center"/>
                </w:tcPr>
                <w:p w14:paraId="05D93D00">
                  <w:pPr>
                    <w:pStyle w:val="149"/>
                    <w:rPr>
                      <w:rFonts w:eastAsia="Times New Roman"/>
                    </w:rPr>
                  </w:pPr>
                </w:p>
              </w:tc>
              <w:tc>
                <w:tcPr>
                  <w:tcW w:w="1239" w:type="pct"/>
                  <w:vAlign w:val="center"/>
                </w:tcPr>
                <w:p w14:paraId="5D607A1F">
                  <w:pPr>
                    <w:pStyle w:val="149"/>
                    <w:rPr>
                      <w:rFonts w:eastAsia="Times New Roman"/>
                    </w:rPr>
                  </w:pPr>
                  <w:r>
                    <w:rPr>
                      <w:rFonts w:hint="eastAsia" w:ascii="宋体" w:hAnsi="宋体" w:eastAsia="宋体" w:cs="宋体"/>
                    </w:rPr>
                    <w:t>工频磁感应强度</w:t>
                  </w:r>
                </w:p>
              </w:tc>
              <w:tc>
                <w:tcPr>
                  <w:tcW w:w="653" w:type="pct"/>
                  <w:vAlign w:val="center"/>
                </w:tcPr>
                <w:p w14:paraId="06F5CAF2">
                  <w:pPr>
                    <w:pStyle w:val="149"/>
                    <w:rPr>
                      <w:rFonts w:eastAsia="Times New Roman"/>
                    </w:rPr>
                  </w:pPr>
                  <w:r>
                    <w:rPr>
                      <w:rFonts w:eastAsia="新宋体"/>
                      <w:szCs w:val="24"/>
                    </w:rPr>
                    <w:t>6.80</w:t>
                  </w:r>
                  <w:r>
                    <w:rPr>
                      <w:rFonts w:ascii="Arial" w:hAnsi="Arial" w:eastAsia="新宋体" w:cs="Arial"/>
                      <w:szCs w:val="24"/>
                    </w:rPr>
                    <w:t>×</w:t>
                  </w:r>
                  <w:r>
                    <w:rPr>
                      <w:rFonts w:eastAsia="新宋体"/>
                      <w:szCs w:val="24"/>
                    </w:rPr>
                    <w:t>10</w:t>
                  </w:r>
                  <w:r>
                    <w:rPr>
                      <w:rFonts w:eastAsia="新宋体"/>
                      <w:szCs w:val="24"/>
                      <w:vertAlign w:val="superscript"/>
                    </w:rPr>
                    <w:t>-3</w:t>
                  </w:r>
                </w:p>
              </w:tc>
              <w:tc>
                <w:tcPr>
                  <w:tcW w:w="608" w:type="pct"/>
                  <w:vAlign w:val="center"/>
                </w:tcPr>
                <w:p w14:paraId="383E6F51">
                  <w:pPr>
                    <w:pStyle w:val="149"/>
                    <w:rPr>
                      <w:rFonts w:eastAsia="Times New Roman"/>
                    </w:rPr>
                  </w:pPr>
                  <w:r>
                    <w:rPr>
                      <w:rFonts w:eastAsia="Times New Roman"/>
                    </w:rPr>
                    <w:t>100</w:t>
                  </w:r>
                </w:p>
              </w:tc>
              <w:tc>
                <w:tcPr>
                  <w:tcW w:w="553" w:type="pct"/>
                  <w:vAlign w:val="center"/>
                </w:tcPr>
                <w:p w14:paraId="56C26575">
                  <w:pPr>
                    <w:pStyle w:val="149"/>
                    <w:rPr>
                      <w:rFonts w:eastAsia="Times New Roman"/>
                    </w:rPr>
                  </w:pPr>
                  <w:r>
                    <w:rPr>
                      <w:rFonts w:eastAsia="Times New Roman"/>
                    </w:rPr>
                    <w:t>μT</w:t>
                  </w:r>
                </w:p>
              </w:tc>
            </w:tr>
            <w:tr w14:paraId="070DCC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83" w:type="pct"/>
                  <w:vMerge w:val="restart"/>
                  <w:vAlign w:val="center"/>
                </w:tcPr>
                <w:p w14:paraId="18B21BF5">
                  <w:pPr>
                    <w:pStyle w:val="149"/>
                    <w:rPr>
                      <w:rFonts w:eastAsia="Times New Roman"/>
                    </w:rPr>
                  </w:pPr>
                  <w:r>
                    <w:rPr>
                      <w:rFonts w:eastAsia="Times New Roman"/>
                    </w:rPr>
                    <w:t>2#</w:t>
                  </w:r>
                </w:p>
              </w:tc>
              <w:tc>
                <w:tcPr>
                  <w:tcW w:w="1364" w:type="pct"/>
                  <w:vMerge w:val="restart"/>
                  <w:vAlign w:val="center"/>
                </w:tcPr>
                <w:p w14:paraId="1BD22F31">
                  <w:pPr>
                    <w:pStyle w:val="149"/>
                    <w:rPr>
                      <w:rFonts w:eastAsia="Times New Roman"/>
                    </w:rPr>
                  </w:pPr>
                  <w:r>
                    <w:rPr>
                      <w:rFonts w:hint="eastAsia" w:ascii="宋体" w:hAnsi="宋体" w:eastAsia="宋体" w:cs="宋体"/>
                    </w:rPr>
                    <w:t>储能电站西侧厂界外</w:t>
                  </w:r>
                </w:p>
              </w:tc>
              <w:tc>
                <w:tcPr>
                  <w:tcW w:w="1239" w:type="pct"/>
                  <w:vAlign w:val="center"/>
                </w:tcPr>
                <w:p w14:paraId="268EB797">
                  <w:pPr>
                    <w:pStyle w:val="149"/>
                    <w:rPr>
                      <w:rFonts w:eastAsia="Times New Roman"/>
                    </w:rPr>
                  </w:pPr>
                  <w:r>
                    <w:rPr>
                      <w:rFonts w:hint="eastAsia" w:ascii="宋体" w:hAnsi="宋体" w:eastAsia="宋体" w:cs="宋体"/>
                    </w:rPr>
                    <w:t>工频电场强度</w:t>
                  </w:r>
                </w:p>
              </w:tc>
              <w:tc>
                <w:tcPr>
                  <w:tcW w:w="653" w:type="pct"/>
                  <w:vAlign w:val="center"/>
                </w:tcPr>
                <w:p w14:paraId="74D99A31">
                  <w:pPr>
                    <w:pStyle w:val="149"/>
                    <w:rPr>
                      <w:rFonts w:eastAsia="Times New Roman"/>
                    </w:rPr>
                  </w:pPr>
                  <w:r>
                    <w:rPr>
                      <w:rFonts w:eastAsia="Times New Roman"/>
                    </w:rPr>
                    <w:t>0.23</w:t>
                  </w:r>
                </w:p>
              </w:tc>
              <w:tc>
                <w:tcPr>
                  <w:tcW w:w="608" w:type="pct"/>
                  <w:vAlign w:val="center"/>
                </w:tcPr>
                <w:p w14:paraId="6F5E7035">
                  <w:pPr>
                    <w:pStyle w:val="149"/>
                    <w:rPr>
                      <w:rFonts w:eastAsia="Times New Roman"/>
                    </w:rPr>
                  </w:pPr>
                  <w:r>
                    <w:rPr>
                      <w:rFonts w:eastAsia="Times New Roman"/>
                    </w:rPr>
                    <w:t>4000</w:t>
                  </w:r>
                </w:p>
              </w:tc>
              <w:tc>
                <w:tcPr>
                  <w:tcW w:w="553" w:type="pct"/>
                  <w:vAlign w:val="center"/>
                </w:tcPr>
                <w:p w14:paraId="4FC61F04">
                  <w:pPr>
                    <w:pStyle w:val="149"/>
                    <w:rPr>
                      <w:rFonts w:eastAsia="Times New Roman"/>
                    </w:rPr>
                  </w:pPr>
                  <w:r>
                    <w:rPr>
                      <w:rFonts w:eastAsia="Times New Roman"/>
                    </w:rPr>
                    <w:t>V/m</w:t>
                  </w:r>
                </w:p>
              </w:tc>
            </w:tr>
            <w:tr w14:paraId="7969EE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83" w:type="pct"/>
                  <w:vMerge w:val="continue"/>
                  <w:vAlign w:val="center"/>
                </w:tcPr>
                <w:p w14:paraId="3973EF70">
                  <w:pPr>
                    <w:pStyle w:val="149"/>
                    <w:rPr>
                      <w:rFonts w:eastAsia="Times New Roman"/>
                    </w:rPr>
                  </w:pPr>
                </w:p>
              </w:tc>
              <w:tc>
                <w:tcPr>
                  <w:tcW w:w="1364" w:type="pct"/>
                  <w:vMerge w:val="continue"/>
                  <w:vAlign w:val="center"/>
                </w:tcPr>
                <w:p w14:paraId="1CE589AE">
                  <w:pPr>
                    <w:pStyle w:val="149"/>
                    <w:rPr>
                      <w:rFonts w:eastAsia="Times New Roman"/>
                    </w:rPr>
                  </w:pPr>
                </w:p>
              </w:tc>
              <w:tc>
                <w:tcPr>
                  <w:tcW w:w="1239" w:type="pct"/>
                  <w:vAlign w:val="center"/>
                </w:tcPr>
                <w:p w14:paraId="3EABCF57">
                  <w:pPr>
                    <w:pStyle w:val="149"/>
                    <w:rPr>
                      <w:rFonts w:eastAsia="Times New Roman"/>
                    </w:rPr>
                  </w:pPr>
                  <w:r>
                    <w:rPr>
                      <w:rFonts w:hint="eastAsia" w:ascii="宋体" w:hAnsi="宋体" w:eastAsia="宋体" w:cs="宋体"/>
                    </w:rPr>
                    <w:t>工频磁感应强度</w:t>
                  </w:r>
                </w:p>
              </w:tc>
              <w:tc>
                <w:tcPr>
                  <w:tcW w:w="653" w:type="pct"/>
                  <w:vAlign w:val="center"/>
                </w:tcPr>
                <w:p w14:paraId="23E342D1">
                  <w:pPr>
                    <w:pStyle w:val="149"/>
                    <w:rPr>
                      <w:rFonts w:eastAsia="Times New Roman"/>
                    </w:rPr>
                  </w:pPr>
                  <w:r>
                    <w:rPr>
                      <w:rFonts w:eastAsia="新宋体"/>
                      <w:szCs w:val="24"/>
                    </w:rPr>
                    <w:t>5.80</w:t>
                  </w:r>
                  <w:r>
                    <w:rPr>
                      <w:rFonts w:ascii="Arial" w:hAnsi="Arial" w:eastAsia="新宋体" w:cs="Arial"/>
                      <w:szCs w:val="24"/>
                    </w:rPr>
                    <w:t>×</w:t>
                  </w:r>
                  <w:r>
                    <w:rPr>
                      <w:rFonts w:eastAsia="新宋体"/>
                      <w:szCs w:val="24"/>
                    </w:rPr>
                    <w:t>10</w:t>
                  </w:r>
                  <w:r>
                    <w:rPr>
                      <w:rFonts w:eastAsia="新宋体"/>
                      <w:szCs w:val="24"/>
                      <w:vertAlign w:val="superscript"/>
                    </w:rPr>
                    <w:t>-3</w:t>
                  </w:r>
                </w:p>
              </w:tc>
              <w:tc>
                <w:tcPr>
                  <w:tcW w:w="608" w:type="pct"/>
                  <w:vAlign w:val="center"/>
                </w:tcPr>
                <w:p w14:paraId="1CBDD5B1">
                  <w:pPr>
                    <w:pStyle w:val="149"/>
                    <w:rPr>
                      <w:rFonts w:eastAsia="Times New Roman"/>
                    </w:rPr>
                  </w:pPr>
                  <w:r>
                    <w:rPr>
                      <w:rFonts w:eastAsia="Times New Roman"/>
                    </w:rPr>
                    <w:t>100</w:t>
                  </w:r>
                </w:p>
              </w:tc>
              <w:tc>
                <w:tcPr>
                  <w:tcW w:w="553" w:type="pct"/>
                  <w:vAlign w:val="center"/>
                </w:tcPr>
                <w:p w14:paraId="35EFB09C">
                  <w:pPr>
                    <w:pStyle w:val="149"/>
                    <w:rPr>
                      <w:rFonts w:eastAsia="Times New Roman"/>
                    </w:rPr>
                  </w:pPr>
                  <w:r>
                    <w:rPr>
                      <w:rFonts w:eastAsia="Times New Roman"/>
                    </w:rPr>
                    <w:t>μT</w:t>
                  </w:r>
                </w:p>
              </w:tc>
            </w:tr>
            <w:tr w14:paraId="1BD068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83" w:type="pct"/>
                  <w:vMerge w:val="restart"/>
                  <w:vAlign w:val="center"/>
                </w:tcPr>
                <w:p w14:paraId="48783773">
                  <w:pPr>
                    <w:pStyle w:val="149"/>
                    <w:rPr>
                      <w:rFonts w:eastAsia="Times New Roman"/>
                    </w:rPr>
                  </w:pPr>
                  <w:r>
                    <w:rPr>
                      <w:rFonts w:eastAsia="Times New Roman"/>
                    </w:rPr>
                    <w:t>3#</w:t>
                  </w:r>
                </w:p>
              </w:tc>
              <w:tc>
                <w:tcPr>
                  <w:tcW w:w="1364" w:type="pct"/>
                  <w:vMerge w:val="restart"/>
                  <w:vAlign w:val="center"/>
                </w:tcPr>
                <w:p w14:paraId="4D26F03E">
                  <w:pPr>
                    <w:pStyle w:val="149"/>
                    <w:rPr>
                      <w:rFonts w:eastAsia="Times New Roman"/>
                    </w:rPr>
                  </w:pPr>
                  <w:r>
                    <w:rPr>
                      <w:rFonts w:hint="eastAsia" w:ascii="宋体" w:hAnsi="宋体" w:eastAsia="宋体" w:cs="宋体"/>
                    </w:rPr>
                    <w:t>储能电站南侧厂界外</w:t>
                  </w:r>
                </w:p>
              </w:tc>
              <w:tc>
                <w:tcPr>
                  <w:tcW w:w="1239" w:type="pct"/>
                  <w:vAlign w:val="center"/>
                </w:tcPr>
                <w:p w14:paraId="6C6BC710">
                  <w:pPr>
                    <w:pStyle w:val="149"/>
                    <w:rPr>
                      <w:rFonts w:eastAsia="Times New Roman"/>
                    </w:rPr>
                  </w:pPr>
                  <w:r>
                    <w:rPr>
                      <w:rFonts w:hint="eastAsia" w:ascii="宋体" w:hAnsi="宋体" w:eastAsia="宋体" w:cs="宋体"/>
                    </w:rPr>
                    <w:t>工频电场强度</w:t>
                  </w:r>
                </w:p>
              </w:tc>
              <w:tc>
                <w:tcPr>
                  <w:tcW w:w="653" w:type="pct"/>
                  <w:vAlign w:val="center"/>
                </w:tcPr>
                <w:p w14:paraId="76511285">
                  <w:pPr>
                    <w:pStyle w:val="149"/>
                    <w:rPr>
                      <w:rFonts w:eastAsia="Times New Roman"/>
                    </w:rPr>
                  </w:pPr>
                  <w:r>
                    <w:rPr>
                      <w:rFonts w:eastAsia="Times New Roman"/>
                    </w:rPr>
                    <w:t>0.58</w:t>
                  </w:r>
                </w:p>
              </w:tc>
              <w:tc>
                <w:tcPr>
                  <w:tcW w:w="608" w:type="pct"/>
                  <w:vAlign w:val="center"/>
                </w:tcPr>
                <w:p w14:paraId="239CDA28">
                  <w:pPr>
                    <w:pStyle w:val="149"/>
                    <w:rPr>
                      <w:rFonts w:eastAsia="Times New Roman"/>
                    </w:rPr>
                  </w:pPr>
                  <w:r>
                    <w:rPr>
                      <w:rFonts w:eastAsia="Times New Roman"/>
                    </w:rPr>
                    <w:t>4000</w:t>
                  </w:r>
                </w:p>
              </w:tc>
              <w:tc>
                <w:tcPr>
                  <w:tcW w:w="553" w:type="pct"/>
                  <w:vAlign w:val="center"/>
                </w:tcPr>
                <w:p w14:paraId="44ECF1E6">
                  <w:pPr>
                    <w:pStyle w:val="149"/>
                    <w:rPr>
                      <w:rFonts w:eastAsia="Times New Roman"/>
                    </w:rPr>
                  </w:pPr>
                  <w:r>
                    <w:rPr>
                      <w:rFonts w:eastAsia="Times New Roman"/>
                    </w:rPr>
                    <w:t>V/m</w:t>
                  </w:r>
                </w:p>
              </w:tc>
            </w:tr>
            <w:tr w14:paraId="10A0E8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83" w:type="pct"/>
                  <w:vMerge w:val="continue"/>
                  <w:vAlign w:val="center"/>
                </w:tcPr>
                <w:p w14:paraId="47A98F77">
                  <w:pPr>
                    <w:pStyle w:val="149"/>
                    <w:rPr>
                      <w:rFonts w:eastAsia="Times New Roman"/>
                    </w:rPr>
                  </w:pPr>
                </w:p>
              </w:tc>
              <w:tc>
                <w:tcPr>
                  <w:tcW w:w="1364" w:type="pct"/>
                  <w:vMerge w:val="continue"/>
                  <w:vAlign w:val="center"/>
                </w:tcPr>
                <w:p w14:paraId="22013EB4">
                  <w:pPr>
                    <w:pStyle w:val="149"/>
                    <w:rPr>
                      <w:rFonts w:eastAsia="Times New Roman"/>
                    </w:rPr>
                  </w:pPr>
                </w:p>
              </w:tc>
              <w:tc>
                <w:tcPr>
                  <w:tcW w:w="1239" w:type="pct"/>
                  <w:vAlign w:val="center"/>
                </w:tcPr>
                <w:p w14:paraId="6C0B3FA4">
                  <w:pPr>
                    <w:pStyle w:val="149"/>
                    <w:rPr>
                      <w:rFonts w:eastAsia="Times New Roman"/>
                    </w:rPr>
                  </w:pPr>
                  <w:r>
                    <w:rPr>
                      <w:rFonts w:hint="eastAsia" w:ascii="宋体" w:hAnsi="宋体" w:eastAsia="宋体" w:cs="宋体"/>
                    </w:rPr>
                    <w:t>工频磁感应强度</w:t>
                  </w:r>
                </w:p>
              </w:tc>
              <w:tc>
                <w:tcPr>
                  <w:tcW w:w="653" w:type="pct"/>
                  <w:vAlign w:val="center"/>
                </w:tcPr>
                <w:p w14:paraId="50CBC4A9">
                  <w:pPr>
                    <w:pStyle w:val="149"/>
                    <w:rPr>
                      <w:rFonts w:eastAsia="Times New Roman"/>
                    </w:rPr>
                  </w:pPr>
                  <w:r>
                    <w:rPr>
                      <w:rFonts w:eastAsia="新宋体"/>
                      <w:szCs w:val="24"/>
                    </w:rPr>
                    <w:t>6.00</w:t>
                  </w:r>
                  <w:r>
                    <w:rPr>
                      <w:rFonts w:ascii="Arial" w:hAnsi="Arial" w:eastAsia="新宋体" w:cs="Arial"/>
                      <w:szCs w:val="24"/>
                    </w:rPr>
                    <w:t>×</w:t>
                  </w:r>
                  <w:r>
                    <w:rPr>
                      <w:rFonts w:eastAsia="新宋体"/>
                      <w:szCs w:val="24"/>
                    </w:rPr>
                    <w:t>10</w:t>
                  </w:r>
                  <w:r>
                    <w:rPr>
                      <w:rFonts w:eastAsia="新宋体"/>
                      <w:szCs w:val="24"/>
                      <w:vertAlign w:val="superscript"/>
                    </w:rPr>
                    <w:t>-3</w:t>
                  </w:r>
                </w:p>
              </w:tc>
              <w:tc>
                <w:tcPr>
                  <w:tcW w:w="608" w:type="pct"/>
                  <w:vAlign w:val="center"/>
                </w:tcPr>
                <w:p w14:paraId="66C97B79">
                  <w:pPr>
                    <w:pStyle w:val="149"/>
                    <w:rPr>
                      <w:rFonts w:eastAsia="Times New Roman"/>
                    </w:rPr>
                  </w:pPr>
                  <w:r>
                    <w:rPr>
                      <w:rFonts w:eastAsia="Times New Roman"/>
                    </w:rPr>
                    <w:t>100</w:t>
                  </w:r>
                </w:p>
              </w:tc>
              <w:tc>
                <w:tcPr>
                  <w:tcW w:w="553" w:type="pct"/>
                  <w:vAlign w:val="center"/>
                </w:tcPr>
                <w:p w14:paraId="07EE7045">
                  <w:pPr>
                    <w:pStyle w:val="149"/>
                    <w:rPr>
                      <w:rFonts w:eastAsia="Times New Roman"/>
                    </w:rPr>
                  </w:pPr>
                  <w:r>
                    <w:rPr>
                      <w:rFonts w:eastAsia="Times New Roman"/>
                    </w:rPr>
                    <w:t>μT</w:t>
                  </w:r>
                </w:p>
              </w:tc>
            </w:tr>
            <w:tr w14:paraId="3FCE40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83" w:type="pct"/>
                  <w:vMerge w:val="restart"/>
                  <w:vAlign w:val="center"/>
                </w:tcPr>
                <w:p w14:paraId="3F23AC95">
                  <w:pPr>
                    <w:pStyle w:val="149"/>
                    <w:rPr>
                      <w:rFonts w:eastAsia="Times New Roman"/>
                    </w:rPr>
                  </w:pPr>
                  <w:r>
                    <w:rPr>
                      <w:rFonts w:eastAsia="Times New Roman"/>
                    </w:rPr>
                    <w:t>4#</w:t>
                  </w:r>
                </w:p>
              </w:tc>
              <w:tc>
                <w:tcPr>
                  <w:tcW w:w="1364" w:type="pct"/>
                  <w:vMerge w:val="restart"/>
                  <w:vAlign w:val="center"/>
                </w:tcPr>
                <w:p w14:paraId="5098F6F2">
                  <w:pPr>
                    <w:pStyle w:val="149"/>
                    <w:rPr>
                      <w:rFonts w:eastAsia="Times New Roman"/>
                    </w:rPr>
                  </w:pPr>
                  <w:r>
                    <w:rPr>
                      <w:rFonts w:hint="eastAsia" w:ascii="宋体" w:hAnsi="宋体" w:eastAsia="宋体" w:cs="宋体"/>
                    </w:rPr>
                    <w:t>储能电站北侧厂界外</w:t>
                  </w:r>
                </w:p>
              </w:tc>
              <w:tc>
                <w:tcPr>
                  <w:tcW w:w="1239" w:type="pct"/>
                  <w:vAlign w:val="center"/>
                </w:tcPr>
                <w:p w14:paraId="4FDFC01E">
                  <w:pPr>
                    <w:pStyle w:val="149"/>
                    <w:rPr>
                      <w:rFonts w:eastAsia="Times New Roman"/>
                    </w:rPr>
                  </w:pPr>
                  <w:r>
                    <w:rPr>
                      <w:rFonts w:hint="eastAsia" w:ascii="宋体" w:hAnsi="宋体" w:eastAsia="宋体" w:cs="宋体"/>
                    </w:rPr>
                    <w:t>工频电场强度</w:t>
                  </w:r>
                </w:p>
              </w:tc>
              <w:tc>
                <w:tcPr>
                  <w:tcW w:w="653" w:type="pct"/>
                  <w:vAlign w:val="center"/>
                </w:tcPr>
                <w:p w14:paraId="47755291">
                  <w:pPr>
                    <w:pStyle w:val="149"/>
                    <w:rPr>
                      <w:rFonts w:eastAsia="Times New Roman"/>
                    </w:rPr>
                  </w:pPr>
                  <w:r>
                    <w:rPr>
                      <w:rFonts w:eastAsia="Times New Roman"/>
                    </w:rPr>
                    <w:t>0.34</w:t>
                  </w:r>
                </w:p>
              </w:tc>
              <w:tc>
                <w:tcPr>
                  <w:tcW w:w="608" w:type="pct"/>
                  <w:vAlign w:val="center"/>
                </w:tcPr>
                <w:p w14:paraId="1C865CB1">
                  <w:pPr>
                    <w:pStyle w:val="149"/>
                    <w:rPr>
                      <w:rFonts w:eastAsia="Times New Roman"/>
                    </w:rPr>
                  </w:pPr>
                  <w:r>
                    <w:rPr>
                      <w:rFonts w:eastAsia="Times New Roman"/>
                    </w:rPr>
                    <w:t>4000</w:t>
                  </w:r>
                </w:p>
              </w:tc>
              <w:tc>
                <w:tcPr>
                  <w:tcW w:w="553" w:type="pct"/>
                  <w:vAlign w:val="center"/>
                </w:tcPr>
                <w:p w14:paraId="005DD03D">
                  <w:pPr>
                    <w:pStyle w:val="149"/>
                    <w:rPr>
                      <w:rFonts w:eastAsia="Times New Roman"/>
                    </w:rPr>
                  </w:pPr>
                  <w:r>
                    <w:rPr>
                      <w:rFonts w:eastAsia="Times New Roman"/>
                    </w:rPr>
                    <w:t>V/m</w:t>
                  </w:r>
                </w:p>
              </w:tc>
            </w:tr>
            <w:tr w14:paraId="73CFC3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83" w:type="pct"/>
                  <w:vMerge w:val="continue"/>
                  <w:vAlign w:val="center"/>
                </w:tcPr>
                <w:p w14:paraId="244850A3">
                  <w:pPr>
                    <w:pStyle w:val="149"/>
                    <w:rPr>
                      <w:rFonts w:eastAsia="Times New Roman"/>
                    </w:rPr>
                  </w:pPr>
                </w:p>
              </w:tc>
              <w:tc>
                <w:tcPr>
                  <w:tcW w:w="1364" w:type="pct"/>
                  <w:vMerge w:val="continue"/>
                  <w:vAlign w:val="center"/>
                </w:tcPr>
                <w:p w14:paraId="75730EB1">
                  <w:pPr>
                    <w:pStyle w:val="149"/>
                    <w:rPr>
                      <w:rFonts w:eastAsia="Times New Roman"/>
                    </w:rPr>
                  </w:pPr>
                </w:p>
              </w:tc>
              <w:tc>
                <w:tcPr>
                  <w:tcW w:w="1239" w:type="pct"/>
                  <w:vAlign w:val="center"/>
                </w:tcPr>
                <w:p w14:paraId="34F7FEE8">
                  <w:pPr>
                    <w:pStyle w:val="149"/>
                    <w:rPr>
                      <w:rFonts w:eastAsia="Times New Roman"/>
                    </w:rPr>
                  </w:pPr>
                  <w:r>
                    <w:rPr>
                      <w:rFonts w:hint="eastAsia" w:ascii="宋体" w:hAnsi="宋体" w:eastAsia="宋体" w:cs="宋体"/>
                    </w:rPr>
                    <w:t>工频磁感应强度</w:t>
                  </w:r>
                </w:p>
              </w:tc>
              <w:tc>
                <w:tcPr>
                  <w:tcW w:w="653" w:type="pct"/>
                  <w:vAlign w:val="center"/>
                </w:tcPr>
                <w:p w14:paraId="7ED8CC89">
                  <w:pPr>
                    <w:pStyle w:val="149"/>
                    <w:rPr>
                      <w:rFonts w:eastAsia="Times New Roman"/>
                    </w:rPr>
                  </w:pPr>
                  <w:r>
                    <w:rPr>
                      <w:rFonts w:eastAsia="新宋体"/>
                      <w:szCs w:val="24"/>
                    </w:rPr>
                    <w:t>5.90</w:t>
                  </w:r>
                  <w:r>
                    <w:rPr>
                      <w:rFonts w:ascii="Arial" w:hAnsi="Arial" w:eastAsia="新宋体" w:cs="Arial"/>
                      <w:szCs w:val="24"/>
                    </w:rPr>
                    <w:t>×</w:t>
                  </w:r>
                  <w:r>
                    <w:rPr>
                      <w:rFonts w:eastAsia="新宋体"/>
                      <w:szCs w:val="24"/>
                    </w:rPr>
                    <w:t>10</w:t>
                  </w:r>
                  <w:r>
                    <w:rPr>
                      <w:rFonts w:eastAsia="新宋体"/>
                      <w:szCs w:val="24"/>
                      <w:vertAlign w:val="superscript"/>
                    </w:rPr>
                    <w:t>-3</w:t>
                  </w:r>
                </w:p>
              </w:tc>
              <w:tc>
                <w:tcPr>
                  <w:tcW w:w="608" w:type="pct"/>
                  <w:vAlign w:val="center"/>
                </w:tcPr>
                <w:p w14:paraId="369F839D">
                  <w:pPr>
                    <w:pStyle w:val="149"/>
                    <w:rPr>
                      <w:rFonts w:eastAsia="Times New Roman"/>
                    </w:rPr>
                  </w:pPr>
                  <w:r>
                    <w:rPr>
                      <w:rFonts w:eastAsia="Times New Roman"/>
                    </w:rPr>
                    <w:t>100</w:t>
                  </w:r>
                </w:p>
              </w:tc>
              <w:tc>
                <w:tcPr>
                  <w:tcW w:w="553" w:type="pct"/>
                  <w:vAlign w:val="center"/>
                </w:tcPr>
                <w:p w14:paraId="6F627FE6">
                  <w:pPr>
                    <w:pStyle w:val="149"/>
                    <w:rPr>
                      <w:rFonts w:eastAsia="Times New Roman"/>
                    </w:rPr>
                  </w:pPr>
                  <w:r>
                    <w:rPr>
                      <w:rFonts w:eastAsia="Times New Roman"/>
                    </w:rPr>
                    <w:t>μT</w:t>
                  </w:r>
                </w:p>
              </w:tc>
            </w:tr>
            <w:tr w14:paraId="1C04E1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00" w:type="pct"/>
                  <w:gridSpan w:val="6"/>
                  <w:vAlign w:val="center"/>
                </w:tcPr>
                <w:p w14:paraId="6166E972">
                  <w:pPr>
                    <w:pStyle w:val="149"/>
                    <w:rPr>
                      <w:rFonts w:eastAsia="Times New Roman"/>
                    </w:rPr>
                  </w:pPr>
                  <w:r>
                    <w:rPr>
                      <w:rFonts w:hint="eastAsia" w:ascii="宋体" w:hAnsi="宋体" w:eastAsia="宋体" w:cs="宋体"/>
                    </w:rPr>
                    <w:t>备注：参照《电磁环境控制限值》</w:t>
                  </w:r>
                  <w:r>
                    <w:rPr>
                      <w:rFonts w:eastAsia="Times New Roman"/>
                    </w:rPr>
                    <w:t>(GB8702-2014</w:t>
                  </w:r>
                  <w:r>
                    <w:rPr>
                      <w:rFonts w:hint="eastAsia" w:ascii="宋体" w:hAnsi="宋体" w:eastAsia="宋体" w:cs="宋体"/>
                    </w:rPr>
                    <w:t>）表</w:t>
                  </w:r>
                  <w:r>
                    <w:rPr>
                      <w:rFonts w:eastAsia="Times New Roman"/>
                    </w:rPr>
                    <w:t>1</w:t>
                  </w:r>
                  <w:r>
                    <w:rPr>
                      <w:rFonts w:hint="eastAsia" w:ascii="宋体" w:hAnsi="宋体" w:eastAsia="宋体" w:cs="宋体"/>
                    </w:rPr>
                    <w:t>中</w:t>
                  </w:r>
                  <w:r>
                    <w:rPr>
                      <w:rFonts w:eastAsia="Times New Roman"/>
                    </w:rPr>
                    <w:t>0.05kHz</w:t>
                  </w:r>
                  <w:r>
                    <w:rPr>
                      <w:rFonts w:hint="eastAsia" w:ascii="宋体" w:hAnsi="宋体" w:eastAsia="宋体" w:cs="宋体"/>
                    </w:rPr>
                    <w:t>的公众曝露控制限值</w:t>
                  </w:r>
                </w:p>
              </w:tc>
            </w:tr>
          </w:tbl>
          <w:p w14:paraId="78E1303A">
            <w:pPr>
              <w:snapToGrid w:val="0"/>
              <w:spacing w:line="360" w:lineRule="auto"/>
              <w:ind w:firstLine="480" w:firstLineChars="200"/>
              <w:rPr>
                <w:sz w:val="24"/>
              </w:rPr>
            </w:pPr>
            <w:r>
              <w:rPr>
                <w:rFonts w:hint="eastAsia"/>
                <w:sz w:val="24"/>
              </w:rPr>
              <w:t>综上，本次监测</w:t>
            </w:r>
            <w:r>
              <w:rPr>
                <w:sz w:val="24"/>
              </w:rPr>
              <w:t>4</w:t>
            </w:r>
            <w:r>
              <w:rPr>
                <w:rFonts w:hint="eastAsia"/>
                <w:sz w:val="24"/>
              </w:rPr>
              <w:t>个点位的工频电场强度均远</w:t>
            </w:r>
            <w:r>
              <w:rPr>
                <w:rFonts w:hint="eastAsia"/>
                <w:bCs/>
                <w:sz w:val="24"/>
              </w:rPr>
              <w:t>小于</w:t>
            </w:r>
            <w:r>
              <w:rPr>
                <w:rFonts w:hint="eastAsia"/>
                <w:sz w:val="24"/>
              </w:rPr>
              <w:t>《电磁环境控制限值》（</w:t>
            </w:r>
            <w:r>
              <w:rPr>
                <w:sz w:val="24"/>
              </w:rPr>
              <w:t>GB8702-2014</w:t>
            </w:r>
            <w:r>
              <w:rPr>
                <w:rFonts w:hint="eastAsia"/>
                <w:sz w:val="24"/>
              </w:rPr>
              <w:t>）中公众曝露区</w:t>
            </w:r>
            <w:r>
              <w:rPr>
                <w:bCs/>
                <w:sz w:val="24"/>
              </w:rPr>
              <w:t>4kV/m</w:t>
            </w:r>
            <w:r>
              <w:rPr>
                <w:rFonts w:hint="eastAsia"/>
                <w:bCs/>
                <w:sz w:val="24"/>
              </w:rPr>
              <w:t>的评价限值；</w:t>
            </w:r>
            <w:r>
              <w:rPr>
                <w:rFonts w:hint="eastAsia"/>
                <w:sz w:val="24"/>
              </w:rPr>
              <w:t>本次监测</w:t>
            </w:r>
            <w:r>
              <w:rPr>
                <w:sz w:val="24"/>
              </w:rPr>
              <w:t>4</w:t>
            </w:r>
            <w:r>
              <w:rPr>
                <w:rFonts w:hint="eastAsia"/>
                <w:sz w:val="24"/>
              </w:rPr>
              <w:t>个点位的工频磁感应强度远</w:t>
            </w:r>
            <w:r>
              <w:rPr>
                <w:rFonts w:hint="eastAsia"/>
                <w:bCs/>
                <w:sz w:val="24"/>
              </w:rPr>
              <w:t>小于</w:t>
            </w:r>
            <w:r>
              <w:rPr>
                <w:rFonts w:hint="eastAsia"/>
                <w:sz w:val="24"/>
              </w:rPr>
              <w:t>《电磁环境控制限值》（</w:t>
            </w:r>
            <w:r>
              <w:rPr>
                <w:sz w:val="24"/>
              </w:rPr>
              <w:t>GB8702-2014</w:t>
            </w:r>
            <w:r>
              <w:rPr>
                <w:rFonts w:hint="eastAsia"/>
                <w:sz w:val="24"/>
              </w:rPr>
              <w:t>）中公众曝露区</w:t>
            </w:r>
            <w:r>
              <w:rPr>
                <w:bCs/>
                <w:sz w:val="24"/>
              </w:rPr>
              <w:t>100</w:t>
            </w:r>
            <w:r>
              <w:rPr>
                <w:sz w:val="24"/>
              </w:rPr>
              <w:t>μT</w:t>
            </w:r>
            <w:r>
              <w:rPr>
                <w:rFonts w:hint="eastAsia"/>
                <w:bCs/>
                <w:sz w:val="24"/>
              </w:rPr>
              <w:t>的评价限值。</w:t>
            </w:r>
            <w:r>
              <w:rPr>
                <w:rFonts w:hint="eastAsia"/>
                <w:sz w:val="24"/>
              </w:rPr>
              <w:t>项目区电磁环境质量良好。</w:t>
            </w:r>
          </w:p>
          <w:p w14:paraId="542DD1C9">
            <w:pPr>
              <w:adjustRightInd w:val="0"/>
              <w:snapToGrid w:val="0"/>
              <w:spacing w:line="360" w:lineRule="auto"/>
              <w:ind w:firstLine="482" w:firstLineChars="200"/>
              <w:textAlignment w:val="baseline"/>
              <w:rPr>
                <w:b/>
                <w:sz w:val="24"/>
              </w:rPr>
            </w:pPr>
            <w:r>
              <w:rPr>
                <w:rFonts w:hint="eastAsia"/>
                <w:b/>
                <w:sz w:val="24"/>
              </w:rPr>
              <w:t>（</w:t>
            </w:r>
            <w:r>
              <w:rPr>
                <w:b/>
                <w:sz w:val="24"/>
              </w:rPr>
              <w:t>6</w:t>
            </w:r>
            <w:r>
              <w:rPr>
                <w:rFonts w:hint="eastAsia"/>
                <w:b/>
                <w:sz w:val="24"/>
              </w:rPr>
              <w:t>）地下水、土壤环境</w:t>
            </w:r>
          </w:p>
          <w:p w14:paraId="7FB75D8A">
            <w:pPr>
              <w:widowControl/>
              <w:snapToGrid w:val="0"/>
              <w:spacing w:line="360" w:lineRule="auto"/>
              <w:ind w:firstLine="480" w:firstLineChars="200"/>
              <w:rPr>
                <w:rFonts w:eastAsiaTheme="minorEastAsia"/>
                <w:sz w:val="24"/>
              </w:rPr>
            </w:pPr>
            <w:r>
              <w:rPr>
                <w:rFonts w:eastAsiaTheme="minorEastAsia"/>
                <w:sz w:val="24"/>
              </w:rPr>
              <w:t>根据《建设项目环境影响评价技术导则地下水环境》（HJ610-2016）附录A地下水环境影响评价行业分类表，本项目属于IV类建设项目，可不开展地下水环境影响评价。</w:t>
            </w:r>
          </w:p>
          <w:p w14:paraId="6AB6F467">
            <w:pPr>
              <w:widowControl/>
              <w:snapToGrid w:val="0"/>
              <w:spacing w:line="360" w:lineRule="auto"/>
              <w:ind w:firstLine="480" w:firstLineChars="200"/>
              <w:rPr>
                <w:rFonts w:eastAsiaTheme="minorEastAsia"/>
                <w:sz w:val="24"/>
              </w:rPr>
            </w:pPr>
            <w:r>
              <w:rPr>
                <w:rFonts w:eastAsiaTheme="minorEastAsia"/>
                <w:sz w:val="24"/>
              </w:rPr>
              <w:t>根据《环境影响评价技术导则土壤环境（试行）》（HJ964-2018）附录A，本项目属于“电力热力燃气及水产和供应业——其他”类别，因此项目土壤环境影响评价项目类别为Ⅳ类。Ⅳ类项目不开展土壤环境影响评价，因此本项目不开展土壤环境影响评价。</w:t>
            </w:r>
          </w:p>
          <w:p w14:paraId="65A88FB5">
            <w:pPr>
              <w:snapToGrid w:val="0"/>
              <w:spacing w:line="360" w:lineRule="auto"/>
              <w:ind w:firstLine="480" w:firstLineChars="200"/>
            </w:pPr>
            <w:r>
              <w:rPr>
                <w:rFonts w:eastAsiaTheme="minorEastAsia"/>
                <w:sz w:val="24"/>
              </w:rPr>
              <w:t>项目施工周期较短，主要光伏组件施工过程中设计挖方，施工工艺中不涉及地下水污染，施工过程中不会给项目区域内土壤造成污染；施工结束后进行土地整治和恢复土地利用，及时对裸露地表进行覆盖，相应施工影响均随施工结束消失，运营期内不会对区域土壤和地下水造成环境污染。综上，项目不涉及土壤和地下水污染途径，因此无需开展土壤和地下水的现状调查</w:t>
            </w:r>
            <w:r>
              <w:rPr>
                <w:rFonts w:hint="eastAsia" w:eastAsiaTheme="minorEastAsia"/>
                <w:sz w:val="24"/>
              </w:rPr>
              <w:t>。</w:t>
            </w:r>
          </w:p>
        </w:tc>
      </w:tr>
      <w:tr w14:paraId="1B9725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39" w:type="pct"/>
            <w:tcMar>
              <w:top w:w="0" w:type="dxa"/>
              <w:left w:w="51" w:type="dxa"/>
              <w:bottom w:w="0" w:type="dxa"/>
              <w:right w:w="51" w:type="dxa"/>
            </w:tcMar>
            <w:vAlign w:val="center"/>
          </w:tcPr>
          <w:p w14:paraId="16E11464">
            <w:pPr>
              <w:pStyle w:val="29"/>
              <w:ind w:firstLine="0" w:firstLineChars="0"/>
              <w:jc w:val="center"/>
            </w:pPr>
            <w:r>
              <w:rPr>
                <w:rFonts w:hint="eastAsia"/>
              </w:rPr>
              <w:t>与项目有关原有环境污染和生态破坏问题</w:t>
            </w:r>
          </w:p>
        </w:tc>
        <w:tc>
          <w:tcPr>
            <w:tcW w:w="4761" w:type="pct"/>
            <w:vAlign w:val="center"/>
          </w:tcPr>
          <w:p w14:paraId="174DA274">
            <w:pPr>
              <w:spacing w:line="360" w:lineRule="auto"/>
              <w:ind w:firstLine="480" w:firstLineChars="200"/>
              <w:rPr>
                <w:bCs/>
                <w:sz w:val="24"/>
              </w:rPr>
            </w:pPr>
            <w:r>
              <w:rPr>
                <w:rFonts w:hint="eastAsia"/>
                <w:bCs/>
                <w:sz w:val="24"/>
              </w:rPr>
              <w:t>储能电站站址处现状为裸土地、荒草地、待建设用地，无环境污染和生态破坏问题。</w:t>
            </w:r>
          </w:p>
        </w:tc>
      </w:tr>
      <w:tr w14:paraId="71295F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239" w:type="pct"/>
            <w:tcMar>
              <w:top w:w="0" w:type="dxa"/>
              <w:left w:w="51" w:type="dxa"/>
              <w:bottom w:w="0" w:type="dxa"/>
              <w:right w:w="51" w:type="dxa"/>
            </w:tcMar>
            <w:vAlign w:val="center"/>
          </w:tcPr>
          <w:p w14:paraId="4B733A06">
            <w:pPr>
              <w:pStyle w:val="29"/>
              <w:ind w:firstLine="0" w:firstLineChars="0"/>
              <w:jc w:val="center"/>
            </w:pPr>
            <w:r>
              <w:rPr>
                <w:rFonts w:hint="eastAsia"/>
              </w:rPr>
              <w:t>生态环境保护目标</w:t>
            </w:r>
          </w:p>
        </w:tc>
        <w:tc>
          <w:tcPr>
            <w:tcW w:w="4761" w:type="pct"/>
          </w:tcPr>
          <w:p w14:paraId="7C22BBD3">
            <w:pPr>
              <w:spacing w:line="360" w:lineRule="auto"/>
              <w:ind w:firstLine="482" w:firstLineChars="200"/>
              <w:rPr>
                <w:b/>
                <w:bCs/>
                <w:sz w:val="24"/>
              </w:rPr>
            </w:pPr>
            <w:r>
              <w:rPr>
                <w:b/>
                <w:bCs/>
                <w:sz w:val="24"/>
              </w:rPr>
              <w:t>1</w:t>
            </w:r>
            <w:r>
              <w:rPr>
                <w:rFonts w:hint="eastAsia"/>
                <w:b/>
                <w:bCs/>
                <w:sz w:val="24"/>
              </w:rPr>
              <w:t>、评价因子</w:t>
            </w:r>
          </w:p>
          <w:p w14:paraId="74A6BFC8">
            <w:pPr>
              <w:spacing w:line="360" w:lineRule="auto"/>
              <w:ind w:firstLine="480" w:firstLineChars="200"/>
              <w:rPr>
                <w:sz w:val="24"/>
              </w:rPr>
            </w:pPr>
            <w:r>
              <w:rPr>
                <w:rFonts w:hint="eastAsia"/>
                <w:sz w:val="24"/>
              </w:rPr>
              <w:t>根据《环境影响评价技术导则输变电》（</w:t>
            </w:r>
            <w:r>
              <w:rPr>
                <w:sz w:val="24"/>
              </w:rPr>
              <w:t>HJ24-2020</w:t>
            </w:r>
            <w:r>
              <w:rPr>
                <w:rFonts w:hint="eastAsia"/>
                <w:sz w:val="24"/>
              </w:rPr>
              <w:t>），本次评价对象为投运后的</w:t>
            </w:r>
            <w:r>
              <w:rPr>
                <w:sz w:val="24"/>
              </w:rPr>
              <w:t>220kV</w:t>
            </w:r>
            <w:r>
              <w:rPr>
                <w:rFonts w:hint="eastAsia"/>
                <w:sz w:val="24"/>
              </w:rPr>
              <w:t>升压站。</w:t>
            </w:r>
          </w:p>
          <w:p w14:paraId="7FDF9261">
            <w:pPr>
              <w:spacing w:line="360" w:lineRule="auto"/>
              <w:ind w:firstLine="480" w:firstLineChars="200"/>
              <w:rPr>
                <w:sz w:val="24"/>
              </w:rPr>
            </w:pPr>
            <w:r>
              <w:rPr>
                <w:rFonts w:hint="eastAsia"/>
                <w:sz w:val="24"/>
              </w:rPr>
              <w:t>评价重点：施工期生态环境影响评价；运行期升压站的电磁环境和声环境影响评价。本报告表设置了“电磁环境影响评价专章”。</w:t>
            </w:r>
          </w:p>
          <w:p w14:paraId="34A674B7">
            <w:pPr>
              <w:spacing w:line="360" w:lineRule="auto"/>
              <w:ind w:firstLine="482" w:firstLineChars="200"/>
              <w:rPr>
                <w:b/>
                <w:sz w:val="24"/>
              </w:rPr>
            </w:pPr>
            <w:r>
              <w:rPr>
                <w:rFonts w:hint="eastAsia"/>
                <w:b/>
                <w:sz w:val="24"/>
              </w:rPr>
              <w:t>（</w:t>
            </w:r>
            <w:r>
              <w:rPr>
                <w:b/>
                <w:sz w:val="24"/>
              </w:rPr>
              <w:t>1</w:t>
            </w:r>
            <w:r>
              <w:rPr>
                <w:rFonts w:hint="eastAsia"/>
                <w:b/>
                <w:sz w:val="24"/>
              </w:rPr>
              <w:t>）评价因子</w:t>
            </w:r>
          </w:p>
          <w:p w14:paraId="4E85AD7C">
            <w:pPr>
              <w:spacing w:line="360" w:lineRule="auto"/>
              <w:ind w:firstLine="480" w:firstLineChars="200"/>
              <w:rPr>
                <w:sz w:val="24"/>
              </w:rPr>
            </w:pPr>
            <w:r>
              <w:rPr>
                <w:rFonts w:hint="eastAsia"/>
                <w:sz w:val="24"/>
              </w:rPr>
              <w:t>根据《环境影响评价技术导则输变电》（</w:t>
            </w:r>
            <w:r>
              <w:rPr>
                <w:sz w:val="24"/>
              </w:rPr>
              <w:t>HJ24-2020</w:t>
            </w:r>
            <w:r>
              <w:rPr>
                <w:rFonts w:hint="eastAsia"/>
                <w:sz w:val="24"/>
              </w:rPr>
              <w:t>），本项目的主要环境影响评价因子见表</w:t>
            </w:r>
            <w:r>
              <w:rPr>
                <w:sz w:val="24"/>
              </w:rPr>
              <w:t>3-5</w:t>
            </w:r>
            <w:r>
              <w:rPr>
                <w:rFonts w:hint="eastAsia"/>
                <w:sz w:val="24"/>
              </w:rPr>
              <w:t>。</w:t>
            </w:r>
          </w:p>
          <w:p w14:paraId="7BAF4A7D">
            <w:pPr>
              <w:pStyle w:val="132"/>
              <w:rPr>
                <w:b/>
              </w:rPr>
            </w:pPr>
            <w:r>
              <w:rPr>
                <w:rFonts w:hint="eastAsia"/>
                <w:b/>
              </w:rPr>
              <w:t>表</w:t>
            </w:r>
            <w:r>
              <w:rPr>
                <w:b/>
              </w:rPr>
              <w:t>3-5</w:t>
            </w:r>
            <w:r>
              <w:rPr>
                <w:rFonts w:hint="eastAsia"/>
                <w:b/>
              </w:rPr>
              <w:t>本项目主要环境影响评价因子一览表</w:t>
            </w:r>
          </w:p>
          <w:tbl>
            <w:tblPr>
              <w:tblStyle w:val="150"/>
              <w:tblW w:w="4998" w:type="pct"/>
              <w:tblInd w:w="3"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409"/>
              <w:gridCol w:w="2255"/>
              <w:gridCol w:w="984"/>
              <w:gridCol w:w="1960"/>
              <w:gridCol w:w="965"/>
            </w:tblGrid>
            <w:tr w14:paraId="2FFFB9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453" w:type="pct"/>
                  <w:vAlign w:val="center"/>
                </w:tcPr>
                <w:p w14:paraId="2A1F2185">
                  <w:pPr>
                    <w:pStyle w:val="149"/>
                    <w:rPr>
                      <w:rFonts w:hint="default" w:ascii="Times New Roman" w:hAnsi="Times New Roman" w:eastAsia="宋体" w:cs="Times New Roman"/>
                      <w:b/>
                      <w:i w:val="0"/>
                    </w:rPr>
                  </w:pPr>
                  <w:r>
                    <w:rPr>
                      <w:rFonts w:hint="eastAsia" w:ascii="Times New Roman" w:hAnsi="Times New Roman" w:eastAsia="宋体" w:cs="Times New Roman"/>
                      <w:b/>
                      <w:i w:val="0"/>
                    </w:rPr>
                    <w:t>评价</w:t>
                  </w:r>
                </w:p>
                <w:p w14:paraId="3A6911B6">
                  <w:pPr>
                    <w:pStyle w:val="149"/>
                    <w:rPr>
                      <w:rFonts w:hint="default" w:ascii="Times New Roman" w:hAnsi="Times New Roman" w:eastAsia="宋体" w:cs="Times New Roman"/>
                      <w:b/>
                      <w:i w:val="0"/>
                    </w:rPr>
                  </w:pPr>
                  <w:r>
                    <w:rPr>
                      <w:rFonts w:hint="eastAsia" w:ascii="Times New Roman" w:hAnsi="Times New Roman" w:eastAsia="宋体" w:cs="Times New Roman"/>
                      <w:b/>
                      <w:i w:val="0"/>
                    </w:rPr>
                    <w:t>阶段</w:t>
                  </w:r>
                </w:p>
              </w:tc>
              <w:tc>
                <w:tcPr>
                  <w:tcW w:w="846" w:type="pct"/>
                  <w:vAlign w:val="center"/>
                </w:tcPr>
                <w:p w14:paraId="4C59E054">
                  <w:pPr>
                    <w:pStyle w:val="149"/>
                    <w:rPr>
                      <w:rFonts w:hint="default" w:ascii="Times New Roman" w:hAnsi="Times New Roman" w:eastAsia="宋体" w:cs="Times New Roman"/>
                      <w:b/>
                      <w:i w:val="0"/>
                    </w:rPr>
                  </w:pPr>
                  <w:r>
                    <w:rPr>
                      <w:rFonts w:hint="eastAsia" w:ascii="Times New Roman" w:hAnsi="Times New Roman" w:eastAsia="宋体" w:cs="Times New Roman"/>
                      <w:b/>
                      <w:i w:val="0"/>
                    </w:rPr>
                    <w:t>评价项目</w:t>
                  </w:r>
                </w:p>
              </w:tc>
              <w:tc>
                <w:tcPr>
                  <w:tcW w:w="1354" w:type="pct"/>
                  <w:vAlign w:val="center"/>
                </w:tcPr>
                <w:p w14:paraId="697946D6">
                  <w:pPr>
                    <w:pStyle w:val="149"/>
                    <w:rPr>
                      <w:rFonts w:hint="default" w:ascii="Times New Roman" w:hAnsi="Times New Roman" w:eastAsia="宋体" w:cs="Times New Roman"/>
                      <w:b/>
                      <w:i w:val="0"/>
                    </w:rPr>
                  </w:pPr>
                  <w:r>
                    <w:rPr>
                      <w:rFonts w:hint="eastAsia" w:ascii="Times New Roman" w:hAnsi="Times New Roman" w:eastAsia="宋体" w:cs="Times New Roman"/>
                      <w:b/>
                      <w:i w:val="0"/>
                    </w:rPr>
                    <w:t>现状评价因子</w:t>
                  </w:r>
                </w:p>
              </w:tc>
              <w:tc>
                <w:tcPr>
                  <w:tcW w:w="591" w:type="pct"/>
                  <w:vAlign w:val="center"/>
                </w:tcPr>
                <w:p w14:paraId="298A0449">
                  <w:pPr>
                    <w:pStyle w:val="149"/>
                    <w:rPr>
                      <w:rFonts w:hint="default" w:ascii="Times New Roman" w:hAnsi="Times New Roman" w:eastAsia="宋体" w:cs="Times New Roman"/>
                      <w:b/>
                      <w:i w:val="0"/>
                    </w:rPr>
                  </w:pPr>
                  <w:r>
                    <w:rPr>
                      <w:rFonts w:hint="eastAsia" w:ascii="Times New Roman" w:hAnsi="Times New Roman" w:eastAsia="宋体" w:cs="Times New Roman"/>
                      <w:b/>
                      <w:i w:val="0"/>
                    </w:rPr>
                    <w:t>单位</w:t>
                  </w:r>
                </w:p>
              </w:tc>
              <w:tc>
                <w:tcPr>
                  <w:tcW w:w="1177" w:type="pct"/>
                  <w:vAlign w:val="center"/>
                </w:tcPr>
                <w:p w14:paraId="63E8996A">
                  <w:pPr>
                    <w:pStyle w:val="149"/>
                    <w:rPr>
                      <w:rFonts w:hint="default" w:ascii="Times New Roman" w:hAnsi="Times New Roman" w:eastAsia="宋体" w:cs="Times New Roman"/>
                      <w:b/>
                      <w:i w:val="0"/>
                    </w:rPr>
                  </w:pPr>
                  <w:r>
                    <w:rPr>
                      <w:rFonts w:hint="eastAsia" w:ascii="Times New Roman" w:hAnsi="Times New Roman" w:eastAsia="宋体" w:cs="Times New Roman"/>
                      <w:b/>
                      <w:i w:val="0"/>
                    </w:rPr>
                    <w:t>预测评价因子</w:t>
                  </w:r>
                </w:p>
              </w:tc>
              <w:tc>
                <w:tcPr>
                  <w:tcW w:w="576" w:type="pct"/>
                  <w:vAlign w:val="center"/>
                </w:tcPr>
                <w:p w14:paraId="71BACD7C">
                  <w:pPr>
                    <w:pStyle w:val="149"/>
                    <w:rPr>
                      <w:rFonts w:hint="default" w:ascii="Times New Roman" w:hAnsi="Times New Roman" w:eastAsia="宋体" w:cs="Times New Roman"/>
                      <w:b/>
                      <w:i w:val="0"/>
                    </w:rPr>
                  </w:pPr>
                  <w:r>
                    <w:rPr>
                      <w:rFonts w:hint="eastAsia" w:ascii="Times New Roman" w:hAnsi="Times New Roman" w:eastAsia="宋体" w:cs="Times New Roman"/>
                      <w:b/>
                      <w:i w:val="0"/>
                    </w:rPr>
                    <w:t>单位</w:t>
                  </w:r>
                </w:p>
              </w:tc>
            </w:tr>
            <w:tr w14:paraId="5145DF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53" w:type="pct"/>
                  <w:vMerge w:val="restart"/>
                  <w:vAlign w:val="center"/>
                </w:tcPr>
                <w:p w14:paraId="6FBE7786">
                  <w:pPr>
                    <w:pStyle w:val="149"/>
                    <w:rPr>
                      <w:rFonts w:eastAsia="Times New Roman"/>
                    </w:rPr>
                  </w:pPr>
                  <w:r>
                    <w:rPr>
                      <w:rFonts w:hint="eastAsia" w:ascii="宋体" w:hAnsi="宋体" w:eastAsia="宋体" w:cs="宋体"/>
                    </w:rPr>
                    <w:t>施工</w:t>
                  </w:r>
                </w:p>
                <w:p w14:paraId="7A79E231">
                  <w:pPr>
                    <w:pStyle w:val="149"/>
                    <w:rPr>
                      <w:rFonts w:eastAsia="Times New Roman"/>
                    </w:rPr>
                  </w:pPr>
                  <w:r>
                    <w:rPr>
                      <w:rFonts w:hint="eastAsia" w:ascii="宋体" w:hAnsi="宋体" w:eastAsia="宋体" w:cs="宋体"/>
                    </w:rPr>
                    <w:t>期</w:t>
                  </w:r>
                </w:p>
              </w:tc>
              <w:tc>
                <w:tcPr>
                  <w:tcW w:w="846" w:type="pct"/>
                  <w:vAlign w:val="center"/>
                </w:tcPr>
                <w:p w14:paraId="7D669E54">
                  <w:pPr>
                    <w:pStyle w:val="149"/>
                    <w:rPr>
                      <w:rFonts w:eastAsia="Times New Roman"/>
                    </w:rPr>
                  </w:pPr>
                  <w:r>
                    <w:rPr>
                      <w:rFonts w:hint="eastAsia" w:ascii="宋体" w:hAnsi="宋体" w:eastAsia="宋体" w:cs="宋体"/>
                    </w:rPr>
                    <w:t>声环境</w:t>
                  </w:r>
                </w:p>
              </w:tc>
              <w:tc>
                <w:tcPr>
                  <w:tcW w:w="1354" w:type="pct"/>
                  <w:vAlign w:val="center"/>
                </w:tcPr>
                <w:p w14:paraId="060EE63F">
                  <w:pPr>
                    <w:pStyle w:val="149"/>
                    <w:rPr>
                      <w:rFonts w:eastAsia="Times New Roman"/>
                    </w:rPr>
                  </w:pPr>
                  <w:r>
                    <w:rPr>
                      <w:rFonts w:hint="eastAsia" w:ascii="宋体" w:hAnsi="宋体" w:eastAsia="宋体" w:cs="宋体"/>
                    </w:rPr>
                    <w:t>昼间、夜间等效声级</w:t>
                  </w:r>
                </w:p>
              </w:tc>
              <w:tc>
                <w:tcPr>
                  <w:tcW w:w="591" w:type="pct"/>
                  <w:vAlign w:val="center"/>
                </w:tcPr>
                <w:p w14:paraId="1A6901A6">
                  <w:pPr>
                    <w:pStyle w:val="149"/>
                    <w:rPr>
                      <w:rFonts w:eastAsia="Times New Roman"/>
                    </w:rPr>
                  </w:pPr>
                  <w:r>
                    <w:rPr>
                      <w:rFonts w:eastAsia="Times New Roman"/>
                    </w:rPr>
                    <w:t>dB</w:t>
                  </w:r>
                  <w:r>
                    <w:rPr>
                      <w:rFonts w:hint="eastAsia" w:ascii="宋体" w:hAnsi="宋体" w:eastAsia="宋体" w:cs="宋体"/>
                    </w:rPr>
                    <w:t>（</w:t>
                  </w:r>
                  <w:r>
                    <w:rPr>
                      <w:rFonts w:eastAsia="Times New Roman"/>
                    </w:rPr>
                    <w:t>A</w:t>
                  </w:r>
                  <w:r>
                    <w:rPr>
                      <w:rFonts w:hint="eastAsia" w:ascii="宋体" w:hAnsi="宋体" w:eastAsia="宋体" w:cs="宋体"/>
                    </w:rPr>
                    <w:t>）</w:t>
                  </w:r>
                </w:p>
              </w:tc>
              <w:tc>
                <w:tcPr>
                  <w:tcW w:w="1177" w:type="pct"/>
                  <w:vAlign w:val="center"/>
                </w:tcPr>
                <w:p w14:paraId="535985C1">
                  <w:pPr>
                    <w:pStyle w:val="149"/>
                    <w:rPr>
                      <w:rFonts w:eastAsia="Times New Roman"/>
                    </w:rPr>
                  </w:pPr>
                  <w:r>
                    <w:rPr>
                      <w:rFonts w:hint="eastAsia" w:ascii="宋体" w:hAnsi="宋体" w:eastAsia="宋体" w:cs="宋体"/>
                    </w:rPr>
                    <w:t>昼间、夜间等效声级</w:t>
                  </w:r>
                </w:p>
              </w:tc>
              <w:tc>
                <w:tcPr>
                  <w:tcW w:w="576" w:type="pct"/>
                  <w:vAlign w:val="center"/>
                </w:tcPr>
                <w:p w14:paraId="0168FE10">
                  <w:pPr>
                    <w:pStyle w:val="149"/>
                    <w:rPr>
                      <w:rFonts w:eastAsia="Times New Roman"/>
                    </w:rPr>
                  </w:pPr>
                  <w:r>
                    <w:rPr>
                      <w:rFonts w:eastAsia="Times New Roman"/>
                    </w:rPr>
                    <w:t>dB</w:t>
                  </w:r>
                  <w:r>
                    <w:rPr>
                      <w:rFonts w:hint="eastAsia" w:ascii="宋体" w:hAnsi="宋体" w:eastAsia="宋体" w:cs="宋体"/>
                    </w:rPr>
                    <w:t>（</w:t>
                  </w:r>
                  <w:r>
                    <w:rPr>
                      <w:rFonts w:eastAsia="Times New Roman"/>
                    </w:rPr>
                    <w:t>A</w:t>
                  </w:r>
                  <w:r>
                    <w:rPr>
                      <w:rFonts w:hint="eastAsia" w:ascii="宋体" w:hAnsi="宋体" w:eastAsia="宋体" w:cs="宋体"/>
                    </w:rPr>
                    <w:t>）</w:t>
                  </w:r>
                </w:p>
              </w:tc>
            </w:tr>
            <w:tr w14:paraId="1A8F93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53" w:type="pct"/>
                  <w:vMerge w:val="continue"/>
                  <w:vAlign w:val="center"/>
                </w:tcPr>
                <w:p w14:paraId="3D456126">
                  <w:pPr>
                    <w:pStyle w:val="149"/>
                    <w:rPr>
                      <w:rFonts w:eastAsia="Times New Roman"/>
                    </w:rPr>
                  </w:pPr>
                </w:p>
              </w:tc>
              <w:tc>
                <w:tcPr>
                  <w:tcW w:w="846" w:type="pct"/>
                  <w:vAlign w:val="center"/>
                </w:tcPr>
                <w:p w14:paraId="7BE34958">
                  <w:pPr>
                    <w:pStyle w:val="149"/>
                    <w:rPr>
                      <w:rFonts w:eastAsia="Times New Roman"/>
                    </w:rPr>
                  </w:pPr>
                  <w:r>
                    <w:rPr>
                      <w:rFonts w:hint="eastAsia" w:ascii="宋体" w:hAnsi="宋体" w:eastAsia="宋体" w:cs="宋体"/>
                    </w:rPr>
                    <w:t>生态环境</w:t>
                  </w:r>
                </w:p>
              </w:tc>
              <w:tc>
                <w:tcPr>
                  <w:tcW w:w="1354" w:type="pct"/>
                  <w:vAlign w:val="center"/>
                </w:tcPr>
                <w:p w14:paraId="2D228F38">
                  <w:pPr>
                    <w:pStyle w:val="149"/>
                    <w:rPr>
                      <w:rFonts w:eastAsia="Times New Roman"/>
                    </w:rPr>
                  </w:pPr>
                  <w:r>
                    <w:rPr>
                      <w:rFonts w:hint="eastAsia" w:ascii="宋体" w:hAnsi="宋体" w:eastAsia="宋体" w:cs="宋体"/>
                    </w:rPr>
                    <w:t>生态系统及其生物因子、非生物因子</w:t>
                  </w:r>
                </w:p>
              </w:tc>
              <w:tc>
                <w:tcPr>
                  <w:tcW w:w="591" w:type="pct"/>
                  <w:vAlign w:val="center"/>
                </w:tcPr>
                <w:p w14:paraId="290F60F5">
                  <w:pPr>
                    <w:pStyle w:val="149"/>
                    <w:rPr>
                      <w:rFonts w:eastAsia="Times New Roman"/>
                    </w:rPr>
                  </w:pPr>
                  <w:r>
                    <w:rPr>
                      <w:rFonts w:eastAsia="Times New Roman"/>
                    </w:rPr>
                    <w:t>--</w:t>
                  </w:r>
                </w:p>
              </w:tc>
              <w:tc>
                <w:tcPr>
                  <w:tcW w:w="1177" w:type="pct"/>
                  <w:vAlign w:val="center"/>
                </w:tcPr>
                <w:p w14:paraId="00A81C06">
                  <w:pPr>
                    <w:pStyle w:val="149"/>
                    <w:rPr>
                      <w:rFonts w:eastAsia="Times New Roman"/>
                    </w:rPr>
                  </w:pPr>
                  <w:r>
                    <w:rPr>
                      <w:rFonts w:hint="eastAsia" w:ascii="宋体" w:hAnsi="宋体" w:eastAsia="宋体" w:cs="宋体"/>
                    </w:rPr>
                    <w:t>生态系统及其生物因子、非生物因子</w:t>
                  </w:r>
                </w:p>
              </w:tc>
              <w:tc>
                <w:tcPr>
                  <w:tcW w:w="576" w:type="pct"/>
                  <w:vAlign w:val="center"/>
                </w:tcPr>
                <w:p w14:paraId="29E63E50">
                  <w:pPr>
                    <w:pStyle w:val="149"/>
                    <w:rPr>
                      <w:rFonts w:eastAsia="Times New Roman"/>
                    </w:rPr>
                  </w:pPr>
                  <w:r>
                    <w:rPr>
                      <w:rFonts w:eastAsia="Times New Roman"/>
                    </w:rPr>
                    <w:t>--</w:t>
                  </w:r>
                </w:p>
              </w:tc>
            </w:tr>
            <w:tr w14:paraId="2342D2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53" w:type="pct"/>
                  <w:vMerge w:val="continue"/>
                  <w:vAlign w:val="center"/>
                </w:tcPr>
                <w:p w14:paraId="2519DE63">
                  <w:pPr>
                    <w:pStyle w:val="149"/>
                    <w:rPr>
                      <w:rFonts w:eastAsia="Times New Roman"/>
                    </w:rPr>
                  </w:pPr>
                </w:p>
              </w:tc>
              <w:tc>
                <w:tcPr>
                  <w:tcW w:w="846" w:type="pct"/>
                  <w:vAlign w:val="center"/>
                </w:tcPr>
                <w:p w14:paraId="73806B50">
                  <w:pPr>
                    <w:pStyle w:val="149"/>
                    <w:rPr>
                      <w:rFonts w:eastAsia="Times New Roman"/>
                    </w:rPr>
                  </w:pPr>
                  <w:r>
                    <w:rPr>
                      <w:rFonts w:hint="eastAsia" w:ascii="宋体" w:hAnsi="宋体" w:eastAsia="宋体" w:cs="宋体"/>
                    </w:rPr>
                    <w:t>地表水环境</w:t>
                  </w:r>
                </w:p>
              </w:tc>
              <w:tc>
                <w:tcPr>
                  <w:tcW w:w="1354" w:type="pct"/>
                  <w:vAlign w:val="center"/>
                </w:tcPr>
                <w:p w14:paraId="485E7C67">
                  <w:pPr>
                    <w:pStyle w:val="149"/>
                    <w:rPr>
                      <w:rFonts w:eastAsia="Times New Roman"/>
                    </w:rPr>
                  </w:pPr>
                  <w:r>
                    <w:rPr>
                      <w:rFonts w:eastAsia="Times New Roman"/>
                    </w:rPr>
                    <w:t>pH</w:t>
                  </w:r>
                  <w:r>
                    <w:rPr>
                      <w:rFonts w:hint="eastAsia" w:ascii="宋体" w:hAnsi="宋体" w:eastAsia="宋体" w:cs="宋体"/>
                    </w:rPr>
                    <w:t>、</w:t>
                  </w:r>
                  <w:r>
                    <w:rPr>
                      <w:rFonts w:eastAsia="Times New Roman"/>
                    </w:rPr>
                    <w:t>COD</w:t>
                  </w:r>
                  <w:r>
                    <w:rPr>
                      <w:rFonts w:hint="eastAsia" w:ascii="宋体" w:hAnsi="宋体" w:eastAsia="宋体" w:cs="宋体"/>
                    </w:rPr>
                    <w:t>、</w:t>
                  </w:r>
                  <w:r>
                    <w:rPr>
                      <w:rFonts w:eastAsia="Times New Roman"/>
                    </w:rPr>
                    <w:t>BOD</w:t>
                  </w:r>
                  <w:r>
                    <w:rPr>
                      <w:rFonts w:eastAsia="Times New Roman"/>
                      <w:vertAlign w:val="subscript"/>
                    </w:rPr>
                    <w:t>5</w:t>
                  </w:r>
                  <w:r>
                    <w:rPr>
                      <w:rFonts w:hint="eastAsia" w:ascii="宋体" w:hAnsi="宋体" w:eastAsia="宋体" w:cs="宋体"/>
                    </w:rPr>
                    <w:t>、</w:t>
                  </w:r>
                  <w:r>
                    <w:rPr>
                      <w:rFonts w:eastAsia="Times New Roman"/>
                    </w:rPr>
                    <w:t>NH</w:t>
                  </w:r>
                  <w:r>
                    <w:rPr>
                      <w:rFonts w:eastAsia="Times New Roman"/>
                      <w:vertAlign w:val="subscript"/>
                    </w:rPr>
                    <w:t>3</w:t>
                  </w:r>
                  <w:r>
                    <w:rPr>
                      <w:rFonts w:eastAsia="Times New Roman"/>
                    </w:rPr>
                    <w:t>-N</w:t>
                  </w:r>
                  <w:r>
                    <w:rPr>
                      <w:rFonts w:hint="eastAsia" w:ascii="宋体" w:hAnsi="宋体" w:eastAsia="宋体" w:cs="宋体"/>
                    </w:rPr>
                    <w:t>、石油类</w:t>
                  </w:r>
                </w:p>
              </w:tc>
              <w:tc>
                <w:tcPr>
                  <w:tcW w:w="591" w:type="pct"/>
                  <w:vAlign w:val="center"/>
                </w:tcPr>
                <w:p w14:paraId="6DBD86AD">
                  <w:pPr>
                    <w:pStyle w:val="149"/>
                    <w:rPr>
                      <w:rFonts w:eastAsia="Times New Roman"/>
                    </w:rPr>
                  </w:pPr>
                  <w:r>
                    <w:rPr>
                      <w:rFonts w:eastAsia="Times New Roman"/>
                    </w:rPr>
                    <w:t>mg/L</w:t>
                  </w:r>
                </w:p>
              </w:tc>
              <w:tc>
                <w:tcPr>
                  <w:tcW w:w="1177" w:type="pct"/>
                  <w:vAlign w:val="center"/>
                </w:tcPr>
                <w:p w14:paraId="1EDA9F82">
                  <w:pPr>
                    <w:pStyle w:val="149"/>
                    <w:rPr>
                      <w:rFonts w:eastAsia="Times New Roman"/>
                    </w:rPr>
                  </w:pPr>
                  <w:r>
                    <w:rPr>
                      <w:rFonts w:eastAsia="Times New Roman"/>
                    </w:rPr>
                    <w:t>pH</w:t>
                  </w:r>
                  <w:r>
                    <w:rPr>
                      <w:rFonts w:hint="eastAsia" w:ascii="宋体" w:hAnsi="宋体" w:eastAsia="宋体" w:cs="宋体"/>
                    </w:rPr>
                    <w:t>、</w:t>
                  </w:r>
                  <w:r>
                    <w:rPr>
                      <w:rFonts w:eastAsia="Times New Roman"/>
                    </w:rPr>
                    <w:t>COD</w:t>
                  </w:r>
                  <w:r>
                    <w:rPr>
                      <w:rFonts w:hint="eastAsia" w:ascii="宋体" w:hAnsi="宋体" w:eastAsia="宋体" w:cs="宋体"/>
                    </w:rPr>
                    <w:t>、</w:t>
                  </w:r>
                  <w:r>
                    <w:rPr>
                      <w:rFonts w:eastAsia="Times New Roman"/>
                    </w:rPr>
                    <w:t>BOD</w:t>
                  </w:r>
                  <w:r>
                    <w:rPr>
                      <w:rFonts w:eastAsia="Times New Roman"/>
                      <w:vertAlign w:val="subscript"/>
                    </w:rPr>
                    <w:t>5</w:t>
                  </w:r>
                  <w:r>
                    <w:rPr>
                      <w:rFonts w:hint="eastAsia" w:ascii="宋体" w:hAnsi="宋体" w:eastAsia="宋体" w:cs="宋体"/>
                    </w:rPr>
                    <w:t>、</w:t>
                  </w:r>
                  <w:r>
                    <w:rPr>
                      <w:rFonts w:eastAsia="Times New Roman"/>
                    </w:rPr>
                    <w:t>NH</w:t>
                  </w:r>
                  <w:r>
                    <w:rPr>
                      <w:rFonts w:eastAsia="Times New Roman"/>
                      <w:vertAlign w:val="subscript"/>
                    </w:rPr>
                    <w:t>3</w:t>
                  </w:r>
                  <w:r>
                    <w:rPr>
                      <w:rFonts w:eastAsia="Times New Roman"/>
                    </w:rPr>
                    <w:t>-N</w:t>
                  </w:r>
                  <w:r>
                    <w:rPr>
                      <w:rFonts w:hint="eastAsia" w:ascii="宋体" w:hAnsi="宋体" w:eastAsia="宋体" w:cs="宋体"/>
                    </w:rPr>
                    <w:t>、石油类</w:t>
                  </w:r>
                </w:p>
              </w:tc>
              <w:tc>
                <w:tcPr>
                  <w:tcW w:w="576" w:type="pct"/>
                  <w:vAlign w:val="center"/>
                </w:tcPr>
                <w:p w14:paraId="16431BB7">
                  <w:pPr>
                    <w:pStyle w:val="149"/>
                    <w:rPr>
                      <w:rFonts w:eastAsia="Times New Roman"/>
                    </w:rPr>
                  </w:pPr>
                  <w:r>
                    <w:rPr>
                      <w:rFonts w:eastAsia="Times New Roman"/>
                    </w:rPr>
                    <w:t>mg/L</w:t>
                  </w:r>
                </w:p>
              </w:tc>
            </w:tr>
            <w:tr w14:paraId="38722D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53" w:type="pct"/>
                  <w:vMerge w:val="restart"/>
                  <w:vAlign w:val="center"/>
                </w:tcPr>
                <w:p w14:paraId="1739FBE5">
                  <w:pPr>
                    <w:pStyle w:val="149"/>
                    <w:rPr>
                      <w:rFonts w:eastAsia="Times New Roman"/>
                    </w:rPr>
                  </w:pPr>
                  <w:r>
                    <w:rPr>
                      <w:rFonts w:hint="eastAsia" w:ascii="宋体" w:hAnsi="宋体" w:eastAsia="宋体" w:cs="宋体"/>
                    </w:rPr>
                    <w:t>运行</w:t>
                  </w:r>
                </w:p>
                <w:p w14:paraId="68BA64DE">
                  <w:pPr>
                    <w:pStyle w:val="149"/>
                    <w:rPr>
                      <w:rFonts w:eastAsia="Times New Roman"/>
                    </w:rPr>
                  </w:pPr>
                  <w:r>
                    <w:rPr>
                      <w:rFonts w:hint="eastAsia" w:ascii="宋体" w:hAnsi="宋体" w:eastAsia="宋体" w:cs="宋体"/>
                    </w:rPr>
                    <w:t>期</w:t>
                  </w:r>
                </w:p>
              </w:tc>
              <w:tc>
                <w:tcPr>
                  <w:tcW w:w="846" w:type="pct"/>
                  <w:vMerge w:val="restart"/>
                  <w:vAlign w:val="center"/>
                </w:tcPr>
                <w:p w14:paraId="343DD32E">
                  <w:pPr>
                    <w:pStyle w:val="149"/>
                    <w:rPr>
                      <w:rFonts w:eastAsia="Times New Roman"/>
                    </w:rPr>
                  </w:pPr>
                  <w:r>
                    <w:rPr>
                      <w:rFonts w:hint="eastAsia" w:ascii="宋体" w:hAnsi="宋体" w:eastAsia="宋体" w:cs="宋体"/>
                    </w:rPr>
                    <w:t>电磁环境</w:t>
                  </w:r>
                </w:p>
              </w:tc>
              <w:tc>
                <w:tcPr>
                  <w:tcW w:w="1354" w:type="pct"/>
                  <w:vAlign w:val="center"/>
                </w:tcPr>
                <w:p w14:paraId="3E099BA9">
                  <w:pPr>
                    <w:pStyle w:val="149"/>
                    <w:rPr>
                      <w:rFonts w:eastAsia="Times New Roman"/>
                    </w:rPr>
                  </w:pPr>
                  <w:r>
                    <w:rPr>
                      <w:rFonts w:hint="eastAsia" w:ascii="宋体" w:hAnsi="宋体" w:eastAsia="宋体" w:cs="宋体"/>
                    </w:rPr>
                    <w:t>工频电磁</w:t>
                  </w:r>
                </w:p>
              </w:tc>
              <w:tc>
                <w:tcPr>
                  <w:tcW w:w="591" w:type="pct"/>
                  <w:vAlign w:val="center"/>
                </w:tcPr>
                <w:p w14:paraId="3F481923">
                  <w:pPr>
                    <w:pStyle w:val="149"/>
                    <w:rPr>
                      <w:rFonts w:eastAsia="Times New Roman"/>
                    </w:rPr>
                  </w:pPr>
                  <w:r>
                    <w:rPr>
                      <w:rFonts w:eastAsia="Times New Roman"/>
                    </w:rPr>
                    <w:t>kV/m</w:t>
                  </w:r>
                </w:p>
              </w:tc>
              <w:tc>
                <w:tcPr>
                  <w:tcW w:w="1177" w:type="pct"/>
                  <w:vAlign w:val="center"/>
                </w:tcPr>
                <w:p w14:paraId="63BD5070">
                  <w:pPr>
                    <w:pStyle w:val="149"/>
                    <w:rPr>
                      <w:rFonts w:eastAsia="Times New Roman"/>
                    </w:rPr>
                  </w:pPr>
                  <w:r>
                    <w:rPr>
                      <w:rFonts w:hint="eastAsia" w:ascii="宋体" w:hAnsi="宋体" w:eastAsia="宋体" w:cs="宋体"/>
                    </w:rPr>
                    <w:t>工频电磁</w:t>
                  </w:r>
                </w:p>
              </w:tc>
              <w:tc>
                <w:tcPr>
                  <w:tcW w:w="576" w:type="pct"/>
                  <w:vAlign w:val="center"/>
                </w:tcPr>
                <w:p w14:paraId="571BBB6F">
                  <w:pPr>
                    <w:pStyle w:val="149"/>
                    <w:rPr>
                      <w:rFonts w:eastAsia="Times New Roman"/>
                    </w:rPr>
                  </w:pPr>
                  <w:r>
                    <w:rPr>
                      <w:rFonts w:eastAsia="Times New Roman"/>
                    </w:rPr>
                    <w:t>kV/m</w:t>
                  </w:r>
                </w:p>
              </w:tc>
            </w:tr>
            <w:tr w14:paraId="426C6D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453" w:type="pct"/>
                  <w:vMerge w:val="continue"/>
                  <w:vAlign w:val="center"/>
                </w:tcPr>
                <w:p w14:paraId="68823F0C">
                  <w:pPr>
                    <w:pStyle w:val="149"/>
                    <w:rPr>
                      <w:rFonts w:eastAsia="Times New Roman"/>
                    </w:rPr>
                  </w:pPr>
                </w:p>
              </w:tc>
              <w:tc>
                <w:tcPr>
                  <w:tcW w:w="846" w:type="pct"/>
                  <w:vMerge w:val="continue"/>
                  <w:vAlign w:val="center"/>
                </w:tcPr>
                <w:p w14:paraId="3FDCACBE">
                  <w:pPr>
                    <w:pStyle w:val="149"/>
                    <w:rPr>
                      <w:rFonts w:eastAsia="Times New Roman"/>
                    </w:rPr>
                  </w:pPr>
                </w:p>
              </w:tc>
              <w:tc>
                <w:tcPr>
                  <w:tcW w:w="1354" w:type="pct"/>
                  <w:vAlign w:val="center"/>
                </w:tcPr>
                <w:p w14:paraId="4099A3E3">
                  <w:pPr>
                    <w:pStyle w:val="149"/>
                    <w:rPr>
                      <w:rFonts w:eastAsia="Times New Roman"/>
                    </w:rPr>
                  </w:pPr>
                  <w:r>
                    <w:rPr>
                      <w:rFonts w:hint="eastAsia" w:ascii="宋体" w:hAnsi="宋体" w:eastAsia="宋体" w:cs="宋体"/>
                    </w:rPr>
                    <w:t>工频磁场</w:t>
                  </w:r>
                </w:p>
              </w:tc>
              <w:tc>
                <w:tcPr>
                  <w:tcW w:w="591" w:type="pct"/>
                  <w:vAlign w:val="center"/>
                </w:tcPr>
                <w:p w14:paraId="25A1AFE4">
                  <w:pPr>
                    <w:pStyle w:val="149"/>
                    <w:rPr>
                      <w:rFonts w:eastAsia="Times New Roman"/>
                    </w:rPr>
                  </w:pPr>
                  <w:r>
                    <w:rPr>
                      <w:rFonts w:hint="eastAsia" w:eastAsia="Times New Roman"/>
                    </w:rPr>
                    <w:t>μ</w:t>
                  </w:r>
                  <w:r>
                    <w:rPr>
                      <w:rFonts w:eastAsia="Times New Roman"/>
                    </w:rPr>
                    <w:t>T</w:t>
                  </w:r>
                </w:p>
              </w:tc>
              <w:tc>
                <w:tcPr>
                  <w:tcW w:w="1177" w:type="pct"/>
                  <w:vAlign w:val="center"/>
                </w:tcPr>
                <w:p w14:paraId="7A15599E">
                  <w:pPr>
                    <w:pStyle w:val="149"/>
                    <w:rPr>
                      <w:rFonts w:eastAsia="Times New Roman"/>
                    </w:rPr>
                  </w:pPr>
                  <w:r>
                    <w:rPr>
                      <w:rFonts w:hint="eastAsia" w:ascii="宋体" w:hAnsi="宋体" w:eastAsia="宋体" w:cs="宋体"/>
                    </w:rPr>
                    <w:t>工频磁场</w:t>
                  </w:r>
                </w:p>
              </w:tc>
              <w:tc>
                <w:tcPr>
                  <w:tcW w:w="576" w:type="pct"/>
                  <w:vAlign w:val="center"/>
                </w:tcPr>
                <w:p w14:paraId="3F51EEE3">
                  <w:pPr>
                    <w:pStyle w:val="149"/>
                    <w:rPr>
                      <w:rFonts w:eastAsia="Times New Roman"/>
                    </w:rPr>
                  </w:pPr>
                  <w:r>
                    <w:rPr>
                      <w:rFonts w:hint="eastAsia" w:eastAsia="Times New Roman"/>
                    </w:rPr>
                    <w:t>μ</w:t>
                  </w:r>
                  <w:r>
                    <w:rPr>
                      <w:rFonts w:eastAsia="Times New Roman"/>
                    </w:rPr>
                    <w:t>T</w:t>
                  </w:r>
                </w:p>
              </w:tc>
            </w:tr>
            <w:tr w14:paraId="332C66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53" w:type="pct"/>
                  <w:vMerge w:val="continue"/>
                  <w:vAlign w:val="center"/>
                </w:tcPr>
                <w:p w14:paraId="36BE5FE6">
                  <w:pPr>
                    <w:pStyle w:val="149"/>
                    <w:rPr>
                      <w:rFonts w:eastAsia="Times New Roman"/>
                    </w:rPr>
                  </w:pPr>
                </w:p>
              </w:tc>
              <w:tc>
                <w:tcPr>
                  <w:tcW w:w="846" w:type="pct"/>
                  <w:vAlign w:val="center"/>
                </w:tcPr>
                <w:p w14:paraId="357FE4A0">
                  <w:pPr>
                    <w:pStyle w:val="149"/>
                    <w:rPr>
                      <w:rFonts w:eastAsia="Times New Roman"/>
                    </w:rPr>
                  </w:pPr>
                  <w:r>
                    <w:rPr>
                      <w:rFonts w:hint="eastAsia" w:ascii="宋体" w:hAnsi="宋体" w:eastAsia="宋体" w:cs="宋体"/>
                    </w:rPr>
                    <w:t>声环境</w:t>
                  </w:r>
                </w:p>
              </w:tc>
              <w:tc>
                <w:tcPr>
                  <w:tcW w:w="1354" w:type="pct"/>
                  <w:vAlign w:val="center"/>
                </w:tcPr>
                <w:p w14:paraId="4F60A468">
                  <w:pPr>
                    <w:pStyle w:val="149"/>
                    <w:rPr>
                      <w:rFonts w:eastAsia="Times New Roman"/>
                    </w:rPr>
                  </w:pPr>
                  <w:r>
                    <w:rPr>
                      <w:rFonts w:hint="eastAsia" w:ascii="宋体" w:hAnsi="宋体" w:eastAsia="宋体" w:cs="宋体"/>
                    </w:rPr>
                    <w:t>昼间、夜间等效声级</w:t>
                  </w:r>
                </w:p>
              </w:tc>
              <w:tc>
                <w:tcPr>
                  <w:tcW w:w="591" w:type="pct"/>
                  <w:vAlign w:val="center"/>
                </w:tcPr>
                <w:p w14:paraId="75440BC0">
                  <w:pPr>
                    <w:pStyle w:val="149"/>
                    <w:rPr>
                      <w:rFonts w:eastAsia="Times New Roman"/>
                    </w:rPr>
                  </w:pPr>
                  <w:r>
                    <w:rPr>
                      <w:rFonts w:eastAsia="Times New Roman"/>
                    </w:rPr>
                    <w:t>dB</w:t>
                  </w:r>
                  <w:r>
                    <w:rPr>
                      <w:rFonts w:hint="eastAsia" w:ascii="宋体" w:hAnsi="宋体" w:eastAsia="宋体" w:cs="宋体"/>
                    </w:rPr>
                    <w:t>（</w:t>
                  </w:r>
                  <w:r>
                    <w:rPr>
                      <w:rFonts w:eastAsia="Times New Roman"/>
                    </w:rPr>
                    <w:t>A</w:t>
                  </w:r>
                  <w:r>
                    <w:rPr>
                      <w:rFonts w:hint="eastAsia" w:ascii="宋体" w:hAnsi="宋体" w:eastAsia="宋体" w:cs="宋体"/>
                    </w:rPr>
                    <w:t>）</w:t>
                  </w:r>
                </w:p>
              </w:tc>
              <w:tc>
                <w:tcPr>
                  <w:tcW w:w="1177" w:type="pct"/>
                  <w:vAlign w:val="center"/>
                </w:tcPr>
                <w:p w14:paraId="06C02661">
                  <w:pPr>
                    <w:pStyle w:val="149"/>
                    <w:rPr>
                      <w:rFonts w:eastAsia="Times New Roman"/>
                    </w:rPr>
                  </w:pPr>
                  <w:r>
                    <w:rPr>
                      <w:rFonts w:hint="eastAsia" w:ascii="宋体" w:hAnsi="宋体" w:eastAsia="宋体" w:cs="宋体"/>
                    </w:rPr>
                    <w:t>昼间、夜间等效声级</w:t>
                  </w:r>
                </w:p>
              </w:tc>
              <w:tc>
                <w:tcPr>
                  <w:tcW w:w="576" w:type="pct"/>
                  <w:vAlign w:val="center"/>
                </w:tcPr>
                <w:p w14:paraId="005BB046">
                  <w:pPr>
                    <w:pStyle w:val="149"/>
                    <w:rPr>
                      <w:rFonts w:eastAsia="Times New Roman"/>
                    </w:rPr>
                  </w:pPr>
                  <w:r>
                    <w:rPr>
                      <w:rFonts w:eastAsia="Times New Roman"/>
                    </w:rPr>
                    <w:t>dB</w:t>
                  </w:r>
                  <w:r>
                    <w:rPr>
                      <w:rFonts w:hint="eastAsia" w:ascii="宋体" w:hAnsi="宋体" w:eastAsia="宋体" w:cs="宋体"/>
                    </w:rPr>
                    <w:t>（</w:t>
                  </w:r>
                  <w:r>
                    <w:rPr>
                      <w:rFonts w:eastAsia="Times New Roman"/>
                    </w:rPr>
                    <w:t>A</w:t>
                  </w:r>
                  <w:r>
                    <w:rPr>
                      <w:rFonts w:hint="eastAsia" w:ascii="宋体" w:hAnsi="宋体" w:eastAsia="宋体" w:cs="宋体"/>
                    </w:rPr>
                    <w:t>）</w:t>
                  </w:r>
                </w:p>
              </w:tc>
            </w:tr>
            <w:tr w14:paraId="215E87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53" w:type="pct"/>
                  <w:vMerge w:val="continue"/>
                  <w:vAlign w:val="center"/>
                </w:tcPr>
                <w:p w14:paraId="563B2103">
                  <w:pPr>
                    <w:pStyle w:val="149"/>
                    <w:rPr>
                      <w:rFonts w:eastAsia="Times New Roman"/>
                    </w:rPr>
                  </w:pPr>
                </w:p>
              </w:tc>
              <w:tc>
                <w:tcPr>
                  <w:tcW w:w="846" w:type="pct"/>
                  <w:vAlign w:val="center"/>
                </w:tcPr>
                <w:p w14:paraId="2D630B27">
                  <w:pPr>
                    <w:pStyle w:val="149"/>
                    <w:rPr>
                      <w:rFonts w:eastAsia="Times New Roman"/>
                    </w:rPr>
                  </w:pPr>
                  <w:r>
                    <w:rPr>
                      <w:rFonts w:hint="eastAsia" w:ascii="宋体" w:hAnsi="宋体" w:eastAsia="宋体" w:cs="宋体"/>
                    </w:rPr>
                    <w:t>地表水环境</w:t>
                  </w:r>
                </w:p>
              </w:tc>
              <w:tc>
                <w:tcPr>
                  <w:tcW w:w="1354" w:type="pct"/>
                  <w:vAlign w:val="center"/>
                </w:tcPr>
                <w:p w14:paraId="685FF0D8">
                  <w:pPr>
                    <w:pStyle w:val="149"/>
                    <w:rPr>
                      <w:rFonts w:eastAsia="Times New Roman"/>
                    </w:rPr>
                  </w:pPr>
                  <w:r>
                    <w:rPr>
                      <w:rFonts w:eastAsia="Times New Roman"/>
                    </w:rPr>
                    <w:t>pH</w:t>
                  </w:r>
                  <w:r>
                    <w:rPr>
                      <w:rFonts w:hint="eastAsia" w:ascii="宋体" w:hAnsi="宋体" w:eastAsia="宋体" w:cs="宋体"/>
                    </w:rPr>
                    <w:t>、</w:t>
                  </w:r>
                  <w:r>
                    <w:rPr>
                      <w:rFonts w:eastAsia="Times New Roman"/>
                    </w:rPr>
                    <w:t>COD</w:t>
                  </w:r>
                  <w:r>
                    <w:rPr>
                      <w:rFonts w:hint="eastAsia" w:ascii="宋体" w:hAnsi="宋体" w:eastAsia="宋体" w:cs="宋体"/>
                    </w:rPr>
                    <w:t>、</w:t>
                  </w:r>
                  <w:r>
                    <w:rPr>
                      <w:rFonts w:eastAsia="Times New Roman"/>
                    </w:rPr>
                    <w:t>BOD</w:t>
                  </w:r>
                  <w:r>
                    <w:rPr>
                      <w:rFonts w:eastAsia="Times New Roman"/>
                      <w:vertAlign w:val="subscript"/>
                    </w:rPr>
                    <w:t>5</w:t>
                  </w:r>
                  <w:r>
                    <w:rPr>
                      <w:rFonts w:hint="eastAsia" w:ascii="宋体" w:hAnsi="宋体" w:eastAsia="宋体" w:cs="宋体"/>
                    </w:rPr>
                    <w:t>、</w:t>
                  </w:r>
                  <w:r>
                    <w:rPr>
                      <w:rFonts w:eastAsia="Times New Roman"/>
                    </w:rPr>
                    <w:t>NH</w:t>
                  </w:r>
                  <w:r>
                    <w:rPr>
                      <w:rFonts w:eastAsia="Times New Roman"/>
                      <w:vertAlign w:val="subscript"/>
                    </w:rPr>
                    <w:t>3</w:t>
                  </w:r>
                  <w:r>
                    <w:rPr>
                      <w:rFonts w:eastAsia="Times New Roman"/>
                    </w:rPr>
                    <w:t>-N</w:t>
                  </w:r>
                  <w:r>
                    <w:rPr>
                      <w:rFonts w:hint="eastAsia" w:ascii="宋体" w:hAnsi="宋体" w:eastAsia="宋体" w:cs="宋体"/>
                    </w:rPr>
                    <w:t>、石油类</w:t>
                  </w:r>
                </w:p>
              </w:tc>
              <w:tc>
                <w:tcPr>
                  <w:tcW w:w="591" w:type="pct"/>
                  <w:vAlign w:val="center"/>
                </w:tcPr>
                <w:p w14:paraId="0D92E6CF">
                  <w:pPr>
                    <w:pStyle w:val="149"/>
                    <w:rPr>
                      <w:rFonts w:eastAsia="Times New Roman"/>
                    </w:rPr>
                  </w:pPr>
                  <w:r>
                    <w:rPr>
                      <w:rFonts w:eastAsia="Times New Roman"/>
                    </w:rPr>
                    <w:t>mg/L</w:t>
                  </w:r>
                </w:p>
              </w:tc>
              <w:tc>
                <w:tcPr>
                  <w:tcW w:w="1177" w:type="pct"/>
                  <w:vAlign w:val="center"/>
                </w:tcPr>
                <w:p w14:paraId="1660EB05">
                  <w:pPr>
                    <w:pStyle w:val="149"/>
                    <w:rPr>
                      <w:rFonts w:eastAsia="Times New Roman"/>
                    </w:rPr>
                  </w:pPr>
                  <w:r>
                    <w:rPr>
                      <w:rFonts w:eastAsia="Times New Roman"/>
                    </w:rPr>
                    <w:t>pH</w:t>
                  </w:r>
                  <w:r>
                    <w:rPr>
                      <w:rFonts w:hint="eastAsia" w:ascii="宋体" w:hAnsi="宋体" w:eastAsia="宋体" w:cs="宋体"/>
                    </w:rPr>
                    <w:t>、</w:t>
                  </w:r>
                  <w:r>
                    <w:rPr>
                      <w:rFonts w:eastAsia="Times New Roman"/>
                    </w:rPr>
                    <w:t>COD</w:t>
                  </w:r>
                  <w:r>
                    <w:rPr>
                      <w:rFonts w:hint="eastAsia" w:ascii="宋体" w:hAnsi="宋体" w:eastAsia="宋体" w:cs="宋体"/>
                    </w:rPr>
                    <w:t>、</w:t>
                  </w:r>
                  <w:r>
                    <w:rPr>
                      <w:rFonts w:eastAsia="Times New Roman"/>
                    </w:rPr>
                    <w:t>BOD</w:t>
                  </w:r>
                  <w:r>
                    <w:rPr>
                      <w:rFonts w:eastAsia="Times New Roman"/>
                      <w:vertAlign w:val="subscript"/>
                    </w:rPr>
                    <w:t>5</w:t>
                  </w:r>
                  <w:r>
                    <w:rPr>
                      <w:rFonts w:hint="eastAsia" w:ascii="宋体" w:hAnsi="宋体" w:eastAsia="宋体" w:cs="宋体"/>
                    </w:rPr>
                    <w:t>、</w:t>
                  </w:r>
                  <w:r>
                    <w:rPr>
                      <w:rFonts w:eastAsia="Times New Roman"/>
                    </w:rPr>
                    <w:t>NH</w:t>
                  </w:r>
                  <w:r>
                    <w:rPr>
                      <w:rFonts w:eastAsia="Times New Roman"/>
                      <w:vertAlign w:val="subscript"/>
                    </w:rPr>
                    <w:t>3</w:t>
                  </w:r>
                  <w:r>
                    <w:rPr>
                      <w:rFonts w:eastAsia="Times New Roman"/>
                    </w:rPr>
                    <w:t>-N</w:t>
                  </w:r>
                  <w:r>
                    <w:rPr>
                      <w:rFonts w:hint="eastAsia" w:ascii="宋体" w:hAnsi="宋体" w:eastAsia="宋体" w:cs="宋体"/>
                    </w:rPr>
                    <w:t>、石油类</w:t>
                  </w:r>
                </w:p>
              </w:tc>
              <w:tc>
                <w:tcPr>
                  <w:tcW w:w="576" w:type="pct"/>
                  <w:vAlign w:val="center"/>
                </w:tcPr>
                <w:p w14:paraId="72C8DD24">
                  <w:pPr>
                    <w:pStyle w:val="149"/>
                    <w:rPr>
                      <w:rFonts w:eastAsia="Times New Roman"/>
                    </w:rPr>
                  </w:pPr>
                  <w:r>
                    <w:rPr>
                      <w:rFonts w:eastAsia="Times New Roman"/>
                    </w:rPr>
                    <w:t>mg/L</w:t>
                  </w:r>
                </w:p>
              </w:tc>
            </w:tr>
            <w:tr w14:paraId="275C5E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000" w:type="pct"/>
                  <w:gridSpan w:val="6"/>
                  <w:vAlign w:val="center"/>
                </w:tcPr>
                <w:p w14:paraId="62BB2AB9">
                  <w:pPr>
                    <w:pStyle w:val="149"/>
                    <w:rPr>
                      <w:rFonts w:eastAsia="Times New Roman"/>
                    </w:rPr>
                  </w:pPr>
                  <w:r>
                    <w:rPr>
                      <w:rFonts w:hint="eastAsia" w:ascii="宋体" w:hAnsi="宋体" w:eastAsia="宋体" w:cs="宋体"/>
                    </w:rPr>
                    <w:t>注：</w:t>
                  </w:r>
                  <w:r>
                    <w:rPr>
                      <w:rFonts w:eastAsia="Times New Roman"/>
                    </w:rPr>
                    <w:t>pH</w:t>
                  </w:r>
                  <w:r>
                    <w:rPr>
                      <w:rFonts w:hint="eastAsia" w:ascii="宋体" w:hAnsi="宋体" w:eastAsia="宋体" w:cs="宋体"/>
                    </w:rPr>
                    <w:t>无量纲。</w:t>
                  </w:r>
                </w:p>
              </w:tc>
            </w:tr>
          </w:tbl>
          <w:p w14:paraId="27AC736D">
            <w:pPr>
              <w:spacing w:line="360" w:lineRule="auto"/>
              <w:ind w:firstLine="482" w:firstLineChars="200"/>
              <w:rPr>
                <w:b/>
                <w:sz w:val="24"/>
              </w:rPr>
            </w:pPr>
            <w:r>
              <w:rPr>
                <w:rFonts w:hint="eastAsia"/>
                <w:b/>
                <w:sz w:val="24"/>
              </w:rPr>
              <w:t>（</w:t>
            </w:r>
            <w:r>
              <w:rPr>
                <w:b/>
                <w:sz w:val="24"/>
              </w:rPr>
              <w:t>2</w:t>
            </w:r>
            <w:r>
              <w:rPr>
                <w:rFonts w:hint="eastAsia"/>
                <w:b/>
                <w:sz w:val="24"/>
              </w:rPr>
              <w:t>）其他环境影响因子</w:t>
            </w:r>
          </w:p>
          <w:p w14:paraId="5C7E0B1E">
            <w:pPr>
              <w:spacing w:line="360" w:lineRule="auto"/>
              <w:ind w:firstLine="480" w:firstLineChars="200"/>
              <w:rPr>
                <w:sz w:val="24"/>
              </w:rPr>
            </w:pPr>
            <w:r>
              <w:rPr>
                <w:rFonts w:hint="eastAsia"/>
                <w:sz w:val="24"/>
              </w:rPr>
              <w:t>施工期：扬尘、固体废物。</w:t>
            </w:r>
          </w:p>
          <w:p w14:paraId="6C22D7B8">
            <w:pPr>
              <w:spacing w:line="360" w:lineRule="auto"/>
              <w:ind w:firstLine="480" w:firstLineChars="200"/>
              <w:rPr>
                <w:sz w:val="24"/>
              </w:rPr>
            </w:pPr>
            <w:r>
              <w:rPr>
                <w:rFonts w:hint="eastAsia"/>
                <w:sz w:val="24"/>
              </w:rPr>
              <w:t>运行期：固体废物。</w:t>
            </w:r>
          </w:p>
          <w:p w14:paraId="02C1D863">
            <w:pPr>
              <w:adjustRightInd w:val="0"/>
              <w:snapToGrid w:val="0"/>
              <w:spacing w:line="360" w:lineRule="auto"/>
              <w:ind w:firstLine="482" w:firstLineChars="200"/>
              <w:rPr>
                <w:b/>
                <w:bCs/>
                <w:sz w:val="24"/>
              </w:rPr>
            </w:pPr>
            <w:r>
              <w:rPr>
                <w:b/>
                <w:bCs/>
                <w:sz w:val="24"/>
              </w:rPr>
              <w:t>2</w:t>
            </w:r>
            <w:r>
              <w:rPr>
                <w:rFonts w:hint="eastAsia"/>
                <w:b/>
                <w:bCs/>
                <w:sz w:val="24"/>
              </w:rPr>
              <w:t>、评价范围</w:t>
            </w:r>
          </w:p>
          <w:p w14:paraId="6576E399">
            <w:pPr>
              <w:adjustRightInd w:val="0"/>
              <w:snapToGrid w:val="0"/>
              <w:spacing w:line="360" w:lineRule="auto"/>
              <w:ind w:firstLine="482" w:firstLineChars="200"/>
              <w:rPr>
                <w:b/>
                <w:kern w:val="0"/>
                <w:sz w:val="24"/>
              </w:rPr>
            </w:pPr>
            <w:bookmarkStart w:id="13" w:name="OLE_LINK44"/>
            <w:r>
              <w:rPr>
                <w:rFonts w:hint="eastAsia"/>
                <w:b/>
                <w:kern w:val="0"/>
                <w:sz w:val="24"/>
              </w:rPr>
              <w:t>（</w:t>
            </w:r>
            <w:r>
              <w:rPr>
                <w:b/>
                <w:kern w:val="0"/>
                <w:sz w:val="24"/>
              </w:rPr>
              <w:t>1</w:t>
            </w:r>
            <w:r>
              <w:rPr>
                <w:rFonts w:hint="eastAsia"/>
                <w:b/>
                <w:kern w:val="0"/>
                <w:sz w:val="24"/>
              </w:rPr>
              <w:t>）生态环境评价范围</w:t>
            </w:r>
          </w:p>
          <w:p w14:paraId="74A3105C">
            <w:pPr>
              <w:pStyle w:val="10"/>
            </w:pPr>
            <w:r>
              <w:rPr>
                <w:rFonts w:hint="eastAsia"/>
              </w:rPr>
              <w:t>本项目选址位于惠州市博罗县石湾镇智能装备产业园区内，占地面积为</w:t>
            </w:r>
            <w:r>
              <w:t>18406m</w:t>
            </w:r>
            <w:r>
              <w:rPr>
                <w:vertAlign w:val="superscript"/>
              </w:rPr>
              <w:t>2</w:t>
            </w:r>
            <w:r>
              <w:rPr>
                <w:rFonts w:hint="eastAsia"/>
              </w:rPr>
              <w:t>。项目占地范围内不涉及国家公园、自然保护区、世界自然遗产、重要生境、自然公园及生态保护红线，也无天然林、公益林、湿地等生态保护目标。根据《环境影响评价技术导则生态影响》（</w:t>
            </w:r>
            <w:r>
              <w:t>HJ19-2022</w:t>
            </w:r>
            <w:r>
              <w:rPr>
                <w:rFonts w:hint="eastAsia"/>
              </w:rPr>
              <w:t>），本项目生态环境影响评价工作等级为三级。</w:t>
            </w:r>
          </w:p>
          <w:p w14:paraId="1F96203C">
            <w:pPr>
              <w:adjustRightInd w:val="0"/>
              <w:snapToGrid w:val="0"/>
              <w:spacing w:line="360" w:lineRule="auto"/>
              <w:ind w:firstLine="480" w:firstLineChars="200"/>
              <w:rPr>
                <w:kern w:val="0"/>
                <w:sz w:val="24"/>
              </w:rPr>
            </w:pPr>
            <w:r>
              <w:rPr>
                <w:rFonts w:hint="eastAsia"/>
                <w:kern w:val="0"/>
                <w:sz w:val="24"/>
              </w:rPr>
              <w:t>根据《环境影响评价技术导则输变电》（</w:t>
            </w:r>
            <w:r>
              <w:rPr>
                <w:kern w:val="0"/>
                <w:sz w:val="24"/>
              </w:rPr>
              <w:t>HJ24-2020</w:t>
            </w:r>
            <w:r>
              <w:rPr>
                <w:rFonts w:hint="eastAsia"/>
                <w:kern w:val="0"/>
                <w:sz w:val="24"/>
              </w:rPr>
              <w:t>）和《环境影响评价技术导则</w:t>
            </w:r>
            <w:r>
              <w:rPr>
                <w:kern w:val="0"/>
                <w:sz w:val="24"/>
              </w:rPr>
              <w:t xml:space="preserve"> </w:t>
            </w:r>
            <w:r>
              <w:rPr>
                <w:rFonts w:hint="eastAsia"/>
                <w:kern w:val="0"/>
                <w:sz w:val="24"/>
              </w:rPr>
              <w:t>生态影响》（</w:t>
            </w:r>
            <w:r>
              <w:rPr>
                <w:kern w:val="0"/>
                <w:sz w:val="24"/>
              </w:rPr>
              <w:t>HJ19-2022</w:t>
            </w:r>
            <w:r>
              <w:rPr>
                <w:rFonts w:hint="eastAsia"/>
                <w:kern w:val="0"/>
                <w:sz w:val="24"/>
              </w:rPr>
              <w:t>），本项目生态评价范围按项目储能电站外</w:t>
            </w:r>
            <w:r>
              <w:rPr>
                <w:kern w:val="0"/>
                <w:sz w:val="24"/>
              </w:rPr>
              <w:t>500m</w:t>
            </w:r>
            <w:r>
              <w:rPr>
                <w:rFonts w:hint="eastAsia"/>
                <w:kern w:val="0"/>
                <w:sz w:val="24"/>
              </w:rPr>
              <w:t>内。</w:t>
            </w:r>
          </w:p>
          <w:bookmarkEnd w:id="13"/>
          <w:p w14:paraId="661FE962">
            <w:pPr>
              <w:adjustRightInd w:val="0"/>
              <w:snapToGrid w:val="0"/>
              <w:spacing w:line="360" w:lineRule="auto"/>
              <w:ind w:firstLine="482" w:firstLineChars="200"/>
              <w:rPr>
                <w:b/>
                <w:kern w:val="0"/>
                <w:sz w:val="24"/>
              </w:rPr>
            </w:pPr>
            <w:r>
              <w:rPr>
                <w:rFonts w:hint="eastAsia"/>
                <w:b/>
                <w:kern w:val="0"/>
                <w:sz w:val="24"/>
              </w:rPr>
              <w:t>（</w:t>
            </w:r>
            <w:r>
              <w:rPr>
                <w:b/>
                <w:kern w:val="0"/>
                <w:sz w:val="24"/>
              </w:rPr>
              <w:t>2</w:t>
            </w:r>
            <w:r>
              <w:rPr>
                <w:rFonts w:hint="eastAsia"/>
                <w:b/>
                <w:kern w:val="0"/>
                <w:sz w:val="24"/>
              </w:rPr>
              <w:t>）电磁环境评价范围</w:t>
            </w:r>
          </w:p>
          <w:p w14:paraId="48E02A5B">
            <w:pPr>
              <w:spacing w:line="360" w:lineRule="auto"/>
              <w:ind w:firstLine="480" w:firstLineChars="200"/>
              <w:rPr>
                <w:sz w:val="24"/>
              </w:rPr>
            </w:pPr>
            <w:r>
              <w:rPr>
                <w:rFonts w:hint="eastAsia"/>
                <w:sz w:val="24"/>
              </w:rPr>
              <w:t>根据《环境影响评价技术导则输变电》（</w:t>
            </w:r>
            <w:r>
              <w:rPr>
                <w:sz w:val="24"/>
              </w:rPr>
              <w:t>HJ24-2020</w:t>
            </w:r>
            <w:r>
              <w:rPr>
                <w:rFonts w:hint="eastAsia"/>
                <w:sz w:val="24"/>
              </w:rPr>
              <w:t>），本项目的电磁环境影响评价工作等级见表</w:t>
            </w:r>
            <w:r>
              <w:rPr>
                <w:sz w:val="24"/>
              </w:rPr>
              <w:t>3-6</w:t>
            </w:r>
            <w:r>
              <w:rPr>
                <w:rFonts w:hint="eastAsia"/>
                <w:sz w:val="24"/>
              </w:rPr>
              <w:t>。</w:t>
            </w:r>
          </w:p>
          <w:p w14:paraId="0473A106">
            <w:pPr>
              <w:pStyle w:val="132"/>
              <w:rPr>
                <w:b/>
              </w:rPr>
            </w:pPr>
            <w:r>
              <w:rPr>
                <w:rFonts w:hint="eastAsia"/>
                <w:b/>
              </w:rPr>
              <w:t>表</w:t>
            </w:r>
            <w:r>
              <w:rPr>
                <w:b/>
              </w:rPr>
              <w:t>3-6</w:t>
            </w:r>
            <w:r>
              <w:rPr>
                <w:rFonts w:hint="eastAsia"/>
                <w:b/>
              </w:rPr>
              <w:t>本项目电磁环境影响评价工作等级</w:t>
            </w:r>
          </w:p>
          <w:tbl>
            <w:tblPr>
              <w:tblStyle w:val="150"/>
              <w:tblW w:w="4998" w:type="pct"/>
              <w:tblInd w:w="3"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43"/>
              <w:gridCol w:w="1684"/>
              <w:gridCol w:w="1558"/>
              <w:gridCol w:w="2167"/>
              <w:gridCol w:w="1575"/>
            </w:tblGrid>
            <w:tr w14:paraId="4C07F5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806" w:type="pct"/>
                  <w:vAlign w:val="center"/>
                </w:tcPr>
                <w:p w14:paraId="258582E8">
                  <w:pPr>
                    <w:pStyle w:val="149"/>
                    <w:rPr>
                      <w:rFonts w:hint="default" w:ascii="Times New Roman" w:hAnsi="Times New Roman" w:eastAsia="宋体" w:cs="Times New Roman"/>
                      <w:b/>
                      <w:i w:val="0"/>
                    </w:rPr>
                  </w:pPr>
                  <w:r>
                    <w:rPr>
                      <w:rFonts w:hint="eastAsia" w:ascii="Times New Roman" w:hAnsi="Times New Roman" w:eastAsia="宋体" w:cs="Times New Roman"/>
                      <w:b/>
                      <w:i w:val="0"/>
                    </w:rPr>
                    <w:t>分类</w:t>
                  </w:r>
                </w:p>
              </w:tc>
              <w:tc>
                <w:tcPr>
                  <w:tcW w:w="1011" w:type="pct"/>
                  <w:vAlign w:val="center"/>
                </w:tcPr>
                <w:p w14:paraId="03BD9693">
                  <w:pPr>
                    <w:pStyle w:val="149"/>
                    <w:rPr>
                      <w:rFonts w:hint="default" w:ascii="Times New Roman" w:hAnsi="Times New Roman" w:eastAsia="宋体" w:cs="Times New Roman"/>
                      <w:b/>
                      <w:i w:val="0"/>
                    </w:rPr>
                  </w:pPr>
                  <w:r>
                    <w:rPr>
                      <w:rFonts w:hint="eastAsia" w:ascii="Times New Roman" w:hAnsi="Times New Roman" w:eastAsia="宋体" w:cs="Times New Roman"/>
                      <w:b/>
                      <w:i w:val="0"/>
                    </w:rPr>
                    <w:t>电压等级</w:t>
                  </w:r>
                </w:p>
              </w:tc>
              <w:tc>
                <w:tcPr>
                  <w:tcW w:w="935" w:type="pct"/>
                  <w:vAlign w:val="center"/>
                </w:tcPr>
                <w:p w14:paraId="41F349E8">
                  <w:pPr>
                    <w:pStyle w:val="149"/>
                    <w:rPr>
                      <w:rFonts w:hint="default" w:ascii="Times New Roman" w:hAnsi="Times New Roman" w:eastAsia="宋体" w:cs="Times New Roman"/>
                      <w:b/>
                      <w:i w:val="0"/>
                    </w:rPr>
                  </w:pPr>
                  <w:r>
                    <w:rPr>
                      <w:rFonts w:hint="eastAsia" w:ascii="Times New Roman" w:hAnsi="Times New Roman" w:eastAsia="宋体" w:cs="Times New Roman"/>
                      <w:b/>
                      <w:i w:val="0"/>
                    </w:rPr>
                    <w:t>类型</w:t>
                  </w:r>
                </w:p>
              </w:tc>
              <w:tc>
                <w:tcPr>
                  <w:tcW w:w="1301" w:type="pct"/>
                  <w:vAlign w:val="center"/>
                </w:tcPr>
                <w:p w14:paraId="37B6F44C">
                  <w:pPr>
                    <w:pStyle w:val="149"/>
                    <w:rPr>
                      <w:rFonts w:hint="default" w:ascii="Times New Roman" w:hAnsi="Times New Roman" w:eastAsia="宋体" w:cs="Times New Roman"/>
                      <w:b/>
                      <w:i w:val="0"/>
                    </w:rPr>
                  </w:pPr>
                  <w:r>
                    <w:rPr>
                      <w:rFonts w:hint="eastAsia" w:ascii="Times New Roman" w:hAnsi="Times New Roman" w:eastAsia="宋体" w:cs="Times New Roman"/>
                      <w:b/>
                      <w:i w:val="0"/>
                    </w:rPr>
                    <w:t>条件</w:t>
                  </w:r>
                </w:p>
              </w:tc>
              <w:tc>
                <w:tcPr>
                  <w:tcW w:w="945" w:type="pct"/>
                  <w:vAlign w:val="center"/>
                </w:tcPr>
                <w:p w14:paraId="01AEC775">
                  <w:pPr>
                    <w:pStyle w:val="149"/>
                    <w:rPr>
                      <w:rFonts w:hint="default" w:ascii="Times New Roman" w:hAnsi="Times New Roman" w:eastAsia="宋体" w:cs="Times New Roman"/>
                      <w:b/>
                      <w:i w:val="0"/>
                    </w:rPr>
                  </w:pPr>
                  <w:r>
                    <w:rPr>
                      <w:rFonts w:hint="eastAsia" w:ascii="Times New Roman" w:hAnsi="Times New Roman" w:eastAsia="宋体" w:cs="Times New Roman"/>
                      <w:b/>
                      <w:i w:val="0"/>
                    </w:rPr>
                    <w:t>评价等级</w:t>
                  </w:r>
                </w:p>
              </w:tc>
            </w:tr>
            <w:tr w14:paraId="446F6E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806" w:type="pct"/>
                  <w:vAlign w:val="center"/>
                </w:tcPr>
                <w:p w14:paraId="1E5CFA3A">
                  <w:pPr>
                    <w:pStyle w:val="149"/>
                    <w:rPr>
                      <w:rFonts w:eastAsia="Times New Roman"/>
                    </w:rPr>
                  </w:pPr>
                  <w:r>
                    <w:rPr>
                      <w:rFonts w:hint="eastAsia" w:ascii="宋体" w:hAnsi="宋体" w:eastAsia="宋体" w:cs="宋体"/>
                    </w:rPr>
                    <w:t>交流</w:t>
                  </w:r>
                </w:p>
              </w:tc>
              <w:tc>
                <w:tcPr>
                  <w:tcW w:w="1011" w:type="pct"/>
                  <w:vAlign w:val="center"/>
                </w:tcPr>
                <w:p w14:paraId="5B34643D">
                  <w:pPr>
                    <w:pStyle w:val="149"/>
                    <w:rPr>
                      <w:rFonts w:eastAsia="Times New Roman"/>
                    </w:rPr>
                  </w:pPr>
                  <w:r>
                    <w:rPr>
                      <w:rFonts w:eastAsia="Times New Roman"/>
                    </w:rPr>
                    <w:t>220kV</w:t>
                  </w:r>
                </w:p>
              </w:tc>
              <w:tc>
                <w:tcPr>
                  <w:tcW w:w="935" w:type="pct"/>
                  <w:vAlign w:val="center"/>
                </w:tcPr>
                <w:p w14:paraId="740D74FD">
                  <w:pPr>
                    <w:pStyle w:val="149"/>
                    <w:rPr>
                      <w:rFonts w:eastAsia="Times New Roman"/>
                    </w:rPr>
                  </w:pPr>
                  <w:r>
                    <w:rPr>
                      <w:rFonts w:hint="eastAsia" w:ascii="宋体" w:hAnsi="宋体" w:eastAsia="宋体" w:cs="宋体"/>
                    </w:rPr>
                    <w:t>升压站</w:t>
                  </w:r>
                </w:p>
              </w:tc>
              <w:tc>
                <w:tcPr>
                  <w:tcW w:w="1301" w:type="pct"/>
                  <w:vAlign w:val="center"/>
                </w:tcPr>
                <w:p w14:paraId="244D9062">
                  <w:pPr>
                    <w:pStyle w:val="149"/>
                    <w:rPr>
                      <w:rFonts w:eastAsia="Times New Roman"/>
                    </w:rPr>
                  </w:pPr>
                  <w:r>
                    <w:rPr>
                      <w:rFonts w:hint="eastAsia" w:ascii="宋体" w:hAnsi="宋体" w:eastAsia="宋体" w:cs="宋体"/>
                    </w:rPr>
                    <w:t>户外式</w:t>
                  </w:r>
                </w:p>
              </w:tc>
              <w:tc>
                <w:tcPr>
                  <w:tcW w:w="945" w:type="pct"/>
                  <w:vAlign w:val="center"/>
                </w:tcPr>
                <w:p w14:paraId="71B19E5F">
                  <w:pPr>
                    <w:pStyle w:val="149"/>
                    <w:rPr>
                      <w:rFonts w:eastAsia="Times New Roman"/>
                    </w:rPr>
                  </w:pPr>
                  <w:r>
                    <w:rPr>
                      <w:rFonts w:hint="eastAsia" w:ascii="宋体" w:hAnsi="宋体" w:eastAsia="宋体" w:cs="宋体"/>
                    </w:rPr>
                    <w:t>二级</w:t>
                  </w:r>
                </w:p>
              </w:tc>
            </w:tr>
          </w:tbl>
          <w:p w14:paraId="7A0CC6FA">
            <w:pPr>
              <w:adjustRightInd w:val="0"/>
              <w:snapToGrid w:val="0"/>
              <w:spacing w:line="360" w:lineRule="auto"/>
              <w:ind w:firstLine="480" w:firstLineChars="200"/>
              <w:rPr>
                <w:kern w:val="0"/>
                <w:sz w:val="24"/>
              </w:rPr>
            </w:pPr>
            <w:r>
              <w:rPr>
                <w:rFonts w:hint="eastAsia"/>
                <w:kern w:val="0"/>
                <w:sz w:val="24"/>
              </w:rPr>
              <w:t>根据《环境影响评价技术导则输变电》（</w:t>
            </w:r>
            <w:r>
              <w:rPr>
                <w:kern w:val="0"/>
                <w:sz w:val="24"/>
              </w:rPr>
              <w:t>HJ24-2020</w:t>
            </w:r>
            <w:r>
              <w:rPr>
                <w:rFonts w:hint="eastAsia"/>
                <w:kern w:val="0"/>
                <w:sz w:val="24"/>
              </w:rPr>
              <w:t>），本项目的电磁环境影响评价工作等级为二级。评价范围按项目项目占地范围外</w:t>
            </w:r>
            <w:r>
              <w:rPr>
                <w:kern w:val="0"/>
                <w:sz w:val="24"/>
              </w:rPr>
              <w:t>40m</w:t>
            </w:r>
            <w:r>
              <w:rPr>
                <w:rFonts w:hint="eastAsia"/>
                <w:kern w:val="0"/>
                <w:sz w:val="24"/>
              </w:rPr>
              <w:t>。</w:t>
            </w:r>
          </w:p>
          <w:p w14:paraId="14B5FBCB">
            <w:pPr>
              <w:adjustRightInd w:val="0"/>
              <w:snapToGrid w:val="0"/>
              <w:spacing w:line="360" w:lineRule="auto"/>
              <w:ind w:firstLine="482" w:firstLineChars="200"/>
              <w:rPr>
                <w:b/>
                <w:kern w:val="0"/>
                <w:sz w:val="24"/>
              </w:rPr>
            </w:pPr>
            <w:r>
              <w:rPr>
                <w:rFonts w:hint="eastAsia"/>
                <w:b/>
                <w:kern w:val="0"/>
                <w:sz w:val="24"/>
              </w:rPr>
              <w:t>（</w:t>
            </w:r>
            <w:r>
              <w:rPr>
                <w:b/>
                <w:kern w:val="0"/>
                <w:sz w:val="24"/>
              </w:rPr>
              <w:t>3</w:t>
            </w:r>
            <w:r>
              <w:rPr>
                <w:rFonts w:hint="eastAsia"/>
                <w:b/>
                <w:kern w:val="0"/>
                <w:sz w:val="24"/>
              </w:rPr>
              <w:t>）声环境评价范围</w:t>
            </w:r>
          </w:p>
          <w:p w14:paraId="43BE8DEF">
            <w:pPr>
              <w:adjustRightInd w:val="0"/>
              <w:snapToGrid w:val="0"/>
              <w:spacing w:line="360" w:lineRule="auto"/>
              <w:ind w:firstLine="480" w:firstLineChars="200"/>
              <w:rPr>
                <w:kern w:val="0"/>
                <w:sz w:val="24"/>
              </w:rPr>
            </w:pPr>
            <w:r>
              <w:rPr>
                <w:rFonts w:hint="eastAsia"/>
                <w:kern w:val="0"/>
                <w:sz w:val="24"/>
              </w:rPr>
              <w:t>本项目位于博罗县石湾镇智能装备产业园区内，所在功能区属于3类区，根据《环境影响评价技术导则输变电》(HJ24-2020)：变电站、换流站、开关站、串补站的声环境影响评价范围应按照HJ2.4的相关规定确定，根据《环境影响评价技术导则声环境》(HJ2.4-2021)，确定本项目声环境影响评价等级为三级。根据《环境影响评价技术导则声环境》(HJ2.4-2021)中5.2.1条指出“满足一级评价的要求，一般以建设项目边界向外200m为评价范围；二级、三级评价范围可根据建设项目所在区域和相邻区域的声环境功能区类别及声环境保护目标等实际情况适当缩小”，本项目声环境不需要设置专章，结合《建设项目环境影响报告表编制技术指南（污染影响类）》（试行）的相关规定，本工程新建储能电站的声环境影响评价范围确定为站界外50米。</w:t>
            </w:r>
          </w:p>
          <w:p w14:paraId="46E8E217">
            <w:pPr>
              <w:spacing w:line="360" w:lineRule="auto"/>
              <w:ind w:firstLine="482" w:firstLineChars="200"/>
              <w:rPr>
                <w:b/>
                <w:sz w:val="24"/>
              </w:rPr>
            </w:pPr>
            <w:r>
              <w:rPr>
                <w:rFonts w:hint="eastAsia"/>
                <w:b/>
                <w:sz w:val="24"/>
              </w:rPr>
              <w:t>（</w:t>
            </w:r>
            <w:r>
              <w:rPr>
                <w:b/>
                <w:sz w:val="24"/>
              </w:rPr>
              <w:t>4</w:t>
            </w:r>
            <w:r>
              <w:rPr>
                <w:rFonts w:hint="eastAsia"/>
                <w:b/>
                <w:sz w:val="24"/>
              </w:rPr>
              <w:t>）大气环境影响</w:t>
            </w:r>
          </w:p>
          <w:p w14:paraId="32103A6E">
            <w:pPr>
              <w:spacing w:line="360" w:lineRule="auto"/>
              <w:ind w:firstLine="480" w:firstLineChars="200"/>
              <w:rPr>
                <w:sz w:val="24"/>
              </w:rPr>
            </w:pPr>
            <w:r>
              <w:rPr>
                <w:rFonts w:hint="eastAsia"/>
                <w:sz w:val="24"/>
              </w:rPr>
              <w:t>本项目营运期无生产废气排放，根据《环境影响评价技术导则 大气环境》（HJ2.2-2018），项目大气环境评价等级为三级，不需设置大气环境影响评价范围。</w:t>
            </w:r>
          </w:p>
          <w:p w14:paraId="49FE4567">
            <w:pPr>
              <w:spacing w:line="360" w:lineRule="auto"/>
              <w:ind w:firstLine="482" w:firstLineChars="200"/>
              <w:rPr>
                <w:b/>
                <w:sz w:val="24"/>
              </w:rPr>
            </w:pPr>
            <w:r>
              <w:rPr>
                <w:rFonts w:hint="eastAsia"/>
                <w:b/>
                <w:sz w:val="24"/>
              </w:rPr>
              <w:t>（</w:t>
            </w:r>
            <w:r>
              <w:rPr>
                <w:b/>
                <w:sz w:val="24"/>
              </w:rPr>
              <w:t>5</w:t>
            </w:r>
            <w:r>
              <w:rPr>
                <w:rFonts w:hint="eastAsia"/>
                <w:b/>
                <w:sz w:val="24"/>
              </w:rPr>
              <w:t>）地表水环境影响</w:t>
            </w:r>
          </w:p>
          <w:p w14:paraId="5653FA57">
            <w:pPr>
              <w:spacing w:line="360" w:lineRule="auto"/>
              <w:ind w:firstLine="480" w:firstLineChars="200"/>
              <w:rPr>
                <w:sz w:val="24"/>
              </w:rPr>
            </w:pPr>
            <w:r>
              <w:rPr>
                <w:rFonts w:hint="eastAsia"/>
                <w:sz w:val="24"/>
              </w:rPr>
              <w:t>本项目施工期及运行期均无废水排放。项目施工期人员不在施工场地内食宿，施工人员的食宿依托附近出租房解决，生活污水经三级化粪池预处理达到广东省《水污染物排放限值》</w:t>
            </w:r>
            <w:r>
              <w:rPr>
                <w:sz w:val="24"/>
              </w:rPr>
              <w:t>(DB44/26-2001)</w:t>
            </w:r>
            <w:r>
              <w:rPr>
                <w:rFonts w:hint="eastAsia"/>
                <w:sz w:val="24"/>
              </w:rPr>
              <w:t>第二时段三级标准后排入市政污水管网，排入博罗县石湾镇大牛垒生活污水处理厂处理后达标排放。项目运营期员工不在场地内食宿，办公生活污水经三级化粪池预处理达到广东省《水污染物排放限值》</w:t>
            </w:r>
            <w:r>
              <w:rPr>
                <w:sz w:val="24"/>
              </w:rPr>
              <w:t>(DB44/26-2001)</w:t>
            </w:r>
            <w:r>
              <w:rPr>
                <w:rFonts w:hint="eastAsia"/>
                <w:sz w:val="24"/>
              </w:rPr>
              <w:t>第二时段三级标准后排入市政污水管网，排入博罗县石湾镇大牛垒生活污水处理厂处理后达标排放。</w:t>
            </w:r>
          </w:p>
          <w:p w14:paraId="15FF31A7">
            <w:pPr>
              <w:spacing w:line="360" w:lineRule="auto"/>
              <w:ind w:firstLine="480" w:firstLineChars="200"/>
              <w:rPr>
                <w:sz w:val="24"/>
              </w:rPr>
            </w:pPr>
            <w:r>
              <w:rPr>
                <w:rFonts w:hint="eastAsia"/>
                <w:sz w:val="24"/>
              </w:rPr>
              <w:t>根据《环境影响评价技术导则地表水环境》（</w:t>
            </w:r>
            <w:r>
              <w:rPr>
                <w:sz w:val="24"/>
              </w:rPr>
              <w:t>HJ2.3-2018</w:t>
            </w:r>
            <w:r>
              <w:rPr>
                <w:rFonts w:hint="eastAsia"/>
                <w:sz w:val="24"/>
              </w:rPr>
              <w:t>），地表水环境影响评价工作等级为三级</w:t>
            </w:r>
            <w:r>
              <w:rPr>
                <w:sz w:val="24"/>
              </w:rPr>
              <w:t>B</w:t>
            </w:r>
            <w:r>
              <w:rPr>
                <w:rFonts w:hint="eastAsia"/>
                <w:sz w:val="24"/>
              </w:rPr>
              <w:t>，仅对地表水环境影响进行简要分析。</w:t>
            </w:r>
          </w:p>
          <w:p w14:paraId="2E1F4C53">
            <w:pPr>
              <w:spacing w:line="360" w:lineRule="auto"/>
              <w:ind w:firstLine="482" w:firstLineChars="200"/>
              <w:rPr>
                <w:b/>
                <w:sz w:val="24"/>
              </w:rPr>
            </w:pPr>
            <w:r>
              <w:rPr>
                <w:rFonts w:hint="eastAsia"/>
                <w:b/>
                <w:sz w:val="24"/>
              </w:rPr>
              <w:t>（</w:t>
            </w:r>
            <w:r>
              <w:rPr>
                <w:b/>
                <w:sz w:val="24"/>
              </w:rPr>
              <w:t>6</w:t>
            </w:r>
            <w:r>
              <w:rPr>
                <w:rFonts w:hint="eastAsia"/>
                <w:b/>
                <w:sz w:val="24"/>
              </w:rPr>
              <w:t>）地下水环境影响</w:t>
            </w:r>
          </w:p>
          <w:p w14:paraId="15653A3C">
            <w:pPr>
              <w:pStyle w:val="2"/>
              <w:spacing w:before="0" w:after="0" w:line="360" w:lineRule="auto"/>
              <w:ind w:left="0" w:firstLine="480" w:firstLineChars="200"/>
              <w:rPr>
                <w:rFonts w:eastAsia="宋体"/>
                <w:b w:val="0"/>
                <w:bCs w:val="0"/>
                <w:color w:val="auto"/>
                <w:kern w:val="2"/>
                <w:sz w:val="24"/>
                <w:szCs w:val="24"/>
              </w:rPr>
            </w:pPr>
            <w:r>
              <w:rPr>
                <w:rFonts w:hint="eastAsia" w:eastAsia="宋体"/>
                <w:b w:val="0"/>
                <w:bCs w:val="0"/>
                <w:color w:val="auto"/>
                <w:kern w:val="2"/>
                <w:sz w:val="24"/>
                <w:szCs w:val="24"/>
              </w:rPr>
              <w:t>项目运营期不使用地下水，对地下水环境基本没有影响，根据《建设项目环境影响评价技术导则 地下水环境》（HJ610-2016）附录A地下水环境影响评价行业分类表，本项目属于IV类建设项目，可不开展地下水环境影响评价，不需设置评价范围。</w:t>
            </w:r>
          </w:p>
          <w:p w14:paraId="5148EE70">
            <w:pPr>
              <w:spacing w:line="360" w:lineRule="auto"/>
              <w:ind w:firstLine="482" w:firstLineChars="200"/>
              <w:rPr>
                <w:b/>
                <w:sz w:val="24"/>
              </w:rPr>
            </w:pPr>
            <w:r>
              <w:rPr>
                <w:rFonts w:hint="eastAsia"/>
                <w:b/>
                <w:sz w:val="24"/>
              </w:rPr>
              <w:t>（</w:t>
            </w:r>
            <w:r>
              <w:rPr>
                <w:b/>
                <w:sz w:val="24"/>
              </w:rPr>
              <w:t>7</w:t>
            </w:r>
            <w:r>
              <w:rPr>
                <w:rFonts w:hint="eastAsia"/>
                <w:b/>
                <w:sz w:val="24"/>
              </w:rPr>
              <w:t>）土壤环境影响</w:t>
            </w:r>
          </w:p>
          <w:p w14:paraId="79A8E26F">
            <w:pPr>
              <w:spacing w:line="360" w:lineRule="auto"/>
              <w:ind w:firstLine="480" w:firstLineChars="200"/>
              <w:rPr>
                <w:sz w:val="24"/>
              </w:rPr>
            </w:pPr>
            <w:r>
              <w:rPr>
                <w:rFonts w:hint="eastAsia"/>
                <w:sz w:val="24"/>
              </w:rPr>
              <w:t>本项目属于送（输）变电工程，属于《环境影响评价技术导则-土壤环境（试行）》（HJ964-2018）中的其他行业，可不开展土壤环境影响评价。</w:t>
            </w:r>
          </w:p>
          <w:p w14:paraId="5444564F">
            <w:pPr>
              <w:pStyle w:val="2"/>
              <w:spacing w:before="0" w:after="0" w:line="360" w:lineRule="auto"/>
              <w:ind w:left="0" w:firstLine="480" w:firstLineChars="200"/>
              <w:rPr>
                <w:rFonts w:asciiTheme="minorEastAsia" w:hAnsiTheme="minorEastAsia" w:eastAsiaTheme="minorEastAsia"/>
                <w:b w:val="0"/>
                <w:color w:val="auto"/>
                <w:sz w:val="24"/>
                <w:szCs w:val="24"/>
              </w:rPr>
            </w:pPr>
            <w:r>
              <w:rPr>
                <w:rFonts w:hint="eastAsia" w:asciiTheme="minorEastAsia" w:hAnsiTheme="minorEastAsia" w:eastAsiaTheme="minorEastAsia"/>
                <w:b w:val="0"/>
                <w:color w:val="auto"/>
                <w:sz w:val="24"/>
                <w:szCs w:val="24"/>
              </w:rPr>
              <w:t>本项目各环境要素影响评价范围详见下表3-</w:t>
            </w:r>
            <w:r>
              <w:rPr>
                <w:rFonts w:asciiTheme="minorEastAsia" w:hAnsiTheme="minorEastAsia" w:eastAsiaTheme="minorEastAsia"/>
                <w:b w:val="0"/>
                <w:color w:val="auto"/>
                <w:sz w:val="24"/>
                <w:szCs w:val="24"/>
              </w:rPr>
              <w:t>7</w:t>
            </w:r>
            <w:r>
              <w:rPr>
                <w:rFonts w:hint="eastAsia" w:asciiTheme="minorEastAsia" w:hAnsiTheme="minorEastAsia" w:eastAsiaTheme="minorEastAsia"/>
                <w:b w:val="0"/>
                <w:color w:val="auto"/>
                <w:sz w:val="24"/>
                <w:szCs w:val="24"/>
              </w:rPr>
              <w:t>。</w:t>
            </w:r>
          </w:p>
          <w:p w14:paraId="4DE2C755">
            <w:pPr>
              <w:jc w:val="center"/>
            </w:pPr>
            <w:r>
              <w:rPr>
                <w:rFonts w:hint="eastAsia" w:asciiTheme="minorEastAsia" w:hAnsiTheme="minorEastAsia" w:eastAsiaTheme="minorEastAsia"/>
                <w:b/>
                <w:sz w:val="24"/>
              </w:rPr>
              <w:t>表3-</w:t>
            </w:r>
            <w:r>
              <w:rPr>
                <w:rFonts w:asciiTheme="minorEastAsia" w:hAnsiTheme="minorEastAsia" w:eastAsiaTheme="minorEastAsia"/>
                <w:b/>
                <w:sz w:val="24"/>
              </w:rPr>
              <w:t>7</w:t>
            </w:r>
            <w:r>
              <w:rPr>
                <w:rFonts w:hint="eastAsia" w:asciiTheme="minorEastAsia" w:hAnsiTheme="minorEastAsia" w:eastAsiaTheme="minorEastAsia"/>
                <w:b/>
                <w:sz w:val="24"/>
              </w:rPr>
              <w:t>项目各环境要素影响评价范围汇总表</w:t>
            </w:r>
          </w:p>
          <w:tbl>
            <w:tblPr>
              <w:tblStyle w:val="150"/>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57"/>
              <w:gridCol w:w="5473"/>
            </w:tblGrid>
            <w:tr w14:paraId="0236C9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27" w:type="dxa"/>
                  <w:vAlign w:val="center"/>
                </w:tcPr>
                <w:p w14:paraId="6562242F">
                  <w:pPr>
                    <w:pStyle w:val="149"/>
                    <w:rPr>
                      <w:rFonts w:hint="default" w:ascii="Times New Roman" w:hAnsi="Times New Roman" w:eastAsia="宋体" w:cs="Times New Roman"/>
                      <w:b/>
                      <w:i w:val="0"/>
                    </w:rPr>
                  </w:pPr>
                  <w:r>
                    <w:rPr>
                      <w:rFonts w:hint="eastAsia" w:ascii="Times New Roman" w:hAnsi="Times New Roman" w:eastAsia="宋体" w:cs="Times New Roman"/>
                      <w:b/>
                      <w:i w:val="0"/>
                    </w:rPr>
                    <w:t>环境要素</w:t>
                  </w:r>
                </w:p>
              </w:tc>
              <w:tc>
                <w:tcPr>
                  <w:tcW w:w="5808" w:type="dxa"/>
                  <w:vAlign w:val="center"/>
                </w:tcPr>
                <w:p w14:paraId="5926FAA9">
                  <w:pPr>
                    <w:pStyle w:val="149"/>
                    <w:rPr>
                      <w:rFonts w:hint="default" w:ascii="Times New Roman" w:hAnsi="Times New Roman" w:eastAsia="宋体" w:cs="Times New Roman"/>
                      <w:b/>
                      <w:i w:val="0"/>
                    </w:rPr>
                  </w:pPr>
                  <w:r>
                    <w:rPr>
                      <w:rFonts w:hint="eastAsia" w:ascii="Times New Roman" w:hAnsi="Times New Roman" w:eastAsia="宋体" w:cs="Times New Roman"/>
                      <w:b/>
                      <w:i w:val="0"/>
                    </w:rPr>
                    <w:t>评价范围</w:t>
                  </w:r>
                </w:p>
              </w:tc>
            </w:tr>
            <w:tr w14:paraId="7BD8BB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27" w:type="dxa"/>
                  <w:vAlign w:val="center"/>
                </w:tcPr>
                <w:p w14:paraId="4E0ECF33">
                  <w:pPr>
                    <w:pStyle w:val="149"/>
                    <w:rPr>
                      <w:rFonts w:eastAsia="Times New Roman"/>
                    </w:rPr>
                  </w:pPr>
                  <w:r>
                    <w:rPr>
                      <w:rFonts w:hint="eastAsia" w:ascii="宋体" w:hAnsi="宋体" w:eastAsia="宋体" w:cs="宋体"/>
                    </w:rPr>
                    <w:t>生态环境</w:t>
                  </w:r>
                </w:p>
              </w:tc>
              <w:tc>
                <w:tcPr>
                  <w:tcW w:w="5808" w:type="dxa"/>
                  <w:vAlign w:val="center"/>
                </w:tcPr>
                <w:p w14:paraId="5D0F439A">
                  <w:pPr>
                    <w:pStyle w:val="149"/>
                    <w:rPr>
                      <w:rFonts w:eastAsia="Times New Roman"/>
                    </w:rPr>
                  </w:pPr>
                  <w:r>
                    <w:rPr>
                      <w:rFonts w:hint="eastAsia" w:ascii="宋体" w:hAnsi="宋体" w:eastAsia="宋体" w:cs="宋体"/>
                    </w:rPr>
                    <w:t>项目占地范围及占地范围外</w:t>
                  </w:r>
                  <w:r>
                    <w:rPr>
                      <w:rFonts w:eastAsia="Times New Roman"/>
                    </w:rPr>
                    <w:t>5</w:t>
                  </w:r>
                  <w:r>
                    <w:rPr>
                      <w:rFonts w:hint="eastAsia" w:eastAsia="Times New Roman"/>
                    </w:rPr>
                    <w:t>00m</w:t>
                  </w:r>
                  <w:r>
                    <w:rPr>
                      <w:rFonts w:hint="eastAsia" w:ascii="宋体" w:hAnsi="宋体" w:eastAsia="宋体" w:cs="宋体"/>
                    </w:rPr>
                    <w:t>范围</w:t>
                  </w:r>
                </w:p>
              </w:tc>
            </w:tr>
            <w:tr w14:paraId="0251F8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27" w:type="dxa"/>
                  <w:vAlign w:val="center"/>
                </w:tcPr>
                <w:p w14:paraId="75E3DEAF">
                  <w:pPr>
                    <w:pStyle w:val="149"/>
                    <w:rPr>
                      <w:rFonts w:eastAsia="Times New Roman"/>
                    </w:rPr>
                  </w:pPr>
                  <w:r>
                    <w:rPr>
                      <w:rFonts w:hint="eastAsia" w:ascii="宋体" w:hAnsi="宋体" w:eastAsia="宋体" w:cs="宋体"/>
                    </w:rPr>
                    <w:t>电磁环境</w:t>
                  </w:r>
                </w:p>
              </w:tc>
              <w:tc>
                <w:tcPr>
                  <w:tcW w:w="5808" w:type="dxa"/>
                  <w:vAlign w:val="center"/>
                </w:tcPr>
                <w:p w14:paraId="4B292B78">
                  <w:pPr>
                    <w:pStyle w:val="149"/>
                    <w:rPr>
                      <w:rFonts w:eastAsia="Times New Roman"/>
                    </w:rPr>
                  </w:pPr>
                  <w:r>
                    <w:rPr>
                      <w:rFonts w:hint="eastAsia" w:ascii="宋体" w:hAnsi="宋体" w:eastAsia="宋体" w:cs="宋体"/>
                    </w:rPr>
                    <w:t>项目占地范围外</w:t>
                  </w:r>
                  <w:r>
                    <w:rPr>
                      <w:rFonts w:eastAsia="Times New Roman"/>
                    </w:rPr>
                    <w:t>4</w:t>
                  </w:r>
                  <w:r>
                    <w:rPr>
                      <w:rFonts w:hint="eastAsia" w:eastAsia="Times New Roman"/>
                    </w:rPr>
                    <w:t>0m</w:t>
                  </w:r>
                  <w:r>
                    <w:rPr>
                      <w:rFonts w:hint="eastAsia" w:ascii="宋体" w:hAnsi="宋体" w:eastAsia="宋体" w:cs="宋体"/>
                    </w:rPr>
                    <w:t>围内</w:t>
                  </w:r>
                </w:p>
              </w:tc>
            </w:tr>
            <w:tr w14:paraId="0AC75A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27" w:type="dxa"/>
                  <w:vAlign w:val="center"/>
                </w:tcPr>
                <w:p w14:paraId="5EB3F7DF">
                  <w:pPr>
                    <w:pStyle w:val="149"/>
                    <w:rPr>
                      <w:rFonts w:eastAsia="Times New Roman"/>
                    </w:rPr>
                  </w:pPr>
                  <w:r>
                    <w:rPr>
                      <w:rFonts w:hint="eastAsia" w:ascii="宋体" w:hAnsi="宋体" w:eastAsia="宋体" w:cs="宋体"/>
                    </w:rPr>
                    <w:t>声环境</w:t>
                  </w:r>
                </w:p>
              </w:tc>
              <w:tc>
                <w:tcPr>
                  <w:tcW w:w="5808" w:type="dxa"/>
                  <w:vAlign w:val="center"/>
                </w:tcPr>
                <w:p w14:paraId="79AF2520">
                  <w:pPr>
                    <w:pStyle w:val="149"/>
                    <w:rPr>
                      <w:rFonts w:eastAsia="Times New Roman"/>
                    </w:rPr>
                  </w:pPr>
                  <w:r>
                    <w:rPr>
                      <w:rFonts w:hint="eastAsia" w:ascii="宋体" w:hAnsi="宋体" w:eastAsia="宋体" w:cs="宋体"/>
                    </w:rPr>
                    <w:t>项目占地范围外</w:t>
                  </w:r>
                  <w:r>
                    <w:rPr>
                      <w:rFonts w:hint="eastAsia" w:eastAsia="Times New Roman"/>
                    </w:rPr>
                    <w:t>50m</w:t>
                  </w:r>
                  <w:r>
                    <w:rPr>
                      <w:rFonts w:hint="eastAsia" w:ascii="宋体" w:hAnsi="宋体" w:eastAsia="宋体" w:cs="宋体"/>
                    </w:rPr>
                    <w:t>围内</w:t>
                  </w:r>
                </w:p>
              </w:tc>
            </w:tr>
            <w:tr w14:paraId="217E6E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27" w:type="dxa"/>
                  <w:vAlign w:val="center"/>
                </w:tcPr>
                <w:p w14:paraId="06EEEFD1">
                  <w:pPr>
                    <w:pStyle w:val="149"/>
                    <w:rPr>
                      <w:rFonts w:eastAsia="Times New Roman"/>
                    </w:rPr>
                  </w:pPr>
                  <w:r>
                    <w:rPr>
                      <w:rFonts w:hint="eastAsia" w:ascii="宋体" w:hAnsi="宋体" w:eastAsia="宋体" w:cs="宋体"/>
                    </w:rPr>
                    <w:t>大气环境</w:t>
                  </w:r>
                </w:p>
              </w:tc>
              <w:tc>
                <w:tcPr>
                  <w:tcW w:w="5808" w:type="dxa"/>
                  <w:vAlign w:val="center"/>
                </w:tcPr>
                <w:p w14:paraId="31BF0A89">
                  <w:pPr>
                    <w:pStyle w:val="149"/>
                    <w:rPr>
                      <w:rFonts w:eastAsia="Times New Roman"/>
                    </w:rPr>
                  </w:pPr>
                  <w:r>
                    <w:rPr>
                      <w:rFonts w:hint="eastAsia" w:ascii="宋体" w:hAnsi="宋体" w:eastAsia="宋体" w:cs="宋体"/>
                    </w:rPr>
                    <w:t>定性分析，不划定具体的评价范围</w:t>
                  </w:r>
                </w:p>
              </w:tc>
            </w:tr>
            <w:tr w14:paraId="5EEF71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27" w:type="dxa"/>
                  <w:vAlign w:val="center"/>
                </w:tcPr>
                <w:p w14:paraId="49229D5A">
                  <w:pPr>
                    <w:pStyle w:val="149"/>
                    <w:rPr>
                      <w:rFonts w:eastAsia="Times New Roman"/>
                    </w:rPr>
                  </w:pPr>
                  <w:r>
                    <w:rPr>
                      <w:rFonts w:hint="eastAsia" w:ascii="宋体" w:hAnsi="宋体" w:eastAsia="宋体" w:cs="宋体"/>
                    </w:rPr>
                    <w:t>地表水环境</w:t>
                  </w:r>
                </w:p>
              </w:tc>
              <w:tc>
                <w:tcPr>
                  <w:tcW w:w="5808" w:type="dxa"/>
                  <w:vAlign w:val="center"/>
                </w:tcPr>
                <w:p w14:paraId="7D3F81F6">
                  <w:pPr>
                    <w:pStyle w:val="149"/>
                    <w:rPr>
                      <w:rFonts w:eastAsia="Times New Roman"/>
                    </w:rPr>
                  </w:pPr>
                  <w:r>
                    <w:rPr>
                      <w:rFonts w:hint="eastAsia" w:ascii="宋体" w:hAnsi="宋体" w:eastAsia="宋体" w:cs="宋体"/>
                    </w:rPr>
                    <w:t>不划定具体的评价范围</w:t>
                  </w:r>
                </w:p>
              </w:tc>
            </w:tr>
            <w:tr w14:paraId="274F45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27" w:type="dxa"/>
                  <w:vAlign w:val="center"/>
                </w:tcPr>
                <w:p w14:paraId="791306F6">
                  <w:pPr>
                    <w:pStyle w:val="149"/>
                    <w:rPr>
                      <w:rFonts w:eastAsia="Times New Roman"/>
                    </w:rPr>
                  </w:pPr>
                  <w:r>
                    <w:rPr>
                      <w:rFonts w:hint="eastAsia" w:ascii="宋体" w:hAnsi="宋体" w:eastAsia="宋体" w:cs="宋体"/>
                    </w:rPr>
                    <w:t>地下水环境</w:t>
                  </w:r>
                </w:p>
              </w:tc>
              <w:tc>
                <w:tcPr>
                  <w:tcW w:w="5808" w:type="dxa"/>
                  <w:vAlign w:val="center"/>
                </w:tcPr>
                <w:p w14:paraId="405291A5">
                  <w:pPr>
                    <w:pStyle w:val="149"/>
                    <w:rPr>
                      <w:rFonts w:eastAsia="Times New Roman"/>
                    </w:rPr>
                  </w:pPr>
                  <w:r>
                    <w:rPr>
                      <w:rFonts w:hint="eastAsia" w:ascii="宋体" w:hAnsi="宋体" w:eastAsia="宋体" w:cs="宋体"/>
                    </w:rPr>
                    <w:t>简要分析，不划定具体的评价范围</w:t>
                  </w:r>
                </w:p>
              </w:tc>
            </w:tr>
            <w:tr w14:paraId="5BDB01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27" w:type="dxa"/>
                  <w:vAlign w:val="center"/>
                </w:tcPr>
                <w:p w14:paraId="64015B82">
                  <w:pPr>
                    <w:pStyle w:val="149"/>
                    <w:rPr>
                      <w:rFonts w:eastAsia="Times New Roman"/>
                    </w:rPr>
                  </w:pPr>
                  <w:r>
                    <w:rPr>
                      <w:rFonts w:hint="eastAsia" w:ascii="宋体" w:hAnsi="宋体" w:eastAsia="宋体" w:cs="宋体"/>
                    </w:rPr>
                    <w:t>土壤环境</w:t>
                  </w:r>
                </w:p>
              </w:tc>
              <w:tc>
                <w:tcPr>
                  <w:tcW w:w="5808" w:type="dxa"/>
                  <w:vAlign w:val="center"/>
                </w:tcPr>
                <w:p w14:paraId="2A1113C5">
                  <w:pPr>
                    <w:pStyle w:val="149"/>
                    <w:rPr>
                      <w:rFonts w:eastAsia="Times New Roman"/>
                    </w:rPr>
                  </w:pPr>
                  <w:r>
                    <w:rPr>
                      <w:rFonts w:hint="eastAsia" w:ascii="宋体" w:hAnsi="宋体" w:eastAsia="宋体" w:cs="宋体"/>
                    </w:rPr>
                    <w:t>不开展土壤环境影响评价，不划定具体的评价范围</w:t>
                  </w:r>
                </w:p>
              </w:tc>
            </w:tr>
          </w:tbl>
          <w:p w14:paraId="3EE926EB">
            <w:pPr>
              <w:pStyle w:val="10"/>
              <w:ind w:firstLine="482"/>
              <w:rPr>
                <w:b/>
                <w:bCs/>
              </w:rPr>
            </w:pPr>
            <w:r>
              <w:rPr>
                <w:b/>
                <w:bCs/>
              </w:rPr>
              <w:t>3</w:t>
            </w:r>
            <w:r>
              <w:rPr>
                <w:rFonts w:hint="eastAsia"/>
                <w:b/>
                <w:bCs/>
              </w:rPr>
              <w:t>、保护目标</w:t>
            </w:r>
          </w:p>
          <w:p w14:paraId="3E12E230">
            <w:pPr>
              <w:pStyle w:val="10"/>
              <w:ind w:firstLine="482"/>
              <w:rPr>
                <w:b/>
              </w:rPr>
            </w:pPr>
            <w:r>
              <w:rPr>
                <w:rFonts w:hint="eastAsia"/>
                <w:b/>
              </w:rPr>
              <w:t>（</w:t>
            </w:r>
            <w:r>
              <w:rPr>
                <w:b/>
              </w:rPr>
              <w:t>1</w:t>
            </w:r>
            <w:r>
              <w:rPr>
                <w:rFonts w:hint="eastAsia"/>
                <w:b/>
              </w:rPr>
              <w:t>）大气环境保护目标</w:t>
            </w:r>
          </w:p>
          <w:p w14:paraId="2F28B17C">
            <w:pPr>
              <w:pStyle w:val="10"/>
            </w:pPr>
            <w:r>
              <w:rPr>
                <w:rFonts w:hint="eastAsia"/>
              </w:rPr>
              <w:t>本项目营运期无生产废气排放，根据《环境影响评价技术导则大气环境》（</w:t>
            </w:r>
            <w:r>
              <w:t>HJ2.2-2018</w:t>
            </w:r>
            <w:r>
              <w:rPr>
                <w:rFonts w:hint="eastAsia"/>
              </w:rPr>
              <w:t>），本项目不设置大气评价范围，不进行营运期大气污染物评价。</w:t>
            </w:r>
          </w:p>
          <w:p w14:paraId="0A8AAB16">
            <w:pPr>
              <w:pStyle w:val="10"/>
              <w:ind w:firstLine="482"/>
              <w:rPr>
                <w:b/>
              </w:rPr>
            </w:pPr>
            <w:r>
              <w:rPr>
                <w:rFonts w:hint="eastAsia"/>
                <w:b/>
              </w:rPr>
              <w:t>（</w:t>
            </w:r>
            <w:r>
              <w:rPr>
                <w:b/>
              </w:rPr>
              <w:t>2</w:t>
            </w:r>
            <w:r>
              <w:rPr>
                <w:rFonts w:hint="eastAsia"/>
                <w:b/>
              </w:rPr>
              <w:t>）声环境保护目标</w:t>
            </w:r>
          </w:p>
          <w:p w14:paraId="09862B56">
            <w:pPr>
              <w:pStyle w:val="10"/>
            </w:pPr>
            <w:r>
              <w:rPr>
                <w:rFonts w:hint="eastAsia"/>
              </w:rPr>
              <w:t>根据《环境影响评价技术导则</w:t>
            </w:r>
            <w:r>
              <w:t xml:space="preserve"> </w:t>
            </w:r>
            <w:r>
              <w:rPr>
                <w:rFonts w:hint="eastAsia"/>
              </w:rPr>
              <w:t>声环境》</w:t>
            </w:r>
            <w:r>
              <w:t>(HJ 2.4-2021)</w:t>
            </w:r>
            <w:r>
              <w:rPr>
                <w:rFonts w:hint="eastAsia"/>
              </w:rPr>
              <w:t>，声环境保护目标为依据法律、法规、标准政策等确定的需要保持安静的建筑物及建筑物集中区。根据现场调查，项目周边</w:t>
            </w:r>
            <w:r>
              <w:t>50m</w:t>
            </w:r>
            <w:r>
              <w:rPr>
                <w:rFonts w:hint="eastAsia"/>
              </w:rPr>
              <w:t>范围内无声环境保护目标。</w:t>
            </w:r>
          </w:p>
          <w:p w14:paraId="411429FA">
            <w:pPr>
              <w:pStyle w:val="10"/>
              <w:ind w:firstLine="482"/>
              <w:rPr>
                <w:b/>
              </w:rPr>
            </w:pPr>
            <w:r>
              <w:rPr>
                <w:rFonts w:hint="eastAsia"/>
                <w:b/>
              </w:rPr>
              <w:t>（</w:t>
            </w:r>
            <w:r>
              <w:rPr>
                <w:b/>
              </w:rPr>
              <w:t>3</w:t>
            </w:r>
            <w:r>
              <w:rPr>
                <w:rFonts w:hint="eastAsia"/>
                <w:b/>
              </w:rPr>
              <w:t>）水环境境保护目标</w:t>
            </w:r>
          </w:p>
          <w:p w14:paraId="0ACB245D">
            <w:pPr>
              <w:pStyle w:val="10"/>
            </w:pPr>
            <w:r>
              <w:rPr>
                <w:rFonts w:hint="eastAsia"/>
              </w:rPr>
              <w:t>本项目不涉及废水外排，不涉及水环境敏感目标。</w:t>
            </w:r>
          </w:p>
          <w:p w14:paraId="751AECEC">
            <w:pPr>
              <w:pStyle w:val="10"/>
              <w:ind w:firstLine="482"/>
              <w:rPr>
                <w:b/>
              </w:rPr>
            </w:pPr>
            <w:r>
              <w:rPr>
                <w:rFonts w:hint="eastAsia"/>
                <w:b/>
              </w:rPr>
              <w:t>（</w:t>
            </w:r>
            <w:r>
              <w:rPr>
                <w:b/>
              </w:rPr>
              <w:t>4</w:t>
            </w:r>
            <w:r>
              <w:rPr>
                <w:rFonts w:hint="eastAsia"/>
                <w:b/>
              </w:rPr>
              <w:t>）生态环境保护目标</w:t>
            </w:r>
          </w:p>
          <w:p w14:paraId="78D692A9">
            <w:pPr>
              <w:pStyle w:val="10"/>
            </w:pPr>
            <w:r>
              <w:rPr>
                <w:rFonts w:hint="eastAsia"/>
              </w:rPr>
              <w:t>本项目评价范围内不涉及《环境影响评价技术导则生态影响》（</w:t>
            </w:r>
            <w:r>
              <w:t>HJ19-2022</w:t>
            </w:r>
            <w:r>
              <w:rPr>
                <w:rFonts w:hint="eastAsia"/>
              </w:rPr>
              <w:t>）中规定的国家公园、自然保护区、自然公园等自然保护地、世界自然遗产、生态保护红线等区域以及重要物种的天然集中分布区、栖息地等，也不涉及《建设项目环境影响评价分类管理名录（</w:t>
            </w:r>
            <w:r>
              <w:t>2021</w:t>
            </w:r>
            <w:r>
              <w:rPr>
                <w:rFonts w:hint="eastAsia"/>
              </w:rPr>
              <w:t>年版）》中第三条（一）中“国家公园、自然保护区、风景名胜区、世界文化和自然遗产地、海洋特别保护区、饮用水水源保护区”等环境敏感区域。因此，本项目不涉及生态敏感目标。</w:t>
            </w:r>
          </w:p>
          <w:p w14:paraId="7547A8A2">
            <w:pPr>
              <w:pStyle w:val="10"/>
              <w:ind w:firstLine="482"/>
              <w:rPr>
                <w:b/>
              </w:rPr>
            </w:pPr>
            <w:r>
              <w:rPr>
                <w:rFonts w:hint="eastAsia"/>
                <w:b/>
              </w:rPr>
              <w:t>（</w:t>
            </w:r>
            <w:r>
              <w:rPr>
                <w:b/>
              </w:rPr>
              <w:t>5</w:t>
            </w:r>
            <w:r>
              <w:rPr>
                <w:rFonts w:hint="eastAsia"/>
                <w:b/>
              </w:rPr>
              <w:t>）电磁环境保护目标</w:t>
            </w:r>
          </w:p>
          <w:p w14:paraId="75AFBCC5">
            <w:pPr>
              <w:pStyle w:val="10"/>
            </w:pPr>
            <w:r>
              <w:rPr>
                <w:rFonts w:hint="eastAsia"/>
              </w:rPr>
              <w:t>根据《环境影响评价技术导则输变电》</w:t>
            </w:r>
            <w:r>
              <w:t>(HJ24-2020)</w:t>
            </w:r>
            <w:r>
              <w:rPr>
                <w:rFonts w:hint="eastAsia"/>
              </w:rPr>
              <w:t>，储能电站电磁环境影响评价范围为站界外</w:t>
            </w:r>
            <w:r>
              <w:t>40m</w:t>
            </w:r>
            <w:r>
              <w:rPr>
                <w:rFonts w:hint="eastAsia"/>
              </w:rPr>
              <w:t>。电磁环境敏感目标包括住宅、学校、医院、办公楼、工厂等有公众居住、工作或学习的建筑物。经现场勘查，项目站界外</w:t>
            </w:r>
            <w:r>
              <w:t>40m</w:t>
            </w:r>
            <w:r>
              <w:rPr>
                <w:rFonts w:hint="eastAsia"/>
              </w:rPr>
              <w:t>内无电磁环境保护目标。</w:t>
            </w:r>
          </w:p>
        </w:tc>
      </w:tr>
      <w:tr w14:paraId="5480C2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91" w:hRule="atLeast"/>
          <w:jc w:val="center"/>
        </w:trPr>
        <w:tc>
          <w:tcPr>
            <w:tcW w:w="239" w:type="pct"/>
            <w:tcMar>
              <w:top w:w="0" w:type="dxa"/>
              <w:left w:w="51" w:type="dxa"/>
              <w:bottom w:w="0" w:type="dxa"/>
              <w:right w:w="51" w:type="dxa"/>
            </w:tcMar>
            <w:vAlign w:val="center"/>
          </w:tcPr>
          <w:p w14:paraId="45E73A89">
            <w:pPr>
              <w:adjustRightInd w:val="0"/>
              <w:snapToGrid w:val="0"/>
              <w:spacing w:line="360" w:lineRule="auto"/>
              <w:jc w:val="center"/>
              <w:rPr>
                <w:sz w:val="24"/>
              </w:rPr>
            </w:pPr>
            <w:r>
              <w:rPr>
                <w:rFonts w:hint="eastAsia"/>
                <w:sz w:val="24"/>
              </w:rPr>
              <w:t>评价标准</w:t>
            </w:r>
          </w:p>
        </w:tc>
        <w:tc>
          <w:tcPr>
            <w:tcW w:w="4761" w:type="pct"/>
            <w:vAlign w:val="center"/>
          </w:tcPr>
          <w:p w14:paraId="09EA254C">
            <w:pPr>
              <w:pStyle w:val="10"/>
              <w:ind w:firstLine="482"/>
              <w:rPr>
                <w:b/>
                <w:bCs/>
              </w:rPr>
            </w:pPr>
            <w:r>
              <w:rPr>
                <w:b/>
                <w:bCs/>
              </w:rPr>
              <w:t>1</w:t>
            </w:r>
            <w:r>
              <w:rPr>
                <w:rFonts w:hint="eastAsia"/>
                <w:b/>
                <w:bCs/>
              </w:rPr>
              <w:t>环境质量标准</w:t>
            </w:r>
          </w:p>
          <w:p w14:paraId="183D93A1">
            <w:pPr>
              <w:pStyle w:val="10"/>
              <w:ind w:firstLine="482"/>
              <w:rPr>
                <w:b/>
                <w:bCs/>
              </w:rPr>
            </w:pPr>
            <w:r>
              <w:rPr>
                <w:rFonts w:hint="eastAsia"/>
                <w:b/>
                <w:bCs/>
              </w:rPr>
              <w:t>（1）环境空气质量标准</w:t>
            </w:r>
          </w:p>
          <w:p w14:paraId="0579AE72">
            <w:pPr>
              <w:pStyle w:val="10"/>
            </w:pPr>
            <w:r>
              <w:rPr>
                <w:rFonts w:hint="eastAsia"/>
              </w:rPr>
              <w:t>区域环境空气执行《环境空气质量标准》（</w:t>
            </w:r>
            <w:r>
              <w:t>GB3095-2012</w:t>
            </w:r>
            <w:r>
              <w:rPr>
                <w:rFonts w:hint="eastAsia"/>
              </w:rPr>
              <w:t>）二级标准及其修改单（生态环境部</w:t>
            </w:r>
            <w:r>
              <w:t>2018</w:t>
            </w:r>
            <w:r>
              <w:rPr>
                <w:rFonts w:hint="eastAsia"/>
              </w:rPr>
              <w:t>年第</w:t>
            </w:r>
            <w:r>
              <w:t>29</w:t>
            </w:r>
            <w:r>
              <w:rPr>
                <w:rFonts w:hint="eastAsia"/>
              </w:rPr>
              <w:t>号）二级标准。具体见下表。</w:t>
            </w:r>
          </w:p>
          <w:p w14:paraId="38D0E976">
            <w:pPr>
              <w:pStyle w:val="58"/>
              <w:spacing w:line="240" w:lineRule="auto"/>
              <w:rPr>
                <w:sz w:val="24"/>
                <w:szCs w:val="24"/>
              </w:rPr>
            </w:pPr>
            <w:r>
              <w:rPr>
                <w:rFonts w:hint="eastAsia"/>
                <w:sz w:val="24"/>
                <w:szCs w:val="24"/>
              </w:rPr>
              <w:t>表</w:t>
            </w:r>
            <w:r>
              <w:rPr>
                <w:sz w:val="24"/>
                <w:szCs w:val="24"/>
              </w:rPr>
              <w:t>3-8</w:t>
            </w:r>
            <w:r>
              <w:rPr>
                <w:rFonts w:hint="eastAsia"/>
                <w:sz w:val="24"/>
                <w:szCs w:val="24"/>
              </w:rPr>
              <w:t>环境空气质量标准</w:t>
            </w:r>
          </w:p>
          <w:tbl>
            <w:tblPr>
              <w:tblStyle w:val="150"/>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16"/>
              <w:gridCol w:w="2051"/>
              <w:gridCol w:w="1081"/>
              <w:gridCol w:w="843"/>
              <w:gridCol w:w="2936"/>
            </w:tblGrid>
            <w:tr w14:paraId="111FFE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restart"/>
                  <w:vAlign w:val="center"/>
                </w:tcPr>
                <w:p w14:paraId="2081CE8F">
                  <w:pPr>
                    <w:pStyle w:val="149"/>
                    <w:rPr>
                      <w:rFonts w:hint="default" w:ascii="Times New Roman" w:hAnsi="Times New Roman" w:eastAsia="宋体" w:cs="Times New Roman"/>
                      <w:b/>
                      <w:i w:val="0"/>
                    </w:rPr>
                  </w:pPr>
                  <w:r>
                    <w:rPr>
                      <w:rFonts w:hint="eastAsia" w:ascii="Times New Roman" w:hAnsi="Times New Roman" w:eastAsia="宋体" w:cs="Times New Roman"/>
                      <w:b/>
                      <w:i w:val="0"/>
                    </w:rPr>
                    <w:t>项目</w:t>
                  </w:r>
                </w:p>
              </w:tc>
              <w:tc>
                <w:tcPr>
                  <w:tcW w:w="1231" w:type="pct"/>
                  <w:vMerge w:val="restart"/>
                  <w:vAlign w:val="center"/>
                </w:tcPr>
                <w:p w14:paraId="3B1D0CE6">
                  <w:pPr>
                    <w:pStyle w:val="149"/>
                    <w:rPr>
                      <w:rFonts w:hint="default" w:ascii="Times New Roman" w:hAnsi="Times New Roman" w:eastAsia="宋体" w:cs="Times New Roman"/>
                      <w:b/>
                      <w:i w:val="0"/>
                    </w:rPr>
                  </w:pPr>
                  <w:r>
                    <w:rPr>
                      <w:rFonts w:hint="eastAsia" w:ascii="Times New Roman" w:hAnsi="Times New Roman" w:eastAsia="宋体" w:cs="Times New Roman"/>
                      <w:b/>
                      <w:i w:val="0"/>
                    </w:rPr>
                    <w:t>取值时间</w:t>
                  </w:r>
                </w:p>
              </w:tc>
              <w:tc>
                <w:tcPr>
                  <w:tcW w:w="649" w:type="pct"/>
                  <w:vAlign w:val="center"/>
                </w:tcPr>
                <w:p w14:paraId="5E3D587B">
                  <w:pPr>
                    <w:pStyle w:val="149"/>
                    <w:rPr>
                      <w:rFonts w:hint="default" w:ascii="Times New Roman" w:hAnsi="Times New Roman" w:eastAsia="宋体" w:cs="Times New Roman"/>
                      <w:b/>
                      <w:i w:val="0"/>
                    </w:rPr>
                  </w:pPr>
                  <w:r>
                    <w:rPr>
                      <w:rFonts w:hint="eastAsia" w:ascii="Times New Roman" w:hAnsi="Times New Roman" w:eastAsia="宋体" w:cs="Times New Roman"/>
                      <w:b/>
                      <w:i w:val="0"/>
                    </w:rPr>
                    <w:t>浓度限值</w:t>
                  </w:r>
                </w:p>
              </w:tc>
              <w:tc>
                <w:tcPr>
                  <w:tcW w:w="506" w:type="pct"/>
                  <w:vMerge w:val="restart"/>
                  <w:vAlign w:val="center"/>
                </w:tcPr>
                <w:p w14:paraId="71294142">
                  <w:pPr>
                    <w:pStyle w:val="149"/>
                    <w:rPr>
                      <w:rFonts w:hint="default" w:ascii="Times New Roman" w:hAnsi="Times New Roman" w:eastAsia="宋体" w:cs="Times New Roman"/>
                      <w:b/>
                      <w:i w:val="0"/>
                    </w:rPr>
                  </w:pPr>
                  <w:r>
                    <w:rPr>
                      <w:rFonts w:hint="eastAsia" w:ascii="Times New Roman" w:hAnsi="Times New Roman" w:eastAsia="宋体" w:cs="Times New Roman"/>
                      <w:b/>
                      <w:i w:val="0"/>
                    </w:rPr>
                    <w:t>单位</w:t>
                  </w:r>
                </w:p>
              </w:tc>
              <w:tc>
                <w:tcPr>
                  <w:tcW w:w="1761" w:type="pct"/>
                  <w:vMerge w:val="restart"/>
                  <w:vAlign w:val="center"/>
                </w:tcPr>
                <w:p w14:paraId="2577F953">
                  <w:pPr>
                    <w:pStyle w:val="149"/>
                    <w:rPr>
                      <w:rFonts w:hint="default" w:ascii="Times New Roman" w:hAnsi="Times New Roman" w:eastAsia="宋体" w:cs="Times New Roman"/>
                      <w:b/>
                      <w:i w:val="0"/>
                    </w:rPr>
                  </w:pPr>
                  <w:r>
                    <w:rPr>
                      <w:rFonts w:hint="eastAsia" w:ascii="Times New Roman" w:hAnsi="Times New Roman" w:eastAsia="宋体" w:cs="Times New Roman"/>
                      <w:b/>
                      <w:i w:val="0"/>
                    </w:rPr>
                    <w:t>选用标准</w:t>
                  </w:r>
                </w:p>
              </w:tc>
            </w:tr>
            <w:tr w14:paraId="69B000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continue"/>
                  <w:vAlign w:val="center"/>
                </w:tcPr>
                <w:p w14:paraId="2A8BB0D2">
                  <w:pPr>
                    <w:pStyle w:val="149"/>
                    <w:rPr>
                      <w:rFonts w:eastAsia="Times New Roman"/>
                    </w:rPr>
                  </w:pPr>
                </w:p>
              </w:tc>
              <w:tc>
                <w:tcPr>
                  <w:tcW w:w="1231" w:type="pct"/>
                  <w:vMerge w:val="continue"/>
                  <w:vAlign w:val="center"/>
                </w:tcPr>
                <w:p w14:paraId="580464A2">
                  <w:pPr>
                    <w:pStyle w:val="149"/>
                    <w:rPr>
                      <w:rFonts w:eastAsia="Times New Roman"/>
                    </w:rPr>
                  </w:pPr>
                </w:p>
              </w:tc>
              <w:tc>
                <w:tcPr>
                  <w:tcW w:w="649" w:type="pct"/>
                  <w:vAlign w:val="center"/>
                </w:tcPr>
                <w:p w14:paraId="6EFE08A7">
                  <w:pPr>
                    <w:pStyle w:val="149"/>
                    <w:rPr>
                      <w:rFonts w:eastAsia="Times New Roman"/>
                    </w:rPr>
                  </w:pPr>
                  <w:r>
                    <w:rPr>
                      <w:rFonts w:hint="eastAsia" w:ascii="宋体" w:hAnsi="宋体" w:eastAsia="宋体" w:cs="宋体"/>
                    </w:rPr>
                    <w:t>二级</w:t>
                  </w:r>
                </w:p>
              </w:tc>
              <w:tc>
                <w:tcPr>
                  <w:tcW w:w="506" w:type="pct"/>
                  <w:vMerge w:val="continue"/>
                  <w:vAlign w:val="center"/>
                </w:tcPr>
                <w:p w14:paraId="5155CB95">
                  <w:pPr>
                    <w:pStyle w:val="149"/>
                    <w:rPr>
                      <w:rFonts w:eastAsia="Times New Roman"/>
                    </w:rPr>
                  </w:pPr>
                </w:p>
              </w:tc>
              <w:tc>
                <w:tcPr>
                  <w:tcW w:w="1761" w:type="pct"/>
                  <w:vMerge w:val="continue"/>
                  <w:vAlign w:val="center"/>
                </w:tcPr>
                <w:p w14:paraId="77279D2A">
                  <w:pPr>
                    <w:pStyle w:val="149"/>
                    <w:rPr>
                      <w:rFonts w:eastAsia="Times New Roman"/>
                    </w:rPr>
                  </w:pPr>
                </w:p>
              </w:tc>
            </w:tr>
            <w:tr w14:paraId="0B5E7D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restart"/>
                  <w:vAlign w:val="center"/>
                </w:tcPr>
                <w:p w14:paraId="50F6183C">
                  <w:pPr>
                    <w:pStyle w:val="149"/>
                    <w:rPr>
                      <w:rFonts w:eastAsia="Times New Roman"/>
                    </w:rPr>
                  </w:pPr>
                  <w:r>
                    <w:rPr>
                      <w:rFonts w:eastAsia="Times New Roman"/>
                    </w:rPr>
                    <w:t>SO</w:t>
                  </w:r>
                  <w:r>
                    <w:rPr>
                      <w:rFonts w:eastAsia="Times New Roman"/>
                      <w:vertAlign w:val="subscript"/>
                    </w:rPr>
                    <w:t>2</w:t>
                  </w:r>
                </w:p>
              </w:tc>
              <w:tc>
                <w:tcPr>
                  <w:tcW w:w="1231" w:type="pct"/>
                  <w:vAlign w:val="center"/>
                </w:tcPr>
                <w:p w14:paraId="2B82DD87">
                  <w:pPr>
                    <w:pStyle w:val="149"/>
                    <w:rPr>
                      <w:rFonts w:eastAsia="Times New Roman"/>
                    </w:rPr>
                  </w:pPr>
                  <w:r>
                    <w:rPr>
                      <w:rFonts w:eastAsia="Times New Roman"/>
                    </w:rPr>
                    <w:t>1</w:t>
                  </w:r>
                  <w:r>
                    <w:rPr>
                      <w:rFonts w:hint="eastAsia" w:ascii="宋体" w:hAnsi="宋体" w:eastAsia="宋体" w:cs="宋体"/>
                    </w:rPr>
                    <w:t>小时平均</w:t>
                  </w:r>
                </w:p>
              </w:tc>
              <w:tc>
                <w:tcPr>
                  <w:tcW w:w="649" w:type="pct"/>
                  <w:vAlign w:val="center"/>
                </w:tcPr>
                <w:p w14:paraId="64513D1A">
                  <w:pPr>
                    <w:pStyle w:val="149"/>
                    <w:rPr>
                      <w:rFonts w:eastAsia="Times New Roman"/>
                    </w:rPr>
                  </w:pPr>
                  <w:r>
                    <w:rPr>
                      <w:rFonts w:eastAsia="Times New Roman"/>
                    </w:rPr>
                    <w:t>500</w:t>
                  </w:r>
                </w:p>
              </w:tc>
              <w:tc>
                <w:tcPr>
                  <w:tcW w:w="506" w:type="pct"/>
                  <w:vMerge w:val="restart"/>
                  <w:vAlign w:val="center"/>
                </w:tcPr>
                <w:p w14:paraId="46FDCABD">
                  <w:pPr>
                    <w:pStyle w:val="149"/>
                    <w:rPr>
                      <w:rFonts w:eastAsia="Times New Roman"/>
                    </w:rPr>
                  </w:pPr>
                  <w:r>
                    <w:rPr>
                      <w:rFonts w:eastAsia="Times New Roman"/>
                    </w:rPr>
                    <w:t>μg/m</w:t>
                  </w:r>
                  <w:r>
                    <w:rPr>
                      <w:rFonts w:eastAsia="Times New Roman"/>
                      <w:vertAlign w:val="superscript"/>
                    </w:rPr>
                    <w:t>3</w:t>
                  </w:r>
                </w:p>
              </w:tc>
              <w:tc>
                <w:tcPr>
                  <w:tcW w:w="1761" w:type="pct"/>
                  <w:vMerge w:val="restart"/>
                  <w:vAlign w:val="center"/>
                </w:tcPr>
                <w:p w14:paraId="6601F50A">
                  <w:pPr>
                    <w:pStyle w:val="149"/>
                    <w:rPr>
                      <w:rFonts w:eastAsia="Times New Roman"/>
                    </w:rPr>
                  </w:pPr>
                  <w:r>
                    <w:rPr>
                      <w:rFonts w:hint="eastAsia" w:ascii="宋体" w:hAnsi="宋体" w:eastAsia="宋体" w:cs="宋体"/>
                    </w:rPr>
                    <w:t>《环境空气质量标准》（</w:t>
                  </w:r>
                  <w:r>
                    <w:rPr>
                      <w:rFonts w:eastAsia="Times New Roman"/>
                    </w:rPr>
                    <w:t>GB3095-2012</w:t>
                  </w:r>
                  <w:r>
                    <w:rPr>
                      <w:rFonts w:hint="eastAsia" w:ascii="宋体" w:hAnsi="宋体" w:eastAsia="宋体" w:cs="宋体"/>
                    </w:rPr>
                    <w:t>）及其</w:t>
                  </w:r>
                  <w:r>
                    <w:rPr>
                      <w:rFonts w:eastAsia="Times New Roman"/>
                    </w:rPr>
                    <w:t>2018</w:t>
                  </w:r>
                  <w:r>
                    <w:rPr>
                      <w:rFonts w:hint="eastAsia" w:ascii="宋体" w:hAnsi="宋体" w:eastAsia="宋体" w:cs="宋体"/>
                    </w:rPr>
                    <w:t>年修改单中的二级标准</w:t>
                  </w:r>
                </w:p>
              </w:tc>
            </w:tr>
            <w:tr w14:paraId="2D41F5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continue"/>
                  <w:vAlign w:val="center"/>
                </w:tcPr>
                <w:p w14:paraId="4C095F42">
                  <w:pPr>
                    <w:pStyle w:val="149"/>
                    <w:rPr>
                      <w:rFonts w:eastAsia="Times New Roman"/>
                    </w:rPr>
                  </w:pPr>
                </w:p>
              </w:tc>
              <w:tc>
                <w:tcPr>
                  <w:tcW w:w="1231" w:type="pct"/>
                  <w:vAlign w:val="center"/>
                </w:tcPr>
                <w:p w14:paraId="4E7C6767">
                  <w:pPr>
                    <w:pStyle w:val="149"/>
                    <w:rPr>
                      <w:rFonts w:eastAsia="Times New Roman"/>
                    </w:rPr>
                  </w:pPr>
                  <w:r>
                    <w:rPr>
                      <w:rFonts w:eastAsia="Times New Roman"/>
                    </w:rPr>
                    <w:t>24</w:t>
                  </w:r>
                  <w:r>
                    <w:rPr>
                      <w:rFonts w:hint="eastAsia" w:ascii="宋体" w:hAnsi="宋体" w:eastAsia="宋体" w:cs="宋体"/>
                    </w:rPr>
                    <w:t>小时平均</w:t>
                  </w:r>
                </w:p>
              </w:tc>
              <w:tc>
                <w:tcPr>
                  <w:tcW w:w="649" w:type="pct"/>
                  <w:vAlign w:val="center"/>
                </w:tcPr>
                <w:p w14:paraId="2B194A9C">
                  <w:pPr>
                    <w:pStyle w:val="149"/>
                    <w:rPr>
                      <w:rFonts w:eastAsia="Times New Roman"/>
                    </w:rPr>
                  </w:pPr>
                  <w:r>
                    <w:rPr>
                      <w:rFonts w:eastAsia="Times New Roman"/>
                    </w:rPr>
                    <w:t>150</w:t>
                  </w:r>
                </w:p>
              </w:tc>
              <w:tc>
                <w:tcPr>
                  <w:tcW w:w="506" w:type="pct"/>
                  <w:vMerge w:val="continue"/>
                  <w:vAlign w:val="center"/>
                </w:tcPr>
                <w:p w14:paraId="2DF2BF24">
                  <w:pPr>
                    <w:pStyle w:val="149"/>
                    <w:rPr>
                      <w:rFonts w:eastAsia="Times New Roman"/>
                    </w:rPr>
                  </w:pPr>
                </w:p>
              </w:tc>
              <w:tc>
                <w:tcPr>
                  <w:tcW w:w="1761" w:type="pct"/>
                  <w:vMerge w:val="continue"/>
                  <w:vAlign w:val="center"/>
                </w:tcPr>
                <w:p w14:paraId="489C1000">
                  <w:pPr>
                    <w:pStyle w:val="149"/>
                    <w:rPr>
                      <w:rFonts w:eastAsia="Times New Roman"/>
                    </w:rPr>
                  </w:pPr>
                </w:p>
              </w:tc>
            </w:tr>
            <w:tr w14:paraId="24EC8D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continue"/>
                  <w:vAlign w:val="center"/>
                </w:tcPr>
                <w:p w14:paraId="397D8DB5">
                  <w:pPr>
                    <w:pStyle w:val="149"/>
                    <w:rPr>
                      <w:rFonts w:eastAsia="Times New Roman"/>
                    </w:rPr>
                  </w:pPr>
                </w:p>
              </w:tc>
              <w:tc>
                <w:tcPr>
                  <w:tcW w:w="1231" w:type="pct"/>
                  <w:vAlign w:val="center"/>
                </w:tcPr>
                <w:p w14:paraId="43BC8772">
                  <w:pPr>
                    <w:pStyle w:val="149"/>
                    <w:rPr>
                      <w:rFonts w:eastAsia="Times New Roman"/>
                    </w:rPr>
                  </w:pPr>
                  <w:r>
                    <w:rPr>
                      <w:rFonts w:hint="eastAsia" w:ascii="宋体" w:hAnsi="宋体" w:eastAsia="宋体" w:cs="宋体"/>
                    </w:rPr>
                    <w:t>年平均</w:t>
                  </w:r>
                </w:p>
              </w:tc>
              <w:tc>
                <w:tcPr>
                  <w:tcW w:w="649" w:type="pct"/>
                  <w:vAlign w:val="center"/>
                </w:tcPr>
                <w:p w14:paraId="5E63DA17">
                  <w:pPr>
                    <w:pStyle w:val="149"/>
                    <w:rPr>
                      <w:rFonts w:eastAsia="Times New Roman"/>
                    </w:rPr>
                  </w:pPr>
                  <w:r>
                    <w:rPr>
                      <w:rFonts w:eastAsia="Times New Roman"/>
                    </w:rPr>
                    <w:t>60</w:t>
                  </w:r>
                </w:p>
              </w:tc>
              <w:tc>
                <w:tcPr>
                  <w:tcW w:w="506" w:type="pct"/>
                  <w:vMerge w:val="continue"/>
                  <w:vAlign w:val="center"/>
                </w:tcPr>
                <w:p w14:paraId="1C5E2C06">
                  <w:pPr>
                    <w:pStyle w:val="149"/>
                    <w:rPr>
                      <w:rFonts w:eastAsia="Times New Roman"/>
                    </w:rPr>
                  </w:pPr>
                </w:p>
              </w:tc>
              <w:tc>
                <w:tcPr>
                  <w:tcW w:w="1761" w:type="pct"/>
                  <w:vMerge w:val="continue"/>
                  <w:vAlign w:val="center"/>
                </w:tcPr>
                <w:p w14:paraId="37E021B4">
                  <w:pPr>
                    <w:pStyle w:val="149"/>
                    <w:rPr>
                      <w:rFonts w:eastAsia="Times New Roman"/>
                    </w:rPr>
                  </w:pPr>
                </w:p>
              </w:tc>
            </w:tr>
            <w:tr w14:paraId="60D9E3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50" w:type="pct"/>
                  <w:vMerge w:val="restart"/>
                  <w:vAlign w:val="center"/>
                </w:tcPr>
                <w:p w14:paraId="5F525B95">
                  <w:pPr>
                    <w:pStyle w:val="149"/>
                    <w:rPr>
                      <w:rFonts w:eastAsia="Times New Roman"/>
                    </w:rPr>
                  </w:pPr>
                  <w:r>
                    <w:rPr>
                      <w:rFonts w:eastAsia="Times New Roman"/>
                    </w:rPr>
                    <w:t>NO</w:t>
                  </w:r>
                  <w:r>
                    <w:rPr>
                      <w:rFonts w:eastAsia="Times New Roman"/>
                      <w:vertAlign w:val="subscript"/>
                    </w:rPr>
                    <w:t>2</w:t>
                  </w:r>
                </w:p>
              </w:tc>
              <w:tc>
                <w:tcPr>
                  <w:tcW w:w="1231" w:type="pct"/>
                  <w:vAlign w:val="center"/>
                </w:tcPr>
                <w:p w14:paraId="48EC761F">
                  <w:pPr>
                    <w:pStyle w:val="149"/>
                    <w:rPr>
                      <w:rFonts w:eastAsia="Times New Roman"/>
                    </w:rPr>
                  </w:pPr>
                  <w:r>
                    <w:rPr>
                      <w:rFonts w:eastAsia="Times New Roman"/>
                    </w:rPr>
                    <w:t>1</w:t>
                  </w:r>
                  <w:r>
                    <w:rPr>
                      <w:rFonts w:hint="eastAsia" w:ascii="宋体" w:hAnsi="宋体" w:eastAsia="宋体" w:cs="宋体"/>
                    </w:rPr>
                    <w:t>小时平均</w:t>
                  </w:r>
                </w:p>
              </w:tc>
              <w:tc>
                <w:tcPr>
                  <w:tcW w:w="649" w:type="pct"/>
                  <w:vAlign w:val="center"/>
                </w:tcPr>
                <w:p w14:paraId="11641AE0">
                  <w:pPr>
                    <w:pStyle w:val="149"/>
                    <w:rPr>
                      <w:rFonts w:eastAsia="Times New Roman"/>
                    </w:rPr>
                  </w:pPr>
                  <w:r>
                    <w:rPr>
                      <w:rFonts w:eastAsia="Times New Roman"/>
                    </w:rPr>
                    <w:t>200</w:t>
                  </w:r>
                </w:p>
              </w:tc>
              <w:tc>
                <w:tcPr>
                  <w:tcW w:w="506" w:type="pct"/>
                  <w:vMerge w:val="continue"/>
                  <w:vAlign w:val="center"/>
                </w:tcPr>
                <w:p w14:paraId="75E7FAD7">
                  <w:pPr>
                    <w:pStyle w:val="149"/>
                    <w:rPr>
                      <w:rFonts w:eastAsia="Times New Roman"/>
                    </w:rPr>
                  </w:pPr>
                </w:p>
              </w:tc>
              <w:tc>
                <w:tcPr>
                  <w:tcW w:w="1761" w:type="pct"/>
                  <w:vMerge w:val="continue"/>
                  <w:vAlign w:val="center"/>
                </w:tcPr>
                <w:p w14:paraId="779D0350">
                  <w:pPr>
                    <w:pStyle w:val="149"/>
                    <w:rPr>
                      <w:rFonts w:eastAsia="Times New Roman"/>
                    </w:rPr>
                  </w:pPr>
                </w:p>
              </w:tc>
            </w:tr>
            <w:tr w14:paraId="059735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continue"/>
                  <w:vAlign w:val="center"/>
                </w:tcPr>
                <w:p w14:paraId="63CA6CA1">
                  <w:pPr>
                    <w:pStyle w:val="149"/>
                    <w:rPr>
                      <w:rFonts w:eastAsia="Times New Roman"/>
                    </w:rPr>
                  </w:pPr>
                </w:p>
              </w:tc>
              <w:tc>
                <w:tcPr>
                  <w:tcW w:w="1231" w:type="pct"/>
                  <w:vAlign w:val="center"/>
                </w:tcPr>
                <w:p w14:paraId="6B0DEE46">
                  <w:pPr>
                    <w:pStyle w:val="149"/>
                    <w:rPr>
                      <w:rFonts w:eastAsia="Times New Roman"/>
                    </w:rPr>
                  </w:pPr>
                  <w:r>
                    <w:rPr>
                      <w:rFonts w:eastAsia="Times New Roman"/>
                    </w:rPr>
                    <w:t>24</w:t>
                  </w:r>
                  <w:r>
                    <w:rPr>
                      <w:rFonts w:hint="eastAsia" w:ascii="宋体" w:hAnsi="宋体" w:eastAsia="宋体" w:cs="宋体"/>
                    </w:rPr>
                    <w:t>小时平均</w:t>
                  </w:r>
                </w:p>
              </w:tc>
              <w:tc>
                <w:tcPr>
                  <w:tcW w:w="649" w:type="pct"/>
                  <w:vAlign w:val="center"/>
                </w:tcPr>
                <w:p w14:paraId="5442487D">
                  <w:pPr>
                    <w:pStyle w:val="149"/>
                    <w:rPr>
                      <w:rFonts w:eastAsia="Times New Roman"/>
                    </w:rPr>
                  </w:pPr>
                  <w:r>
                    <w:rPr>
                      <w:rFonts w:eastAsia="Times New Roman"/>
                    </w:rPr>
                    <w:t>80</w:t>
                  </w:r>
                </w:p>
              </w:tc>
              <w:tc>
                <w:tcPr>
                  <w:tcW w:w="506" w:type="pct"/>
                  <w:vMerge w:val="continue"/>
                  <w:vAlign w:val="center"/>
                </w:tcPr>
                <w:p w14:paraId="3EC95E6F">
                  <w:pPr>
                    <w:pStyle w:val="149"/>
                    <w:rPr>
                      <w:rFonts w:eastAsia="Times New Roman"/>
                    </w:rPr>
                  </w:pPr>
                </w:p>
              </w:tc>
              <w:tc>
                <w:tcPr>
                  <w:tcW w:w="1761" w:type="pct"/>
                  <w:vMerge w:val="continue"/>
                  <w:vAlign w:val="center"/>
                </w:tcPr>
                <w:p w14:paraId="0A6B8C51">
                  <w:pPr>
                    <w:pStyle w:val="149"/>
                    <w:rPr>
                      <w:rFonts w:eastAsia="Times New Roman"/>
                    </w:rPr>
                  </w:pPr>
                </w:p>
              </w:tc>
            </w:tr>
            <w:tr w14:paraId="66968A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continue"/>
                  <w:vAlign w:val="center"/>
                </w:tcPr>
                <w:p w14:paraId="53F81288">
                  <w:pPr>
                    <w:pStyle w:val="149"/>
                    <w:rPr>
                      <w:rFonts w:eastAsia="Times New Roman"/>
                    </w:rPr>
                  </w:pPr>
                </w:p>
              </w:tc>
              <w:tc>
                <w:tcPr>
                  <w:tcW w:w="1231" w:type="pct"/>
                  <w:vAlign w:val="center"/>
                </w:tcPr>
                <w:p w14:paraId="61937B8C">
                  <w:pPr>
                    <w:pStyle w:val="149"/>
                    <w:rPr>
                      <w:rFonts w:eastAsia="Times New Roman"/>
                    </w:rPr>
                  </w:pPr>
                  <w:r>
                    <w:rPr>
                      <w:rFonts w:hint="eastAsia" w:ascii="宋体" w:hAnsi="宋体" w:eastAsia="宋体" w:cs="宋体"/>
                    </w:rPr>
                    <w:t>年平均</w:t>
                  </w:r>
                </w:p>
              </w:tc>
              <w:tc>
                <w:tcPr>
                  <w:tcW w:w="649" w:type="pct"/>
                  <w:vAlign w:val="center"/>
                </w:tcPr>
                <w:p w14:paraId="06CD1BA1">
                  <w:pPr>
                    <w:pStyle w:val="149"/>
                    <w:rPr>
                      <w:rFonts w:eastAsia="Times New Roman"/>
                    </w:rPr>
                  </w:pPr>
                  <w:r>
                    <w:rPr>
                      <w:rFonts w:eastAsia="Times New Roman"/>
                    </w:rPr>
                    <w:t>40</w:t>
                  </w:r>
                </w:p>
              </w:tc>
              <w:tc>
                <w:tcPr>
                  <w:tcW w:w="506" w:type="pct"/>
                  <w:vMerge w:val="continue"/>
                  <w:vAlign w:val="center"/>
                </w:tcPr>
                <w:p w14:paraId="754AE7F1">
                  <w:pPr>
                    <w:pStyle w:val="149"/>
                    <w:rPr>
                      <w:rFonts w:eastAsia="Times New Roman"/>
                    </w:rPr>
                  </w:pPr>
                </w:p>
              </w:tc>
              <w:tc>
                <w:tcPr>
                  <w:tcW w:w="1761" w:type="pct"/>
                  <w:vMerge w:val="continue"/>
                  <w:vAlign w:val="center"/>
                </w:tcPr>
                <w:p w14:paraId="1FC59143">
                  <w:pPr>
                    <w:pStyle w:val="149"/>
                    <w:rPr>
                      <w:rFonts w:eastAsia="Times New Roman"/>
                    </w:rPr>
                  </w:pPr>
                </w:p>
              </w:tc>
            </w:tr>
            <w:tr w14:paraId="2B2FCF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restart"/>
                  <w:vAlign w:val="center"/>
                </w:tcPr>
                <w:p w14:paraId="14DA3F6E">
                  <w:pPr>
                    <w:pStyle w:val="149"/>
                    <w:rPr>
                      <w:rFonts w:eastAsia="Times New Roman"/>
                    </w:rPr>
                  </w:pPr>
                  <w:r>
                    <w:rPr>
                      <w:rFonts w:eastAsia="Times New Roman"/>
                    </w:rPr>
                    <w:t>PM</w:t>
                  </w:r>
                  <w:r>
                    <w:rPr>
                      <w:rFonts w:eastAsia="Times New Roman"/>
                      <w:vertAlign w:val="subscript"/>
                    </w:rPr>
                    <w:t>10</w:t>
                  </w:r>
                </w:p>
              </w:tc>
              <w:tc>
                <w:tcPr>
                  <w:tcW w:w="1231" w:type="pct"/>
                  <w:vAlign w:val="center"/>
                </w:tcPr>
                <w:p w14:paraId="1AC53F55">
                  <w:pPr>
                    <w:pStyle w:val="149"/>
                    <w:rPr>
                      <w:rFonts w:eastAsia="Times New Roman"/>
                    </w:rPr>
                  </w:pPr>
                  <w:r>
                    <w:rPr>
                      <w:rFonts w:eastAsia="Times New Roman"/>
                    </w:rPr>
                    <w:t>24</w:t>
                  </w:r>
                  <w:r>
                    <w:rPr>
                      <w:rFonts w:hint="eastAsia" w:ascii="宋体" w:hAnsi="宋体" w:eastAsia="宋体" w:cs="宋体"/>
                    </w:rPr>
                    <w:t>小时平均</w:t>
                  </w:r>
                </w:p>
              </w:tc>
              <w:tc>
                <w:tcPr>
                  <w:tcW w:w="649" w:type="pct"/>
                  <w:vAlign w:val="center"/>
                </w:tcPr>
                <w:p w14:paraId="0874EAAB">
                  <w:pPr>
                    <w:pStyle w:val="149"/>
                    <w:rPr>
                      <w:rFonts w:eastAsia="Times New Roman"/>
                    </w:rPr>
                  </w:pPr>
                  <w:r>
                    <w:rPr>
                      <w:rFonts w:eastAsia="Times New Roman"/>
                    </w:rPr>
                    <w:t>150</w:t>
                  </w:r>
                </w:p>
              </w:tc>
              <w:tc>
                <w:tcPr>
                  <w:tcW w:w="506" w:type="pct"/>
                  <w:vMerge w:val="continue"/>
                  <w:vAlign w:val="center"/>
                </w:tcPr>
                <w:p w14:paraId="2240F41C">
                  <w:pPr>
                    <w:pStyle w:val="149"/>
                    <w:rPr>
                      <w:rFonts w:eastAsia="Times New Roman"/>
                    </w:rPr>
                  </w:pPr>
                </w:p>
              </w:tc>
              <w:tc>
                <w:tcPr>
                  <w:tcW w:w="1761" w:type="pct"/>
                  <w:vMerge w:val="continue"/>
                  <w:vAlign w:val="center"/>
                </w:tcPr>
                <w:p w14:paraId="616D3BB5">
                  <w:pPr>
                    <w:pStyle w:val="149"/>
                    <w:rPr>
                      <w:rFonts w:eastAsia="Times New Roman"/>
                    </w:rPr>
                  </w:pPr>
                </w:p>
              </w:tc>
            </w:tr>
            <w:tr w14:paraId="313CCB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continue"/>
                  <w:vAlign w:val="center"/>
                </w:tcPr>
                <w:p w14:paraId="46F4BC25">
                  <w:pPr>
                    <w:pStyle w:val="149"/>
                    <w:rPr>
                      <w:rFonts w:eastAsia="Times New Roman"/>
                    </w:rPr>
                  </w:pPr>
                </w:p>
              </w:tc>
              <w:tc>
                <w:tcPr>
                  <w:tcW w:w="1231" w:type="pct"/>
                  <w:vAlign w:val="center"/>
                </w:tcPr>
                <w:p w14:paraId="5CE26796">
                  <w:pPr>
                    <w:pStyle w:val="149"/>
                    <w:rPr>
                      <w:rFonts w:eastAsia="Times New Roman"/>
                    </w:rPr>
                  </w:pPr>
                  <w:r>
                    <w:rPr>
                      <w:rFonts w:hint="eastAsia" w:ascii="宋体" w:hAnsi="宋体" w:eastAsia="宋体" w:cs="宋体"/>
                    </w:rPr>
                    <w:t>年平均</w:t>
                  </w:r>
                </w:p>
              </w:tc>
              <w:tc>
                <w:tcPr>
                  <w:tcW w:w="649" w:type="pct"/>
                  <w:vAlign w:val="center"/>
                </w:tcPr>
                <w:p w14:paraId="1589F759">
                  <w:pPr>
                    <w:pStyle w:val="149"/>
                    <w:rPr>
                      <w:rFonts w:eastAsia="Times New Roman"/>
                    </w:rPr>
                  </w:pPr>
                  <w:r>
                    <w:rPr>
                      <w:rFonts w:eastAsia="Times New Roman"/>
                    </w:rPr>
                    <w:t>70</w:t>
                  </w:r>
                </w:p>
              </w:tc>
              <w:tc>
                <w:tcPr>
                  <w:tcW w:w="506" w:type="pct"/>
                  <w:vMerge w:val="continue"/>
                  <w:vAlign w:val="center"/>
                </w:tcPr>
                <w:p w14:paraId="30F8CFE4">
                  <w:pPr>
                    <w:pStyle w:val="149"/>
                    <w:rPr>
                      <w:rFonts w:eastAsia="Times New Roman"/>
                    </w:rPr>
                  </w:pPr>
                </w:p>
              </w:tc>
              <w:tc>
                <w:tcPr>
                  <w:tcW w:w="1761" w:type="pct"/>
                  <w:vMerge w:val="continue"/>
                  <w:vAlign w:val="center"/>
                </w:tcPr>
                <w:p w14:paraId="1A87C7E6">
                  <w:pPr>
                    <w:pStyle w:val="149"/>
                    <w:rPr>
                      <w:rFonts w:eastAsia="Times New Roman"/>
                    </w:rPr>
                  </w:pPr>
                </w:p>
              </w:tc>
            </w:tr>
            <w:tr w14:paraId="3EB49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restart"/>
                  <w:vAlign w:val="center"/>
                </w:tcPr>
                <w:p w14:paraId="231B5347">
                  <w:pPr>
                    <w:pStyle w:val="149"/>
                    <w:rPr>
                      <w:rFonts w:eastAsia="Times New Roman"/>
                    </w:rPr>
                  </w:pPr>
                  <w:r>
                    <w:rPr>
                      <w:rFonts w:eastAsia="Times New Roman"/>
                    </w:rPr>
                    <w:t>PM</w:t>
                  </w:r>
                  <w:r>
                    <w:rPr>
                      <w:rFonts w:eastAsia="Times New Roman"/>
                      <w:vertAlign w:val="subscript"/>
                    </w:rPr>
                    <w:t>2.5</w:t>
                  </w:r>
                </w:p>
              </w:tc>
              <w:tc>
                <w:tcPr>
                  <w:tcW w:w="1231" w:type="pct"/>
                  <w:vAlign w:val="center"/>
                </w:tcPr>
                <w:p w14:paraId="6DDEB774">
                  <w:pPr>
                    <w:pStyle w:val="149"/>
                    <w:rPr>
                      <w:rFonts w:eastAsia="Times New Roman"/>
                    </w:rPr>
                  </w:pPr>
                  <w:r>
                    <w:rPr>
                      <w:rFonts w:eastAsia="Times New Roman"/>
                    </w:rPr>
                    <w:t>24</w:t>
                  </w:r>
                  <w:r>
                    <w:rPr>
                      <w:rFonts w:hint="eastAsia" w:ascii="宋体" w:hAnsi="宋体" w:eastAsia="宋体" w:cs="宋体"/>
                    </w:rPr>
                    <w:t>小时平均</w:t>
                  </w:r>
                </w:p>
              </w:tc>
              <w:tc>
                <w:tcPr>
                  <w:tcW w:w="649" w:type="pct"/>
                  <w:vAlign w:val="center"/>
                </w:tcPr>
                <w:p w14:paraId="6B10E66C">
                  <w:pPr>
                    <w:pStyle w:val="149"/>
                    <w:rPr>
                      <w:rFonts w:eastAsia="Times New Roman"/>
                    </w:rPr>
                  </w:pPr>
                  <w:r>
                    <w:rPr>
                      <w:rFonts w:eastAsia="Times New Roman"/>
                    </w:rPr>
                    <w:t>75</w:t>
                  </w:r>
                </w:p>
              </w:tc>
              <w:tc>
                <w:tcPr>
                  <w:tcW w:w="506" w:type="pct"/>
                  <w:vMerge w:val="continue"/>
                  <w:vAlign w:val="center"/>
                </w:tcPr>
                <w:p w14:paraId="5AEBBD66">
                  <w:pPr>
                    <w:pStyle w:val="149"/>
                    <w:rPr>
                      <w:rFonts w:eastAsia="Times New Roman"/>
                    </w:rPr>
                  </w:pPr>
                </w:p>
              </w:tc>
              <w:tc>
                <w:tcPr>
                  <w:tcW w:w="1761" w:type="pct"/>
                  <w:vMerge w:val="continue"/>
                  <w:vAlign w:val="center"/>
                </w:tcPr>
                <w:p w14:paraId="5D616349">
                  <w:pPr>
                    <w:pStyle w:val="149"/>
                    <w:rPr>
                      <w:rFonts w:eastAsia="Times New Roman"/>
                    </w:rPr>
                  </w:pPr>
                </w:p>
              </w:tc>
            </w:tr>
            <w:tr w14:paraId="090B8A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continue"/>
                  <w:vAlign w:val="center"/>
                </w:tcPr>
                <w:p w14:paraId="77EF8D2D">
                  <w:pPr>
                    <w:pStyle w:val="149"/>
                    <w:rPr>
                      <w:rFonts w:eastAsia="Times New Roman"/>
                    </w:rPr>
                  </w:pPr>
                </w:p>
              </w:tc>
              <w:tc>
                <w:tcPr>
                  <w:tcW w:w="1231" w:type="pct"/>
                  <w:vAlign w:val="center"/>
                </w:tcPr>
                <w:p w14:paraId="10FEBEC4">
                  <w:pPr>
                    <w:pStyle w:val="149"/>
                    <w:rPr>
                      <w:rFonts w:eastAsia="Times New Roman"/>
                    </w:rPr>
                  </w:pPr>
                  <w:r>
                    <w:rPr>
                      <w:rFonts w:hint="eastAsia" w:ascii="宋体" w:hAnsi="宋体" w:eastAsia="宋体" w:cs="宋体"/>
                    </w:rPr>
                    <w:t>年平均</w:t>
                  </w:r>
                </w:p>
              </w:tc>
              <w:tc>
                <w:tcPr>
                  <w:tcW w:w="649" w:type="pct"/>
                  <w:vAlign w:val="center"/>
                </w:tcPr>
                <w:p w14:paraId="6E80D1B1">
                  <w:pPr>
                    <w:pStyle w:val="149"/>
                    <w:rPr>
                      <w:rFonts w:eastAsia="Times New Roman"/>
                    </w:rPr>
                  </w:pPr>
                  <w:r>
                    <w:rPr>
                      <w:rFonts w:eastAsia="Times New Roman"/>
                    </w:rPr>
                    <w:t>35</w:t>
                  </w:r>
                </w:p>
              </w:tc>
              <w:tc>
                <w:tcPr>
                  <w:tcW w:w="506" w:type="pct"/>
                  <w:vMerge w:val="continue"/>
                  <w:vAlign w:val="center"/>
                </w:tcPr>
                <w:p w14:paraId="0027FB83">
                  <w:pPr>
                    <w:pStyle w:val="149"/>
                    <w:rPr>
                      <w:rFonts w:eastAsia="Times New Roman"/>
                    </w:rPr>
                  </w:pPr>
                </w:p>
              </w:tc>
              <w:tc>
                <w:tcPr>
                  <w:tcW w:w="1761" w:type="pct"/>
                  <w:vMerge w:val="continue"/>
                  <w:vAlign w:val="center"/>
                </w:tcPr>
                <w:p w14:paraId="5D1FC7EC">
                  <w:pPr>
                    <w:pStyle w:val="149"/>
                    <w:rPr>
                      <w:rFonts w:eastAsia="Times New Roman"/>
                    </w:rPr>
                  </w:pPr>
                </w:p>
              </w:tc>
            </w:tr>
            <w:tr w14:paraId="735929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restart"/>
                  <w:vAlign w:val="center"/>
                </w:tcPr>
                <w:p w14:paraId="09403A53">
                  <w:pPr>
                    <w:pStyle w:val="149"/>
                    <w:rPr>
                      <w:rFonts w:eastAsia="Times New Roman"/>
                    </w:rPr>
                  </w:pPr>
                  <w:r>
                    <w:rPr>
                      <w:rFonts w:eastAsia="Times New Roman"/>
                    </w:rPr>
                    <w:t>CO</w:t>
                  </w:r>
                </w:p>
              </w:tc>
              <w:tc>
                <w:tcPr>
                  <w:tcW w:w="1231" w:type="pct"/>
                  <w:vAlign w:val="center"/>
                </w:tcPr>
                <w:p w14:paraId="042AA716">
                  <w:pPr>
                    <w:pStyle w:val="149"/>
                    <w:rPr>
                      <w:rFonts w:eastAsia="Times New Roman"/>
                    </w:rPr>
                  </w:pPr>
                  <w:r>
                    <w:rPr>
                      <w:rFonts w:eastAsia="Times New Roman"/>
                    </w:rPr>
                    <w:t>1</w:t>
                  </w:r>
                  <w:r>
                    <w:rPr>
                      <w:rFonts w:hint="eastAsia" w:ascii="宋体" w:hAnsi="宋体" w:eastAsia="宋体" w:cs="宋体"/>
                    </w:rPr>
                    <w:t>小时平均</w:t>
                  </w:r>
                </w:p>
              </w:tc>
              <w:tc>
                <w:tcPr>
                  <w:tcW w:w="649" w:type="pct"/>
                  <w:vAlign w:val="center"/>
                </w:tcPr>
                <w:p w14:paraId="18F7A738">
                  <w:pPr>
                    <w:pStyle w:val="149"/>
                    <w:rPr>
                      <w:rFonts w:eastAsia="Times New Roman"/>
                    </w:rPr>
                  </w:pPr>
                  <w:r>
                    <w:rPr>
                      <w:rFonts w:eastAsia="Times New Roman"/>
                    </w:rPr>
                    <w:t>10</w:t>
                  </w:r>
                </w:p>
              </w:tc>
              <w:tc>
                <w:tcPr>
                  <w:tcW w:w="506" w:type="pct"/>
                  <w:vMerge w:val="restart"/>
                  <w:vAlign w:val="center"/>
                </w:tcPr>
                <w:p w14:paraId="610F8759">
                  <w:pPr>
                    <w:pStyle w:val="149"/>
                    <w:rPr>
                      <w:rFonts w:eastAsia="Times New Roman"/>
                    </w:rPr>
                  </w:pPr>
                  <w:r>
                    <w:rPr>
                      <w:rFonts w:eastAsia="Times New Roman"/>
                    </w:rPr>
                    <w:t>mg/m</w:t>
                  </w:r>
                  <w:r>
                    <w:rPr>
                      <w:rFonts w:eastAsia="Times New Roman"/>
                      <w:vertAlign w:val="superscript"/>
                    </w:rPr>
                    <w:t>3</w:t>
                  </w:r>
                </w:p>
              </w:tc>
              <w:tc>
                <w:tcPr>
                  <w:tcW w:w="1761" w:type="pct"/>
                  <w:vMerge w:val="continue"/>
                  <w:vAlign w:val="center"/>
                </w:tcPr>
                <w:p w14:paraId="345B1F85">
                  <w:pPr>
                    <w:pStyle w:val="149"/>
                    <w:rPr>
                      <w:rFonts w:eastAsia="Times New Roman"/>
                    </w:rPr>
                  </w:pPr>
                </w:p>
              </w:tc>
            </w:tr>
            <w:tr w14:paraId="42336D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continue"/>
                  <w:vAlign w:val="center"/>
                </w:tcPr>
                <w:p w14:paraId="33AA1D66">
                  <w:pPr>
                    <w:pStyle w:val="149"/>
                    <w:rPr>
                      <w:rFonts w:eastAsia="Times New Roman"/>
                    </w:rPr>
                  </w:pPr>
                </w:p>
              </w:tc>
              <w:tc>
                <w:tcPr>
                  <w:tcW w:w="1231" w:type="pct"/>
                  <w:vAlign w:val="center"/>
                </w:tcPr>
                <w:p w14:paraId="421C998F">
                  <w:pPr>
                    <w:pStyle w:val="149"/>
                    <w:rPr>
                      <w:rFonts w:eastAsia="Times New Roman"/>
                    </w:rPr>
                  </w:pPr>
                  <w:r>
                    <w:rPr>
                      <w:rFonts w:eastAsia="Times New Roman"/>
                    </w:rPr>
                    <w:t>24</w:t>
                  </w:r>
                  <w:r>
                    <w:rPr>
                      <w:rFonts w:hint="eastAsia" w:ascii="宋体" w:hAnsi="宋体" w:eastAsia="宋体" w:cs="宋体"/>
                    </w:rPr>
                    <w:t>小时平均</w:t>
                  </w:r>
                </w:p>
              </w:tc>
              <w:tc>
                <w:tcPr>
                  <w:tcW w:w="649" w:type="pct"/>
                  <w:vAlign w:val="center"/>
                </w:tcPr>
                <w:p w14:paraId="042EE998">
                  <w:pPr>
                    <w:pStyle w:val="149"/>
                    <w:rPr>
                      <w:rFonts w:eastAsia="Times New Roman"/>
                    </w:rPr>
                  </w:pPr>
                  <w:r>
                    <w:rPr>
                      <w:rFonts w:eastAsia="Times New Roman"/>
                    </w:rPr>
                    <w:t>4</w:t>
                  </w:r>
                </w:p>
              </w:tc>
              <w:tc>
                <w:tcPr>
                  <w:tcW w:w="506" w:type="pct"/>
                  <w:vMerge w:val="continue"/>
                  <w:vAlign w:val="center"/>
                </w:tcPr>
                <w:p w14:paraId="29BE109A">
                  <w:pPr>
                    <w:pStyle w:val="149"/>
                    <w:rPr>
                      <w:rFonts w:eastAsia="Times New Roman"/>
                    </w:rPr>
                  </w:pPr>
                </w:p>
              </w:tc>
              <w:tc>
                <w:tcPr>
                  <w:tcW w:w="1761" w:type="pct"/>
                  <w:vMerge w:val="continue"/>
                  <w:vAlign w:val="center"/>
                </w:tcPr>
                <w:p w14:paraId="33A7A3FB">
                  <w:pPr>
                    <w:pStyle w:val="149"/>
                    <w:rPr>
                      <w:rFonts w:eastAsia="Times New Roman"/>
                    </w:rPr>
                  </w:pPr>
                </w:p>
              </w:tc>
            </w:tr>
            <w:tr w14:paraId="1587DE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restart"/>
                  <w:vAlign w:val="center"/>
                </w:tcPr>
                <w:p w14:paraId="547DDBDA">
                  <w:pPr>
                    <w:pStyle w:val="149"/>
                    <w:rPr>
                      <w:rFonts w:eastAsia="Times New Roman"/>
                    </w:rPr>
                  </w:pPr>
                  <w:r>
                    <w:rPr>
                      <w:rFonts w:eastAsia="Times New Roman"/>
                    </w:rPr>
                    <w:t>0</w:t>
                  </w:r>
                  <w:r>
                    <w:rPr>
                      <w:rFonts w:eastAsia="Times New Roman"/>
                      <w:vertAlign w:val="subscript"/>
                    </w:rPr>
                    <w:t>3</w:t>
                  </w:r>
                </w:p>
              </w:tc>
              <w:tc>
                <w:tcPr>
                  <w:tcW w:w="1231" w:type="pct"/>
                  <w:vAlign w:val="center"/>
                </w:tcPr>
                <w:p w14:paraId="2A52B1A6">
                  <w:pPr>
                    <w:pStyle w:val="149"/>
                    <w:rPr>
                      <w:rFonts w:eastAsia="Times New Roman"/>
                    </w:rPr>
                  </w:pPr>
                  <w:r>
                    <w:rPr>
                      <w:rFonts w:eastAsia="Times New Roman"/>
                    </w:rPr>
                    <w:t>1</w:t>
                  </w:r>
                  <w:r>
                    <w:rPr>
                      <w:rFonts w:hint="eastAsia" w:ascii="宋体" w:hAnsi="宋体" w:eastAsia="宋体" w:cs="宋体"/>
                    </w:rPr>
                    <w:t>小时平均</w:t>
                  </w:r>
                </w:p>
              </w:tc>
              <w:tc>
                <w:tcPr>
                  <w:tcW w:w="649" w:type="pct"/>
                  <w:vAlign w:val="center"/>
                </w:tcPr>
                <w:p w14:paraId="2F97F1B4">
                  <w:pPr>
                    <w:pStyle w:val="149"/>
                    <w:rPr>
                      <w:rFonts w:eastAsia="Times New Roman"/>
                    </w:rPr>
                  </w:pPr>
                  <w:r>
                    <w:rPr>
                      <w:rFonts w:eastAsia="Times New Roman"/>
                    </w:rPr>
                    <w:t>200</w:t>
                  </w:r>
                </w:p>
              </w:tc>
              <w:tc>
                <w:tcPr>
                  <w:tcW w:w="506" w:type="pct"/>
                  <w:vMerge w:val="restart"/>
                  <w:vAlign w:val="center"/>
                </w:tcPr>
                <w:p w14:paraId="6FE8EFD5">
                  <w:pPr>
                    <w:pStyle w:val="149"/>
                    <w:rPr>
                      <w:rFonts w:eastAsia="Times New Roman"/>
                    </w:rPr>
                  </w:pPr>
                  <w:r>
                    <w:rPr>
                      <w:rFonts w:eastAsia="Times New Roman"/>
                    </w:rPr>
                    <w:t>μg/m</w:t>
                  </w:r>
                  <w:r>
                    <w:rPr>
                      <w:rFonts w:eastAsia="Times New Roman"/>
                      <w:vertAlign w:val="superscript"/>
                    </w:rPr>
                    <w:t>3</w:t>
                  </w:r>
                </w:p>
              </w:tc>
              <w:tc>
                <w:tcPr>
                  <w:tcW w:w="1761" w:type="pct"/>
                  <w:vMerge w:val="continue"/>
                  <w:vAlign w:val="center"/>
                </w:tcPr>
                <w:p w14:paraId="0B680F72">
                  <w:pPr>
                    <w:pStyle w:val="149"/>
                    <w:rPr>
                      <w:rFonts w:eastAsia="Times New Roman"/>
                    </w:rPr>
                  </w:pPr>
                </w:p>
              </w:tc>
            </w:tr>
            <w:tr w14:paraId="38DAF7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0" w:type="pct"/>
                  <w:vMerge w:val="continue"/>
                  <w:vAlign w:val="center"/>
                </w:tcPr>
                <w:p w14:paraId="7E85C709">
                  <w:pPr>
                    <w:pStyle w:val="149"/>
                    <w:rPr>
                      <w:rFonts w:eastAsia="Times New Roman"/>
                    </w:rPr>
                  </w:pPr>
                </w:p>
              </w:tc>
              <w:tc>
                <w:tcPr>
                  <w:tcW w:w="1231" w:type="pct"/>
                  <w:vAlign w:val="center"/>
                </w:tcPr>
                <w:p w14:paraId="0F52F9AC">
                  <w:pPr>
                    <w:pStyle w:val="149"/>
                    <w:rPr>
                      <w:rFonts w:eastAsia="Times New Roman"/>
                    </w:rPr>
                  </w:pPr>
                  <w:r>
                    <w:rPr>
                      <w:rFonts w:hint="eastAsia" w:ascii="宋体" w:hAnsi="宋体" w:eastAsia="宋体" w:cs="宋体"/>
                    </w:rPr>
                    <w:t>日最大</w:t>
                  </w:r>
                  <w:r>
                    <w:rPr>
                      <w:rFonts w:eastAsia="Times New Roman"/>
                    </w:rPr>
                    <w:t>8</w:t>
                  </w:r>
                  <w:r>
                    <w:rPr>
                      <w:rFonts w:hint="eastAsia" w:ascii="宋体" w:hAnsi="宋体" w:eastAsia="宋体" w:cs="宋体"/>
                    </w:rPr>
                    <w:t>小时平均</w:t>
                  </w:r>
                </w:p>
              </w:tc>
              <w:tc>
                <w:tcPr>
                  <w:tcW w:w="649" w:type="pct"/>
                  <w:vAlign w:val="center"/>
                </w:tcPr>
                <w:p w14:paraId="7CB62DBE">
                  <w:pPr>
                    <w:pStyle w:val="149"/>
                    <w:rPr>
                      <w:rFonts w:eastAsia="Times New Roman"/>
                    </w:rPr>
                  </w:pPr>
                  <w:r>
                    <w:rPr>
                      <w:rFonts w:eastAsia="Times New Roman"/>
                    </w:rPr>
                    <w:t>160</w:t>
                  </w:r>
                </w:p>
              </w:tc>
              <w:tc>
                <w:tcPr>
                  <w:tcW w:w="506" w:type="pct"/>
                  <w:vMerge w:val="continue"/>
                  <w:vAlign w:val="center"/>
                </w:tcPr>
                <w:p w14:paraId="709AB037">
                  <w:pPr>
                    <w:pStyle w:val="149"/>
                    <w:rPr>
                      <w:rFonts w:eastAsia="Times New Roman"/>
                    </w:rPr>
                  </w:pPr>
                </w:p>
              </w:tc>
              <w:tc>
                <w:tcPr>
                  <w:tcW w:w="1761" w:type="pct"/>
                  <w:vMerge w:val="continue"/>
                  <w:vAlign w:val="center"/>
                </w:tcPr>
                <w:p w14:paraId="3C310D91">
                  <w:pPr>
                    <w:pStyle w:val="149"/>
                    <w:rPr>
                      <w:rFonts w:eastAsia="Times New Roman"/>
                    </w:rPr>
                  </w:pPr>
                </w:p>
              </w:tc>
            </w:tr>
          </w:tbl>
          <w:p w14:paraId="749EEA2E">
            <w:pPr>
              <w:pStyle w:val="10"/>
              <w:ind w:firstLine="482"/>
              <w:rPr>
                <w:b/>
                <w:bCs/>
              </w:rPr>
            </w:pPr>
            <w:r>
              <w:rPr>
                <w:rFonts w:hint="eastAsia"/>
                <w:b/>
                <w:bCs/>
              </w:rPr>
              <w:t>（2）声环境质量标准</w:t>
            </w:r>
          </w:p>
          <w:p w14:paraId="59F4975F">
            <w:pPr>
              <w:pStyle w:val="10"/>
            </w:pPr>
            <w:r>
              <w:rPr>
                <w:rFonts w:hint="eastAsia"/>
              </w:rPr>
              <w:t>项目选址范围涉及未划定声环境功能区，根据《惠州市生态环境局关于印发&lt;惠州市声环境功能区划分方案（2022年）&gt;的通知》:“（二）划分范围以外的区域执行以下标准：4．独立于村庄、集镇之外的工业、仓储集中区执行3类声环境功能区要求”。项目位于博罗智能装备产业园，属于工业集中区，因此项目所在区域执行《声环境质量标准》（</w:t>
            </w:r>
            <w:r>
              <w:t>GB3096-2008</w:t>
            </w:r>
            <w:r>
              <w:rPr>
                <w:rFonts w:hint="eastAsia"/>
              </w:rPr>
              <w:t>）</w:t>
            </w:r>
            <w:r>
              <w:t>3</w:t>
            </w:r>
            <w:r>
              <w:rPr>
                <w:rFonts w:hint="eastAsia"/>
              </w:rPr>
              <w:t>类标准，即昼间≤</w:t>
            </w:r>
            <w:r>
              <w:t>65dB(A)</w:t>
            </w:r>
            <w:r>
              <w:rPr>
                <w:rFonts w:hint="eastAsia"/>
              </w:rPr>
              <w:t>，夜间≤</w:t>
            </w:r>
            <w:r>
              <w:t>55dB(A)</w:t>
            </w:r>
            <w:r>
              <w:rPr>
                <w:rFonts w:hint="eastAsia"/>
              </w:rPr>
              <w:t>。</w:t>
            </w:r>
          </w:p>
          <w:p w14:paraId="59A043E5">
            <w:pPr>
              <w:pStyle w:val="10"/>
              <w:ind w:firstLine="482"/>
              <w:rPr>
                <w:b/>
                <w:bCs/>
              </w:rPr>
            </w:pPr>
            <w:r>
              <w:rPr>
                <w:rFonts w:hint="eastAsia"/>
                <w:b/>
                <w:bCs/>
              </w:rPr>
              <w:t>（3）地表水环境质量标准</w:t>
            </w:r>
          </w:p>
          <w:p w14:paraId="48232428">
            <w:pPr>
              <w:pStyle w:val="10"/>
            </w:pPr>
            <w:r>
              <w:rPr>
                <w:rFonts w:hint="eastAsia"/>
              </w:rPr>
              <w:t>根据《关于印发</w:t>
            </w:r>
            <w:r>
              <w:t>&lt;</w:t>
            </w:r>
            <w:r>
              <w:rPr>
                <w:rFonts w:hint="eastAsia"/>
              </w:rPr>
              <w:t>广东省地表水环境功能区划</w:t>
            </w:r>
            <w:r>
              <w:t>&gt;</w:t>
            </w:r>
            <w:r>
              <w:rPr>
                <w:rFonts w:hint="eastAsia"/>
              </w:rPr>
              <w:t>的通知》（粤环〔</w:t>
            </w:r>
            <w:r>
              <w:t>2011</w:t>
            </w:r>
            <w:r>
              <w:rPr>
                <w:rFonts w:hint="eastAsia"/>
              </w:rPr>
              <w:t>〕</w:t>
            </w:r>
            <w:r>
              <w:t>14</w:t>
            </w:r>
            <w:r>
              <w:rPr>
                <w:rFonts w:hint="eastAsia"/>
              </w:rPr>
              <w:t>号），东江水质目标为Ⅱ类，执行《地表水环境质量标准》（</w:t>
            </w:r>
            <w:r>
              <w:t>GB3838-2002</w:t>
            </w:r>
            <w:r>
              <w:rPr>
                <w:rFonts w:hint="eastAsia"/>
              </w:rPr>
              <w:t>）中的Ⅱ类标准；根据《博罗县</w:t>
            </w:r>
            <w:r>
              <w:t>2023</w:t>
            </w:r>
            <w:r>
              <w:rPr>
                <w:rFonts w:hint="eastAsia"/>
              </w:rPr>
              <w:t>年水污染防治攻坚战工作方案》（博环攻坚办〔</w:t>
            </w:r>
            <w:r>
              <w:t>2023</w:t>
            </w:r>
            <w:r>
              <w:rPr>
                <w:rFonts w:hint="eastAsia"/>
              </w:rPr>
              <w:t>〕</w:t>
            </w:r>
            <w:r>
              <w:t>67</w:t>
            </w:r>
            <w:r>
              <w:rPr>
                <w:rFonts w:hint="eastAsia"/>
              </w:rPr>
              <w:t>号），石湾镇中心排渠</w:t>
            </w:r>
            <w:r>
              <w:t>2023</w:t>
            </w:r>
            <w:r>
              <w:rPr>
                <w:rFonts w:hint="eastAsia"/>
              </w:rPr>
              <w:t>年水质目标为Ⅴ类，执行《地表水环境质量标准》（</w:t>
            </w:r>
            <w:r>
              <w:t>GB3838-2002</w:t>
            </w:r>
            <w:r>
              <w:rPr>
                <w:rFonts w:hint="eastAsia"/>
              </w:rPr>
              <w:t>）中的Ⅴ类标准。执行标准详见表</w:t>
            </w:r>
            <w:r>
              <w:t>3-9</w:t>
            </w:r>
            <w:r>
              <w:rPr>
                <w:rFonts w:hint="eastAsia"/>
              </w:rPr>
              <w:t>。</w:t>
            </w:r>
          </w:p>
          <w:p w14:paraId="279C7629">
            <w:pPr>
              <w:pStyle w:val="58"/>
              <w:rPr>
                <w:sz w:val="24"/>
                <w:szCs w:val="24"/>
              </w:rPr>
            </w:pPr>
            <w:r>
              <w:rPr>
                <w:rFonts w:hint="eastAsia"/>
                <w:sz w:val="24"/>
                <w:szCs w:val="24"/>
              </w:rPr>
              <w:t>表</w:t>
            </w:r>
            <w:r>
              <w:rPr>
                <w:sz w:val="24"/>
                <w:szCs w:val="24"/>
              </w:rPr>
              <w:t>3-9</w:t>
            </w:r>
            <w:r>
              <w:rPr>
                <w:rFonts w:hint="eastAsia"/>
                <w:sz w:val="24"/>
                <w:szCs w:val="24"/>
              </w:rPr>
              <w:t>地表水环境质量标准（单位：</w:t>
            </w:r>
            <w:r>
              <w:rPr>
                <w:sz w:val="24"/>
                <w:szCs w:val="24"/>
              </w:rPr>
              <w:t>mg/L</w:t>
            </w:r>
            <w:r>
              <w:rPr>
                <w:rFonts w:hint="eastAsia"/>
                <w:sz w:val="24"/>
                <w:szCs w:val="24"/>
              </w:rPr>
              <w:t>，</w:t>
            </w:r>
            <w:r>
              <w:rPr>
                <w:sz w:val="24"/>
                <w:szCs w:val="24"/>
              </w:rPr>
              <w:t>pH</w:t>
            </w:r>
            <w:r>
              <w:rPr>
                <w:rFonts w:hint="eastAsia"/>
                <w:sz w:val="24"/>
                <w:szCs w:val="24"/>
              </w:rPr>
              <w:t>值除外）</w:t>
            </w:r>
          </w:p>
          <w:tbl>
            <w:tblPr>
              <w:tblStyle w:val="150"/>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774"/>
              <w:gridCol w:w="2774"/>
              <w:gridCol w:w="2774"/>
              <w:gridCol w:w="8"/>
            </w:tblGrid>
            <w:tr w14:paraId="7F5DC3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1665" w:type="pct"/>
                  <w:vMerge w:val="restart"/>
                  <w:vAlign w:val="center"/>
                </w:tcPr>
                <w:p w14:paraId="045B9B52">
                  <w:pPr>
                    <w:pStyle w:val="149"/>
                    <w:rPr>
                      <w:rFonts w:hint="default" w:ascii="Times New Roman" w:hAnsi="Times New Roman" w:eastAsia="宋体" w:cs="Times New Roman"/>
                      <w:b/>
                      <w:i w:val="0"/>
                    </w:rPr>
                  </w:pPr>
                  <w:r>
                    <w:rPr>
                      <w:rFonts w:hint="eastAsia" w:ascii="Times New Roman" w:hAnsi="Times New Roman" w:eastAsia="宋体" w:cs="Times New Roman"/>
                      <w:b/>
                      <w:i w:val="0"/>
                    </w:rPr>
                    <w:t>项目</w:t>
                  </w:r>
                </w:p>
              </w:tc>
              <w:tc>
                <w:tcPr>
                  <w:tcW w:w="3335" w:type="pct"/>
                  <w:gridSpan w:val="3"/>
                  <w:vAlign w:val="center"/>
                </w:tcPr>
                <w:p w14:paraId="78F77F7F">
                  <w:pPr>
                    <w:pStyle w:val="149"/>
                    <w:rPr>
                      <w:rFonts w:hint="default" w:ascii="Times New Roman" w:hAnsi="Times New Roman" w:eastAsia="宋体" w:cs="Times New Roman"/>
                      <w:b/>
                      <w:i w:val="0"/>
                    </w:rPr>
                  </w:pPr>
                  <w:r>
                    <w:rPr>
                      <w:rFonts w:hint="eastAsia" w:ascii="Times New Roman" w:hAnsi="Times New Roman" w:eastAsia="宋体" w:cs="Times New Roman"/>
                      <w:b/>
                      <w:i w:val="0"/>
                    </w:rPr>
                    <w:t>标准值</w:t>
                  </w:r>
                </w:p>
              </w:tc>
            </w:tr>
            <w:tr w14:paraId="63AC5B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295" w:hRule="atLeast"/>
              </w:trPr>
              <w:tc>
                <w:tcPr>
                  <w:tcW w:w="1665" w:type="pct"/>
                  <w:vMerge w:val="continue"/>
                  <w:vAlign w:val="center"/>
                </w:tcPr>
                <w:p w14:paraId="719944DF">
                  <w:pPr>
                    <w:pStyle w:val="149"/>
                    <w:rPr>
                      <w:rFonts w:eastAsia="Times New Roman"/>
                    </w:rPr>
                  </w:pPr>
                </w:p>
              </w:tc>
              <w:tc>
                <w:tcPr>
                  <w:tcW w:w="1665" w:type="pct"/>
                  <w:vAlign w:val="center"/>
                </w:tcPr>
                <w:p w14:paraId="4126D5D2">
                  <w:pPr>
                    <w:pStyle w:val="149"/>
                    <w:rPr>
                      <w:rFonts w:eastAsia="Times New Roman"/>
                    </w:rPr>
                  </w:pPr>
                  <w:r>
                    <w:rPr>
                      <w:rFonts w:eastAsia="Times New Roman"/>
                    </w:rPr>
                    <w:t>II</w:t>
                  </w:r>
                  <w:r>
                    <w:rPr>
                      <w:rFonts w:hint="eastAsia" w:ascii="宋体" w:hAnsi="宋体" w:eastAsia="宋体" w:cs="宋体"/>
                    </w:rPr>
                    <w:t>类</w:t>
                  </w:r>
                </w:p>
              </w:tc>
              <w:tc>
                <w:tcPr>
                  <w:tcW w:w="1665" w:type="pct"/>
                  <w:vAlign w:val="center"/>
                </w:tcPr>
                <w:p w14:paraId="5E1C8ED0">
                  <w:pPr>
                    <w:pStyle w:val="149"/>
                    <w:rPr>
                      <w:rFonts w:eastAsia="Times New Roman"/>
                    </w:rPr>
                  </w:pPr>
                  <w:r>
                    <w:rPr>
                      <w:rFonts w:eastAsia="Times New Roman"/>
                    </w:rPr>
                    <w:t>V</w:t>
                  </w:r>
                  <w:r>
                    <w:rPr>
                      <w:rFonts w:hint="eastAsia" w:ascii="宋体" w:hAnsi="宋体" w:eastAsia="宋体" w:cs="宋体"/>
                    </w:rPr>
                    <w:t>类</w:t>
                  </w:r>
                </w:p>
              </w:tc>
            </w:tr>
            <w:tr w14:paraId="442C8A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1665" w:type="pct"/>
                  <w:vAlign w:val="center"/>
                </w:tcPr>
                <w:p w14:paraId="5EDF07BB">
                  <w:pPr>
                    <w:pStyle w:val="149"/>
                    <w:rPr>
                      <w:rFonts w:eastAsia="Times New Roman"/>
                    </w:rPr>
                  </w:pPr>
                  <w:r>
                    <w:rPr>
                      <w:rFonts w:eastAsia="Times New Roman"/>
                    </w:rPr>
                    <w:t>pH</w:t>
                  </w:r>
                  <w:r>
                    <w:rPr>
                      <w:rFonts w:hint="eastAsia" w:ascii="宋体" w:hAnsi="宋体" w:eastAsia="宋体" w:cs="宋体"/>
                    </w:rPr>
                    <w:t>值（无量纲）</w:t>
                  </w:r>
                </w:p>
              </w:tc>
              <w:tc>
                <w:tcPr>
                  <w:tcW w:w="3335" w:type="pct"/>
                  <w:gridSpan w:val="3"/>
                  <w:vAlign w:val="center"/>
                </w:tcPr>
                <w:p w14:paraId="04B63E95">
                  <w:pPr>
                    <w:pStyle w:val="149"/>
                    <w:rPr>
                      <w:rFonts w:eastAsia="Times New Roman"/>
                    </w:rPr>
                  </w:pPr>
                  <w:r>
                    <w:rPr>
                      <w:rFonts w:eastAsia="Times New Roman"/>
                    </w:rPr>
                    <w:t>6-9</w:t>
                  </w:r>
                </w:p>
              </w:tc>
            </w:tr>
            <w:tr w14:paraId="540042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295" w:hRule="atLeast"/>
              </w:trPr>
              <w:tc>
                <w:tcPr>
                  <w:tcW w:w="1665" w:type="pct"/>
                  <w:vAlign w:val="center"/>
                </w:tcPr>
                <w:p w14:paraId="5BC29D3C">
                  <w:pPr>
                    <w:pStyle w:val="149"/>
                    <w:rPr>
                      <w:rFonts w:eastAsia="Times New Roman"/>
                    </w:rPr>
                  </w:pPr>
                  <w:r>
                    <w:rPr>
                      <w:rFonts w:hint="eastAsia" w:ascii="宋体" w:hAnsi="宋体" w:eastAsia="宋体" w:cs="宋体"/>
                    </w:rPr>
                    <w:t>溶解氧</w:t>
                  </w:r>
                  <w:r>
                    <w:rPr>
                      <w:rFonts w:eastAsia="Times New Roman"/>
                    </w:rPr>
                    <w:t>≥</w:t>
                  </w:r>
                </w:p>
              </w:tc>
              <w:tc>
                <w:tcPr>
                  <w:tcW w:w="1665" w:type="pct"/>
                  <w:vAlign w:val="center"/>
                </w:tcPr>
                <w:p w14:paraId="6FA7777A">
                  <w:pPr>
                    <w:pStyle w:val="149"/>
                    <w:rPr>
                      <w:rFonts w:eastAsia="Times New Roman"/>
                    </w:rPr>
                  </w:pPr>
                  <w:r>
                    <w:rPr>
                      <w:rFonts w:hint="eastAsia" w:eastAsia="Times New Roman"/>
                    </w:rPr>
                    <w:t>≥</w:t>
                  </w:r>
                  <w:r>
                    <w:rPr>
                      <w:rFonts w:eastAsia="Times New Roman"/>
                    </w:rPr>
                    <w:t>6</w:t>
                  </w:r>
                </w:p>
              </w:tc>
              <w:tc>
                <w:tcPr>
                  <w:tcW w:w="1665" w:type="pct"/>
                  <w:vAlign w:val="center"/>
                </w:tcPr>
                <w:p w14:paraId="08D9DFCB">
                  <w:pPr>
                    <w:pStyle w:val="149"/>
                    <w:rPr>
                      <w:rFonts w:eastAsia="Times New Roman"/>
                    </w:rPr>
                  </w:pPr>
                  <w:r>
                    <w:rPr>
                      <w:rFonts w:hint="eastAsia" w:eastAsia="Times New Roman"/>
                    </w:rPr>
                    <w:t>≥</w:t>
                  </w:r>
                  <w:r>
                    <w:rPr>
                      <w:rFonts w:eastAsia="Times New Roman"/>
                    </w:rPr>
                    <w:t>2</w:t>
                  </w:r>
                </w:p>
              </w:tc>
            </w:tr>
            <w:tr w14:paraId="501191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295" w:hRule="atLeast"/>
              </w:trPr>
              <w:tc>
                <w:tcPr>
                  <w:tcW w:w="1665" w:type="pct"/>
                  <w:vAlign w:val="center"/>
                </w:tcPr>
                <w:p w14:paraId="33963DF8">
                  <w:pPr>
                    <w:pStyle w:val="149"/>
                    <w:rPr>
                      <w:rFonts w:eastAsia="Times New Roman"/>
                    </w:rPr>
                  </w:pPr>
                  <w:r>
                    <w:rPr>
                      <w:rFonts w:hint="eastAsia" w:ascii="宋体" w:hAnsi="宋体" w:eastAsia="宋体" w:cs="宋体"/>
                    </w:rPr>
                    <w:t>化学需氧量</w:t>
                  </w:r>
                  <w:r>
                    <w:rPr>
                      <w:rFonts w:eastAsia="Times New Roman"/>
                    </w:rPr>
                    <w:t>≤</w:t>
                  </w:r>
                </w:p>
              </w:tc>
              <w:tc>
                <w:tcPr>
                  <w:tcW w:w="1665" w:type="pct"/>
                  <w:vAlign w:val="center"/>
                </w:tcPr>
                <w:p w14:paraId="738BC690">
                  <w:pPr>
                    <w:pStyle w:val="149"/>
                    <w:rPr>
                      <w:rFonts w:eastAsia="Times New Roman"/>
                    </w:rPr>
                  </w:pPr>
                  <w:r>
                    <w:rPr>
                      <w:rFonts w:hint="eastAsia" w:eastAsia="Times New Roman"/>
                    </w:rPr>
                    <w:t>≤</w:t>
                  </w:r>
                  <w:r>
                    <w:rPr>
                      <w:rFonts w:eastAsia="Times New Roman"/>
                    </w:rPr>
                    <w:t>15</w:t>
                  </w:r>
                </w:p>
              </w:tc>
              <w:tc>
                <w:tcPr>
                  <w:tcW w:w="1665" w:type="pct"/>
                  <w:vAlign w:val="center"/>
                </w:tcPr>
                <w:p w14:paraId="47A9F4F4">
                  <w:pPr>
                    <w:pStyle w:val="149"/>
                    <w:rPr>
                      <w:rFonts w:eastAsia="Times New Roman"/>
                    </w:rPr>
                  </w:pPr>
                  <w:r>
                    <w:rPr>
                      <w:rFonts w:hint="eastAsia" w:eastAsia="Times New Roman"/>
                    </w:rPr>
                    <w:t>≤</w:t>
                  </w:r>
                  <w:r>
                    <w:rPr>
                      <w:rFonts w:eastAsia="Times New Roman"/>
                    </w:rPr>
                    <w:t>40</w:t>
                  </w:r>
                </w:p>
              </w:tc>
            </w:tr>
            <w:tr w14:paraId="5353FC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295" w:hRule="atLeast"/>
              </w:trPr>
              <w:tc>
                <w:tcPr>
                  <w:tcW w:w="1665" w:type="pct"/>
                  <w:vAlign w:val="center"/>
                </w:tcPr>
                <w:p w14:paraId="1A7F9418">
                  <w:pPr>
                    <w:pStyle w:val="149"/>
                    <w:rPr>
                      <w:rFonts w:eastAsia="Times New Roman"/>
                    </w:rPr>
                  </w:pPr>
                  <w:r>
                    <w:rPr>
                      <w:rFonts w:hint="eastAsia" w:ascii="宋体" w:hAnsi="宋体" w:eastAsia="宋体" w:cs="宋体"/>
                    </w:rPr>
                    <w:t>五日生化需氧量</w:t>
                  </w:r>
                  <w:r>
                    <w:rPr>
                      <w:rFonts w:eastAsia="Times New Roman"/>
                    </w:rPr>
                    <w:t>≤</w:t>
                  </w:r>
                </w:p>
              </w:tc>
              <w:tc>
                <w:tcPr>
                  <w:tcW w:w="1665" w:type="pct"/>
                  <w:vAlign w:val="center"/>
                </w:tcPr>
                <w:p w14:paraId="578CAC9A">
                  <w:pPr>
                    <w:pStyle w:val="149"/>
                    <w:rPr>
                      <w:rFonts w:eastAsia="Times New Roman"/>
                    </w:rPr>
                  </w:pPr>
                  <w:r>
                    <w:rPr>
                      <w:rFonts w:hint="eastAsia" w:eastAsia="Times New Roman"/>
                    </w:rPr>
                    <w:t>≤</w:t>
                  </w:r>
                  <w:r>
                    <w:rPr>
                      <w:rFonts w:eastAsia="Times New Roman"/>
                    </w:rPr>
                    <w:t>3</w:t>
                  </w:r>
                </w:p>
              </w:tc>
              <w:tc>
                <w:tcPr>
                  <w:tcW w:w="1665" w:type="pct"/>
                  <w:vAlign w:val="center"/>
                </w:tcPr>
                <w:p w14:paraId="710FDCED">
                  <w:pPr>
                    <w:pStyle w:val="149"/>
                    <w:rPr>
                      <w:rFonts w:eastAsia="Times New Roman"/>
                    </w:rPr>
                  </w:pPr>
                  <w:r>
                    <w:rPr>
                      <w:rFonts w:hint="eastAsia" w:eastAsia="Times New Roman"/>
                    </w:rPr>
                    <w:t>≤</w:t>
                  </w:r>
                  <w:r>
                    <w:rPr>
                      <w:rFonts w:eastAsia="Times New Roman"/>
                    </w:rPr>
                    <w:t>10</w:t>
                  </w:r>
                </w:p>
              </w:tc>
            </w:tr>
            <w:tr w14:paraId="619637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295" w:hRule="atLeast"/>
              </w:trPr>
              <w:tc>
                <w:tcPr>
                  <w:tcW w:w="1665" w:type="pct"/>
                  <w:vAlign w:val="center"/>
                </w:tcPr>
                <w:p w14:paraId="69796B05">
                  <w:pPr>
                    <w:pStyle w:val="149"/>
                    <w:rPr>
                      <w:rFonts w:eastAsia="Times New Roman"/>
                    </w:rPr>
                  </w:pPr>
                  <w:r>
                    <w:rPr>
                      <w:rFonts w:hint="eastAsia" w:ascii="宋体" w:hAnsi="宋体" w:eastAsia="宋体" w:cs="宋体"/>
                    </w:rPr>
                    <w:t>氨氮</w:t>
                  </w:r>
                  <w:r>
                    <w:rPr>
                      <w:rFonts w:eastAsia="Times New Roman"/>
                    </w:rPr>
                    <w:t>(NH</w:t>
                  </w:r>
                  <w:r>
                    <w:rPr>
                      <w:rFonts w:eastAsia="Times New Roman"/>
                      <w:vertAlign w:val="subscript"/>
                    </w:rPr>
                    <w:t>3</w:t>
                  </w:r>
                  <w:r>
                    <w:rPr>
                      <w:rFonts w:hint="eastAsia" w:eastAsia="Times New Roman"/>
                    </w:rPr>
                    <w:t>-N)≤</w:t>
                  </w:r>
                </w:p>
              </w:tc>
              <w:tc>
                <w:tcPr>
                  <w:tcW w:w="1665" w:type="pct"/>
                  <w:vAlign w:val="center"/>
                </w:tcPr>
                <w:p w14:paraId="49C1B708">
                  <w:pPr>
                    <w:pStyle w:val="149"/>
                    <w:rPr>
                      <w:rFonts w:eastAsia="Times New Roman"/>
                    </w:rPr>
                  </w:pPr>
                  <w:r>
                    <w:rPr>
                      <w:rFonts w:hint="eastAsia" w:eastAsia="Times New Roman"/>
                    </w:rPr>
                    <w:t>≤</w:t>
                  </w:r>
                  <w:r>
                    <w:rPr>
                      <w:rFonts w:eastAsia="Times New Roman"/>
                    </w:rPr>
                    <w:t>0.5</w:t>
                  </w:r>
                </w:p>
              </w:tc>
              <w:tc>
                <w:tcPr>
                  <w:tcW w:w="1665" w:type="pct"/>
                  <w:vAlign w:val="center"/>
                </w:tcPr>
                <w:p w14:paraId="2F684DFA">
                  <w:pPr>
                    <w:pStyle w:val="149"/>
                    <w:rPr>
                      <w:rFonts w:eastAsia="Times New Roman"/>
                    </w:rPr>
                  </w:pPr>
                  <w:r>
                    <w:rPr>
                      <w:rFonts w:hint="eastAsia" w:eastAsia="Times New Roman"/>
                    </w:rPr>
                    <w:t>≤</w:t>
                  </w:r>
                  <w:r>
                    <w:rPr>
                      <w:rFonts w:eastAsia="Times New Roman"/>
                    </w:rPr>
                    <w:t>2.0</w:t>
                  </w:r>
                </w:p>
              </w:tc>
            </w:tr>
            <w:tr w14:paraId="7CFEB9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295" w:hRule="atLeast"/>
              </w:trPr>
              <w:tc>
                <w:tcPr>
                  <w:tcW w:w="1665" w:type="pct"/>
                  <w:vAlign w:val="center"/>
                </w:tcPr>
                <w:p w14:paraId="021F33ED">
                  <w:pPr>
                    <w:pStyle w:val="149"/>
                    <w:rPr>
                      <w:rFonts w:eastAsia="Times New Roman"/>
                    </w:rPr>
                  </w:pPr>
                  <w:r>
                    <w:rPr>
                      <w:rFonts w:hint="eastAsia" w:ascii="宋体" w:hAnsi="宋体" w:eastAsia="宋体" w:cs="宋体"/>
                    </w:rPr>
                    <w:t>总磷</w:t>
                  </w:r>
                  <w:r>
                    <w:rPr>
                      <w:rFonts w:eastAsia="Times New Roman"/>
                    </w:rPr>
                    <w:t>(</w:t>
                  </w:r>
                  <w:r>
                    <w:rPr>
                      <w:rFonts w:hint="eastAsia" w:ascii="宋体" w:hAnsi="宋体" w:eastAsia="宋体" w:cs="宋体"/>
                    </w:rPr>
                    <w:t>以</w:t>
                  </w:r>
                  <w:r>
                    <w:rPr>
                      <w:rFonts w:eastAsia="Times New Roman"/>
                    </w:rPr>
                    <w:t>P</w:t>
                  </w:r>
                  <w:r>
                    <w:rPr>
                      <w:rFonts w:hint="eastAsia" w:ascii="宋体" w:hAnsi="宋体" w:eastAsia="宋体" w:cs="宋体"/>
                    </w:rPr>
                    <w:t>计</w:t>
                  </w:r>
                  <w:r>
                    <w:rPr>
                      <w:rFonts w:hint="eastAsia" w:eastAsia="Times New Roman"/>
                    </w:rPr>
                    <w:t>)</w:t>
                  </w:r>
                  <w:r>
                    <w:rPr>
                      <w:rFonts w:eastAsia="Times New Roman"/>
                    </w:rPr>
                    <w:t>≤</w:t>
                  </w:r>
                </w:p>
              </w:tc>
              <w:tc>
                <w:tcPr>
                  <w:tcW w:w="1665" w:type="pct"/>
                  <w:vAlign w:val="center"/>
                </w:tcPr>
                <w:p w14:paraId="11D64D04">
                  <w:pPr>
                    <w:pStyle w:val="149"/>
                    <w:rPr>
                      <w:rFonts w:eastAsia="Times New Roman"/>
                    </w:rPr>
                  </w:pPr>
                  <w:r>
                    <w:rPr>
                      <w:rFonts w:hint="eastAsia" w:eastAsia="Times New Roman"/>
                    </w:rPr>
                    <w:t>≤</w:t>
                  </w:r>
                  <w:r>
                    <w:rPr>
                      <w:rFonts w:eastAsia="Times New Roman"/>
                    </w:rPr>
                    <w:t>0.1</w:t>
                  </w:r>
                </w:p>
              </w:tc>
              <w:tc>
                <w:tcPr>
                  <w:tcW w:w="1665" w:type="pct"/>
                  <w:vAlign w:val="center"/>
                </w:tcPr>
                <w:p w14:paraId="52E7A279">
                  <w:pPr>
                    <w:pStyle w:val="149"/>
                    <w:rPr>
                      <w:rFonts w:eastAsia="Times New Roman"/>
                    </w:rPr>
                  </w:pPr>
                  <w:r>
                    <w:rPr>
                      <w:rFonts w:hint="eastAsia" w:eastAsia="Times New Roman"/>
                    </w:rPr>
                    <w:t>≤</w:t>
                  </w:r>
                  <w:r>
                    <w:rPr>
                      <w:rFonts w:eastAsia="Times New Roman"/>
                    </w:rPr>
                    <w:t>0.4</w:t>
                  </w:r>
                </w:p>
              </w:tc>
            </w:tr>
            <w:tr w14:paraId="57B8A2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295" w:hRule="atLeast"/>
              </w:trPr>
              <w:tc>
                <w:tcPr>
                  <w:tcW w:w="1665" w:type="pct"/>
                  <w:vAlign w:val="center"/>
                </w:tcPr>
                <w:p w14:paraId="424DCE41">
                  <w:pPr>
                    <w:pStyle w:val="149"/>
                    <w:rPr>
                      <w:rFonts w:eastAsia="Times New Roman"/>
                    </w:rPr>
                  </w:pPr>
                  <w:r>
                    <w:rPr>
                      <w:rFonts w:hint="eastAsia" w:ascii="宋体" w:hAnsi="宋体" w:eastAsia="宋体" w:cs="宋体"/>
                    </w:rPr>
                    <w:t>阴离子表面活性剂</w:t>
                  </w:r>
                  <w:r>
                    <w:rPr>
                      <w:rFonts w:eastAsia="Times New Roman"/>
                    </w:rPr>
                    <w:t>≤</w:t>
                  </w:r>
                </w:p>
              </w:tc>
              <w:tc>
                <w:tcPr>
                  <w:tcW w:w="1665" w:type="pct"/>
                  <w:vAlign w:val="center"/>
                </w:tcPr>
                <w:p w14:paraId="6D51540F">
                  <w:pPr>
                    <w:pStyle w:val="149"/>
                    <w:rPr>
                      <w:rFonts w:eastAsia="Times New Roman"/>
                    </w:rPr>
                  </w:pPr>
                  <w:r>
                    <w:rPr>
                      <w:rFonts w:hint="eastAsia" w:eastAsia="Times New Roman"/>
                    </w:rPr>
                    <w:t>≤</w:t>
                  </w:r>
                  <w:r>
                    <w:rPr>
                      <w:rFonts w:eastAsia="Times New Roman"/>
                    </w:rPr>
                    <w:t>0.2</w:t>
                  </w:r>
                </w:p>
              </w:tc>
              <w:tc>
                <w:tcPr>
                  <w:tcW w:w="1665" w:type="pct"/>
                  <w:vAlign w:val="center"/>
                </w:tcPr>
                <w:p w14:paraId="541DC637">
                  <w:pPr>
                    <w:pStyle w:val="149"/>
                    <w:rPr>
                      <w:rFonts w:eastAsia="Times New Roman"/>
                    </w:rPr>
                  </w:pPr>
                  <w:r>
                    <w:rPr>
                      <w:rFonts w:hint="eastAsia" w:eastAsia="Times New Roman"/>
                    </w:rPr>
                    <w:t>≤</w:t>
                  </w:r>
                  <w:r>
                    <w:rPr>
                      <w:rFonts w:eastAsia="Times New Roman"/>
                    </w:rPr>
                    <w:t>0.3</w:t>
                  </w:r>
                </w:p>
              </w:tc>
            </w:tr>
            <w:tr w14:paraId="367010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295" w:hRule="atLeast"/>
              </w:trPr>
              <w:tc>
                <w:tcPr>
                  <w:tcW w:w="1665" w:type="pct"/>
                  <w:vAlign w:val="center"/>
                </w:tcPr>
                <w:p w14:paraId="457F40BA">
                  <w:pPr>
                    <w:pStyle w:val="149"/>
                    <w:rPr>
                      <w:rFonts w:eastAsia="Times New Roman"/>
                    </w:rPr>
                  </w:pPr>
                  <w:r>
                    <w:rPr>
                      <w:rFonts w:hint="eastAsia" w:ascii="宋体" w:hAnsi="宋体" w:eastAsia="宋体" w:cs="宋体"/>
                    </w:rPr>
                    <w:t>石油类</w:t>
                  </w:r>
                  <w:r>
                    <w:rPr>
                      <w:rFonts w:eastAsia="Times New Roman"/>
                    </w:rPr>
                    <w:t>≤</w:t>
                  </w:r>
                </w:p>
              </w:tc>
              <w:tc>
                <w:tcPr>
                  <w:tcW w:w="1665" w:type="pct"/>
                  <w:vAlign w:val="center"/>
                </w:tcPr>
                <w:p w14:paraId="6583547A">
                  <w:pPr>
                    <w:pStyle w:val="149"/>
                    <w:rPr>
                      <w:rFonts w:eastAsia="Times New Roman"/>
                    </w:rPr>
                  </w:pPr>
                  <w:r>
                    <w:rPr>
                      <w:rFonts w:hint="eastAsia" w:eastAsia="Times New Roman"/>
                    </w:rPr>
                    <w:t>≤</w:t>
                  </w:r>
                  <w:r>
                    <w:rPr>
                      <w:rFonts w:eastAsia="Times New Roman"/>
                    </w:rPr>
                    <w:t>0.05</w:t>
                  </w:r>
                </w:p>
              </w:tc>
              <w:tc>
                <w:tcPr>
                  <w:tcW w:w="1665" w:type="pct"/>
                  <w:vAlign w:val="center"/>
                </w:tcPr>
                <w:p w14:paraId="2124BF78">
                  <w:pPr>
                    <w:pStyle w:val="149"/>
                    <w:rPr>
                      <w:rFonts w:eastAsia="Times New Roman"/>
                    </w:rPr>
                  </w:pPr>
                  <w:r>
                    <w:rPr>
                      <w:rFonts w:hint="eastAsia" w:eastAsia="Times New Roman"/>
                    </w:rPr>
                    <w:t>≤</w:t>
                  </w:r>
                  <w:r>
                    <w:rPr>
                      <w:rFonts w:eastAsia="Times New Roman"/>
                    </w:rPr>
                    <w:t>1.0</w:t>
                  </w:r>
                </w:p>
              </w:tc>
            </w:tr>
            <w:tr w14:paraId="5978AD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295" w:hRule="atLeast"/>
              </w:trPr>
              <w:tc>
                <w:tcPr>
                  <w:tcW w:w="1665" w:type="pct"/>
                  <w:vAlign w:val="center"/>
                </w:tcPr>
                <w:p w14:paraId="317F9EED">
                  <w:pPr>
                    <w:pStyle w:val="149"/>
                    <w:rPr>
                      <w:rFonts w:eastAsia="Times New Roman"/>
                    </w:rPr>
                  </w:pPr>
                  <w:r>
                    <w:rPr>
                      <w:rFonts w:hint="eastAsia" w:ascii="宋体" w:hAnsi="宋体" w:eastAsia="宋体" w:cs="宋体"/>
                    </w:rPr>
                    <w:t>粪大肠菌群</w:t>
                  </w:r>
                  <w:r>
                    <w:rPr>
                      <w:rFonts w:eastAsia="Times New Roman"/>
                    </w:rPr>
                    <w:t>(</w:t>
                  </w:r>
                  <w:r>
                    <w:rPr>
                      <w:rFonts w:hint="eastAsia" w:ascii="宋体" w:hAnsi="宋体" w:eastAsia="宋体" w:cs="宋体"/>
                    </w:rPr>
                    <w:t>个</w:t>
                  </w:r>
                  <w:r>
                    <w:rPr>
                      <w:rFonts w:hint="eastAsia" w:eastAsia="Times New Roman"/>
                    </w:rPr>
                    <w:t>/L)</w:t>
                  </w:r>
                  <w:r>
                    <w:rPr>
                      <w:rFonts w:eastAsia="Times New Roman"/>
                    </w:rPr>
                    <w:t>≤</w:t>
                  </w:r>
                </w:p>
              </w:tc>
              <w:tc>
                <w:tcPr>
                  <w:tcW w:w="1665" w:type="pct"/>
                  <w:vAlign w:val="center"/>
                </w:tcPr>
                <w:p w14:paraId="381A538A">
                  <w:pPr>
                    <w:pStyle w:val="149"/>
                    <w:rPr>
                      <w:rFonts w:eastAsia="Times New Roman"/>
                    </w:rPr>
                  </w:pPr>
                  <w:r>
                    <w:rPr>
                      <w:rFonts w:hint="eastAsia" w:eastAsia="Times New Roman"/>
                    </w:rPr>
                    <w:t>≤</w:t>
                  </w:r>
                  <w:r>
                    <w:rPr>
                      <w:rFonts w:eastAsia="Times New Roman"/>
                    </w:rPr>
                    <w:t>2000</w:t>
                  </w:r>
                </w:p>
              </w:tc>
              <w:tc>
                <w:tcPr>
                  <w:tcW w:w="1665" w:type="pct"/>
                  <w:vAlign w:val="center"/>
                </w:tcPr>
                <w:p w14:paraId="2A7ED8CA">
                  <w:pPr>
                    <w:pStyle w:val="149"/>
                    <w:rPr>
                      <w:rFonts w:eastAsia="Times New Roman"/>
                    </w:rPr>
                  </w:pPr>
                  <w:r>
                    <w:rPr>
                      <w:rFonts w:hint="eastAsia" w:eastAsia="Times New Roman"/>
                    </w:rPr>
                    <w:t>≤</w:t>
                  </w:r>
                  <w:r>
                    <w:rPr>
                      <w:rFonts w:eastAsia="Times New Roman"/>
                    </w:rPr>
                    <w:t>40000</w:t>
                  </w:r>
                </w:p>
              </w:tc>
            </w:tr>
          </w:tbl>
          <w:p w14:paraId="3EB28E07">
            <w:pPr>
              <w:pStyle w:val="10"/>
              <w:ind w:firstLine="482"/>
              <w:rPr>
                <w:b/>
                <w:bCs/>
              </w:rPr>
            </w:pPr>
            <w:r>
              <w:rPr>
                <w:rFonts w:hint="eastAsia"/>
                <w:b/>
                <w:bCs/>
              </w:rPr>
              <w:t>（4）电磁环境质量标准</w:t>
            </w:r>
          </w:p>
          <w:p w14:paraId="72E66B78">
            <w:pPr>
              <w:pStyle w:val="10"/>
            </w:pPr>
            <w:r>
              <w:rPr>
                <w:rFonts w:hint="eastAsia"/>
              </w:rPr>
              <w:t>电场强度执行《电磁环境控制限值》（</w:t>
            </w:r>
            <w:r>
              <w:t>GB8702-2014</w:t>
            </w:r>
            <w:r>
              <w:rPr>
                <w:rFonts w:hint="eastAsia"/>
              </w:rPr>
              <w:t>）中公众曝露控制限值</w:t>
            </w:r>
            <w:r>
              <w:t>4kV/m</w:t>
            </w:r>
            <w:r>
              <w:rPr>
                <w:rFonts w:hint="eastAsia"/>
              </w:rPr>
              <w:t>；磁感应强度执行《电磁环境控制限值》（</w:t>
            </w:r>
            <w:r>
              <w:t>GB8702-2014</w:t>
            </w:r>
            <w:r>
              <w:rPr>
                <w:rFonts w:hint="eastAsia"/>
              </w:rPr>
              <w:t>）公众曝露控制限值</w:t>
            </w:r>
            <w:r>
              <w:t>0.1mT</w:t>
            </w:r>
            <w:r>
              <w:rPr>
                <w:rFonts w:hint="eastAsia"/>
              </w:rPr>
              <w:t>。</w:t>
            </w:r>
          </w:p>
          <w:p w14:paraId="50F8D08E">
            <w:pPr>
              <w:pStyle w:val="10"/>
              <w:ind w:firstLine="482"/>
              <w:rPr>
                <w:b/>
                <w:bCs/>
              </w:rPr>
            </w:pPr>
            <w:r>
              <w:rPr>
                <w:b/>
                <w:bCs/>
              </w:rPr>
              <w:t>2</w:t>
            </w:r>
            <w:r>
              <w:rPr>
                <w:rFonts w:hint="eastAsia"/>
                <w:b/>
                <w:bCs/>
              </w:rPr>
              <w:t>、污染物排放标准</w:t>
            </w:r>
          </w:p>
          <w:p w14:paraId="1CDFE816">
            <w:pPr>
              <w:pStyle w:val="10"/>
              <w:ind w:firstLine="482"/>
              <w:rPr>
                <w:b/>
                <w:bCs/>
              </w:rPr>
            </w:pPr>
            <w:r>
              <w:rPr>
                <w:rFonts w:hint="eastAsia"/>
                <w:b/>
                <w:bCs/>
              </w:rPr>
              <w:t>（1）施工期废气排放标准</w:t>
            </w:r>
          </w:p>
          <w:p w14:paraId="3A2546C4">
            <w:pPr>
              <w:pStyle w:val="10"/>
            </w:pPr>
            <w:r>
              <w:rPr>
                <w:rFonts w:hint="eastAsia"/>
              </w:rPr>
              <w:t>项目运营期无废气产生，施工期的施工扬尘、施工机械和运输车辆燃料废气与装修过程中产生的装修废气均执行广东省地方标准《大气污染物排放限值》（</w:t>
            </w:r>
            <w:r>
              <w:t>DB44/27-2001</w:t>
            </w:r>
            <w:r>
              <w:rPr>
                <w:rFonts w:hint="eastAsia"/>
              </w:rPr>
              <w:t>）中的第二时段无组织排放监控浓度限值，具体标准限值见下表。</w:t>
            </w:r>
          </w:p>
          <w:p w14:paraId="0B41C84B">
            <w:pPr>
              <w:pStyle w:val="132"/>
              <w:rPr>
                <w:b/>
              </w:rPr>
            </w:pPr>
            <w:r>
              <w:rPr>
                <w:rFonts w:hint="eastAsia"/>
                <w:b/>
              </w:rPr>
              <w:t>表</w:t>
            </w:r>
            <w:r>
              <w:rPr>
                <w:b/>
              </w:rPr>
              <w:t>3-10</w:t>
            </w:r>
            <w:r>
              <w:rPr>
                <w:rFonts w:hint="eastAsia"/>
                <w:b/>
              </w:rPr>
              <w:t>施工期废气和装修废气排放标准限值（节选）</w:t>
            </w:r>
          </w:p>
          <w:tbl>
            <w:tblPr>
              <w:tblStyle w:val="150"/>
              <w:tblW w:w="4999"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48"/>
              <w:gridCol w:w="3783"/>
              <w:gridCol w:w="3097"/>
            </w:tblGrid>
            <w:tr w14:paraId="33E0CD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3" w:hRule="exact"/>
              </w:trPr>
              <w:tc>
                <w:tcPr>
                  <w:tcW w:w="869" w:type="pct"/>
                  <w:vMerge w:val="restart"/>
                  <w:vAlign w:val="center"/>
                </w:tcPr>
                <w:p w14:paraId="51F2A6A8">
                  <w:pPr>
                    <w:pStyle w:val="149"/>
                    <w:rPr>
                      <w:rFonts w:hint="default" w:ascii="Times New Roman" w:hAnsi="Times New Roman" w:eastAsia="宋体" w:cs="Times New Roman"/>
                      <w:b/>
                      <w:i w:val="0"/>
                    </w:rPr>
                  </w:pPr>
                  <w:r>
                    <w:rPr>
                      <w:rFonts w:hint="eastAsia" w:ascii="Times New Roman" w:hAnsi="Times New Roman" w:eastAsia="宋体" w:cs="Times New Roman"/>
                      <w:b/>
                      <w:i w:val="0"/>
                    </w:rPr>
                    <w:t>污染物</w:t>
                  </w:r>
                </w:p>
              </w:tc>
              <w:tc>
                <w:tcPr>
                  <w:tcW w:w="4130" w:type="pct"/>
                  <w:gridSpan w:val="2"/>
                  <w:vAlign w:val="center"/>
                </w:tcPr>
                <w:p w14:paraId="41AAED83">
                  <w:pPr>
                    <w:pStyle w:val="149"/>
                    <w:rPr>
                      <w:rFonts w:hint="default" w:ascii="Times New Roman" w:hAnsi="Times New Roman" w:eastAsia="宋体" w:cs="Times New Roman"/>
                      <w:b/>
                      <w:i w:val="0"/>
                    </w:rPr>
                  </w:pPr>
                  <w:r>
                    <w:rPr>
                      <w:rFonts w:hint="eastAsia" w:ascii="Times New Roman" w:hAnsi="Times New Roman" w:eastAsia="宋体" w:cs="Times New Roman"/>
                      <w:b/>
                      <w:i w:val="0"/>
                    </w:rPr>
                    <w:t>无组织排放监控浓度值</w:t>
                  </w:r>
                </w:p>
              </w:tc>
            </w:tr>
            <w:tr w14:paraId="5D7777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869" w:type="pct"/>
                  <w:vMerge w:val="continue"/>
                  <w:vAlign w:val="center"/>
                </w:tcPr>
                <w:p w14:paraId="109CD763">
                  <w:pPr>
                    <w:pStyle w:val="149"/>
                    <w:rPr>
                      <w:rFonts w:eastAsia="Times New Roman"/>
                    </w:rPr>
                  </w:pPr>
                </w:p>
              </w:tc>
              <w:tc>
                <w:tcPr>
                  <w:tcW w:w="2271" w:type="pct"/>
                  <w:vAlign w:val="center"/>
                </w:tcPr>
                <w:p w14:paraId="1A92F8CB">
                  <w:pPr>
                    <w:pStyle w:val="149"/>
                    <w:rPr>
                      <w:rFonts w:eastAsia="Times New Roman"/>
                    </w:rPr>
                  </w:pPr>
                  <w:r>
                    <w:rPr>
                      <w:rFonts w:hint="eastAsia" w:ascii="宋体" w:hAnsi="宋体" w:eastAsia="宋体" w:cs="宋体"/>
                    </w:rPr>
                    <w:t>监控点</w:t>
                  </w:r>
                </w:p>
              </w:tc>
              <w:tc>
                <w:tcPr>
                  <w:tcW w:w="1859" w:type="pct"/>
                  <w:vAlign w:val="center"/>
                </w:tcPr>
                <w:p w14:paraId="7B138208">
                  <w:pPr>
                    <w:pStyle w:val="149"/>
                    <w:rPr>
                      <w:rFonts w:eastAsia="Times New Roman"/>
                    </w:rPr>
                  </w:pPr>
                  <w:r>
                    <w:rPr>
                      <w:rFonts w:hint="eastAsia" w:ascii="宋体" w:hAnsi="宋体" w:eastAsia="宋体" w:cs="宋体"/>
                    </w:rPr>
                    <w:t>浓度（</w:t>
                  </w:r>
                  <w:r>
                    <w:rPr>
                      <w:rFonts w:eastAsia="Times New Roman"/>
                    </w:rPr>
                    <w:t>mg/m</w:t>
                  </w:r>
                  <w:r>
                    <w:rPr>
                      <w:rFonts w:eastAsia="Times New Roman"/>
                      <w:vertAlign w:val="superscript"/>
                    </w:rPr>
                    <w:t>3</w:t>
                  </w:r>
                  <w:r>
                    <w:rPr>
                      <w:rFonts w:hint="eastAsia" w:ascii="宋体" w:hAnsi="宋体" w:eastAsia="宋体" w:cs="宋体"/>
                    </w:rPr>
                    <w:t>）</w:t>
                  </w:r>
                </w:p>
              </w:tc>
            </w:tr>
            <w:tr w14:paraId="0B001B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exact"/>
              </w:trPr>
              <w:tc>
                <w:tcPr>
                  <w:tcW w:w="869" w:type="pct"/>
                  <w:vAlign w:val="center"/>
                </w:tcPr>
                <w:p w14:paraId="5630AC11">
                  <w:pPr>
                    <w:pStyle w:val="149"/>
                    <w:rPr>
                      <w:rFonts w:eastAsia="Times New Roman"/>
                    </w:rPr>
                  </w:pPr>
                  <w:r>
                    <w:rPr>
                      <w:rFonts w:hint="eastAsia" w:ascii="宋体" w:hAnsi="宋体" w:eastAsia="宋体" w:cs="宋体"/>
                    </w:rPr>
                    <w:t>颗粒物</w:t>
                  </w:r>
                </w:p>
              </w:tc>
              <w:tc>
                <w:tcPr>
                  <w:tcW w:w="2271" w:type="pct"/>
                  <w:vMerge w:val="restart"/>
                  <w:vAlign w:val="center"/>
                </w:tcPr>
                <w:p w14:paraId="7A4C1EA4">
                  <w:pPr>
                    <w:pStyle w:val="149"/>
                    <w:rPr>
                      <w:rFonts w:eastAsia="Times New Roman"/>
                    </w:rPr>
                  </w:pPr>
                  <w:r>
                    <w:rPr>
                      <w:rFonts w:hint="eastAsia" w:ascii="宋体" w:hAnsi="宋体" w:eastAsia="宋体" w:cs="宋体"/>
                    </w:rPr>
                    <w:t>周界外浓度最高点</w:t>
                  </w:r>
                </w:p>
              </w:tc>
              <w:tc>
                <w:tcPr>
                  <w:tcW w:w="1859" w:type="pct"/>
                  <w:vAlign w:val="center"/>
                </w:tcPr>
                <w:p w14:paraId="3E2BF5AE">
                  <w:pPr>
                    <w:pStyle w:val="149"/>
                    <w:rPr>
                      <w:rFonts w:eastAsia="Times New Roman"/>
                    </w:rPr>
                  </w:pPr>
                  <w:r>
                    <w:rPr>
                      <w:rFonts w:eastAsia="Times New Roman"/>
                    </w:rPr>
                    <w:t>1.0</w:t>
                  </w:r>
                </w:p>
              </w:tc>
            </w:tr>
            <w:tr w14:paraId="781D1E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4" w:hRule="exact"/>
              </w:trPr>
              <w:tc>
                <w:tcPr>
                  <w:tcW w:w="869" w:type="pct"/>
                  <w:vAlign w:val="center"/>
                </w:tcPr>
                <w:p w14:paraId="39EDF9C5">
                  <w:pPr>
                    <w:pStyle w:val="149"/>
                    <w:rPr>
                      <w:rFonts w:eastAsia="Times New Roman"/>
                    </w:rPr>
                  </w:pPr>
                  <w:r>
                    <w:rPr>
                      <w:rFonts w:eastAsia="Times New Roman"/>
                    </w:rPr>
                    <w:t>NOx</w:t>
                  </w:r>
                </w:p>
              </w:tc>
              <w:tc>
                <w:tcPr>
                  <w:tcW w:w="2271" w:type="pct"/>
                  <w:vMerge w:val="continue"/>
                  <w:vAlign w:val="center"/>
                </w:tcPr>
                <w:p w14:paraId="7E76098B">
                  <w:pPr>
                    <w:pStyle w:val="149"/>
                    <w:rPr>
                      <w:rFonts w:eastAsia="Times New Roman"/>
                    </w:rPr>
                  </w:pPr>
                </w:p>
              </w:tc>
              <w:tc>
                <w:tcPr>
                  <w:tcW w:w="1859" w:type="pct"/>
                  <w:vAlign w:val="center"/>
                </w:tcPr>
                <w:p w14:paraId="67B889A5">
                  <w:pPr>
                    <w:pStyle w:val="149"/>
                    <w:rPr>
                      <w:rFonts w:eastAsia="Times New Roman"/>
                    </w:rPr>
                  </w:pPr>
                  <w:r>
                    <w:rPr>
                      <w:rFonts w:eastAsia="Times New Roman"/>
                    </w:rPr>
                    <w:t>0.12</w:t>
                  </w:r>
                </w:p>
              </w:tc>
            </w:tr>
            <w:tr w14:paraId="3E2C2E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9" w:hRule="exact"/>
              </w:trPr>
              <w:tc>
                <w:tcPr>
                  <w:tcW w:w="869" w:type="pct"/>
                  <w:vAlign w:val="center"/>
                </w:tcPr>
                <w:p w14:paraId="14CA0A0E">
                  <w:pPr>
                    <w:pStyle w:val="149"/>
                    <w:rPr>
                      <w:rFonts w:eastAsia="Times New Roman"/>
                    </w:rPr>
                  </w:pPr>
                  <w:r>
                    <w:rPr>
                      <w:rFonts w:eastAsia="Times New Roman"/>
                    </w:rPr>
                    <w:t>CO</w:t>
                  </w:r>
                </w:p>
              </w:tc>
              <w:tc>
                <w:tcPr>
                  <w:tcW w:w="2271" w:type="pct"/>
                  <w:vMerge w:val="continue"/>
                  <w:vAlign w:val="center"/>
                </w:tcPr>
                <w:p w14:paraId="68BC1327">
                  <w:pPr>
                    <w:pStyle w:val="149"/>
                    <w:rPr>
                      <w:rFonts w:eastAsia="Times New Roman"/>
                    </w:rPr>
                  </w:pPr>
                </w:p>
              </w:tc>
              <w:tc>
                <w:tcPr>
                  <w:tcW w:w="1859" w:type="pct"/>
                  <w:vAlign w:val="center"/>
                </w:tcPr>
                <w:p w14:paraId="185D993A">
                  <w:pPr>
                    <w:pStyle w:val="149"/>
                    <w:rPr>
                      <w:rFonts w:eastAsia="Times New Roman"/>
                    </w:rPr>
                  </w:pPr>
                  <w:r>
                    <w:rPr>
                      <w:rFonts w:eastAsia="Times New Roman"/>
                    </w:rPr>
                    <w:t>8</w:t>
                  </w:r>
                </w:p>
              </w:tc>
            </w:tr>
          </w:tbl>
          <w:p w14:paraId="59AE10CF">
            <w:pPr>
              <w:pStyle w:val="10"/>
              <w:ind w:firstLine="482"/>
              <w:rPr>
                <w:b/>
                <w:bCs/>
              </w:rPr>
            </w:pPr>
            <w:r>
              <w:rPr>
                <w:rFonts w:hint="eastAsia"/>
                <w:b/>
                <w:bCs/>
              </w:rPr>
              <w:t>（2）噪声排放标准</w:t>
            </w:r>
          </w:p>
          <w:p w14:paraId="09F4E56B">
            <w:pPr>
              <w:pStyle w:val="10"/>
            </w:pPr>
            <w:r>
              <w:rPr>
                <w:rFonts w:hint="eastAsia"/>
              </w:rPr>
              <w:t>施工期噪声执行《建筑施工场界环境噪声排放标准》（</w:t>
            </w:r>
            <w:r>
              <w:t>GB12523-2011</w:t>
            </w:r>
            <w:r>
              <w:rPr>
                <w:rFonts w:hint="eastAsia"/>
              </w:rPr>
              <w:t>）标准，其中昼间≤</w:t>
            </w:r>
            <w:r>
              <w:t>70dB(A)</w:t>
            </w:r>
            <w:r>
              <w:rPr>
                <w:rFonts w:hint="eastAsia"/>
              </w:rPr>
              <w:t>、夜间≤</w:t>
            </w:r>
            <w:r>
              <w:t>55dB(A)</w:t>
            </w:r>
            <w:r>
              <w:rPr>
                <w:rFonts w:hint="eastAsia"/>
              </w:rPr>
              <w:t>。运营期噪声排放厂界执行《工业企业厂界环境噪声排放标准》</w:t>
            </w:r>
            <w:r>
              <w:t>(GB12348-2008)</w:t>
            </w:r>
            <w:r>
              <w:rPr>
                <w:rFonts w:hint="eastAsia"/>
              </w:rPr>
              <w:t>中</w:t>
            </w:r>
            <w:r>
              <w:t>3</w:t>
            </w:r>
            <w:r>
              <w:rPr>
                <w:rFonts w:hint="eastAsia"/>
              </w:rPr>
              <w:t>类标准。即昼间≤</w:t>
            </w:r>
            <w:r>
              <w:t>65dB(A)</w:t>
            </w:r>
            <w:r>
              <w:rPr>
                <w:rFonts w:hint="eastAsia"/>
              </w:rPr>
              <w:t>，夜间≤</w:t>
            </w:r>
            <w:r>
              <w:t>55dB(A)</w:t>
            </w:r>
            <w:r>
              <w:rPr>
                <w:rFonts w:hint="eastAsia"/>
              </w:rPr>
              <w:t>。</w:t>
            </w:r>
          </w:p>
          <w:p w14:paraId="5673D75B">
            <w:pPr>
              <w:pStyle w:val="10"/>
              <w:ind w:firstLine="482"/>
              <w:rPr>
                <w:b/>
                <w:bCs/>
              </w:rPr>
            </w:pPr>
            <w:r>
              <w:rPr>
                <w:rFonts w:hint="eastAsia"/>
                <w:b/>
                <w:bCs/>
              </w:rPr>
              <w:t>（3）废水</w:t>
            </w:r>
          </w:p>
          <w:p w14:paraId="2DB15AF4">
            <w:pPr>
              <w:pStyle w:val="10"/>
              <w:ind w:firstLine="482"/>
              <w:rPr>
                <w:b/>
              </w:rPr>
            </w:pPr>
            <w:r>
              <w:rPr>
                <w:b/>
              </w:rPr>
              <w:t>1</w:t>
            </w:r>
            <w:r>
              <w:rPr>
                <w:rFonts w:hint="eastAsia"/>
                <w:b/>
              </w:rPr>
              <w:t>）施工期</w:t>
            </w:r>
          </w:p>
          <w:p w14:paraId="41D10416">
            <w:pPr>
              <w:pStyle w:val="10"/>
            </w:pPr>
            <w:r>
              <w:rPr>
                <w:rFonts w:hint="eastAsia"/>
              </w:rPr>
              <w:t>项目施工期人员不在施工场地内食宿，施工人员的食宿依托附近出租房解决，生活污水经三级化粪池预处理达到广东省《水污染物排放限值》</w:t>
            </w:r>
            <w:r>
              <w:t>(DB44/26-2001)</w:t>
            </w:r>
            <w:r>
              <w:rPr>
                <w:rFonts w:hint="eastAsia"/>
              </w:rPr>
              <w:t>第二时段三级标准后排入市政污水管网，排入博罗县石湾镇大牛垒生活污水处理厂处理后达标排放。</w:t>
            </w:r>
          </w:p>
          <w:p w14:paraId="413B0578">
            <w:pPr>
              <w:pStyle w:val="10"/>
              <w:ind w:firstLine="482"/>
              <w:rPr>
                <w:b/>
              </w:rPr>
            </w:pPr>
            <w:r>
              <w:rPr>
                <w:b/>
              </w:rPr>
              <w:t>2</w:t>
            </w:r>
            <w:r>
              <w:rPr>
                <w:rFonts w:hint="eastAsia"/>
                <w:b/>
              </w:rPr>
              <w:t>）运营期</w:t>
            </w:r>
          </w:p>
          <w:p w14:paraId="009D9F72">
            <w:pPr>
              <w:pStyle w:val="10"/>
            </w:pPr>
            <w:r>
              <w:rPr>
                <w:rFonts w:hint="eastAsia"/>
              </w:rPr>
              <w:t>项目运营期无生产废水排放。</w:t>
            </w:r>
          </w:p>
          <w:p w14:paraId="6652B8C6">
            <w:pPr>
              <w:pStyle w:val="10"/>
            </w:pPr>
            <w:r>
              <w:rPr>
                <w:rFonts w:hint="eastAsia"/>
              </w:rPr>
              <w:t>生活污水排放标准：项目位于博罗县石湾镇大牛垒生活污水处理厂纳污范围内，项目所在地市政污水管网已接通，运营期员工生活污水经三级化粪池预处理，达到《广东省水污染物排放限值》（</w:t>
            </w:r>
            <w:r>
              <w:t>DB44/27-2001</w:t>
            </w:r>
            <w:r>
              <w:rPr>
                <w:rFonts w:hint="eastAsia"/>
              </w:rPr>
              <w:t>）第二时段三级标准后通过市政污水管网排入博罗县石湾镇大牛垒生活污水处理厂处理达标后排入石湾镇中心排渠，接着汇入紧水河，最后汇入东江，博罗县石湾镇大牛垒生活污水处理厂尾水中氨氮、总磷需达到《地表水环境质量标准》（</w:t>
            </w:r>
            <w:r>
              <w:t>GB3838-2002</w:t>
            </w:r>
            <w:r>
              <w:rPr>
                <w:rFonts w:hint="eastAsia"/>
              </w:rPr>
              <w:t>）Ⅴ类标准，其余指标达到《城镇污水处理厂污染物排放标准》</w:t>
            </w:r>
            <w:r>
              <w:t>(GB18918-2002)</w:t>
            </w:r>
            <w:r>
              <w:rPr>
                <w:rFonts w:hint="eastAsia"/>
              </w:rPr>
              <w:t>一级</w:t>
            </w:r>
            <w:r>
              <w:t>A</w:t>
            </w:r>
            <w:r>
              <w:rPr>
                <w:rFonts w:hint="eastAsia"/>
              </w:rPr>
              <w:t>以及广东省地方标准《水污染物排放限值》（</w:t>
            </w:r>
            <w:r>
              <w:t>DB44/26-2001</w:t>
            </w:r>
            <w:r>
              <w:rPr>
                <w:rFonts w:hint="eastAsia"/>
              </w:rPr>
              <w:t>）第二时段一级标准两者中的较严值，具体如下表所示。</w:t>
            </w:r>
          </w:p>
          <w:p w14:paraId="75120388">
            <w:pPr>
              <w:pStyle w:val="132"/>
              <w:rPr>
                <w:b/>
              </w:rPr>
            </w:pPr>
            <w:r>
              <w:rPr>
                <w:rFonts w:hint="eastAsia"/>
                <w:b/>
              </w:rPr>
              <w:t>表</w:t>
            </w:r>
            <w:r>
              <w:rPr>
                <w:b/>
              </w:rPr>
              <w:t>3-11</w:t>
            </w:r>
            <w:r>
              <w:rPr>
                <w:rFonts w:hint="eastAsia"/>
                <w:b/>
              </w:rPr>
              <w:t>水污染物排放限值单位：</w:t>
            </w:r>
            <w:r>
              <w:rPr>
                <w:b/>
              </w:rPr>
              <w:t>mg/LpH</w:t>
            </w:r>
            <w:r>
              <w:rPr>
                <w:rFonts w:hint="eastAsia"/>
                <w:b/>
              </w:rPr>
              <w:t>无量纲</w:t>
            </w:r>
          </w:p>
          <w:tbl>
            <w:tblPr>
              <w:tblStyle w:val="150"/>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96"/>
              <w:gridCol w:w="852"/>
              <w:gridCol w:w="852"/>
              <w:gridCol w:w="833"/>
              <w:gridCol w:w="1082"/>
              <w:gridCol w:w="947"/>
              <w:gridCol w:w="1163"/>
            </w:tblGrid>
            <w:tr w14:paraId="361A67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9" w:type="pct"/>
                  <w:vAlign w:val="center"/>
                </w:tcPr>
                <w:p w14:paraId="3EE86602">
                  <w:pPr>
                    <w:pStyle w:val="149"/>
                    <w:rPr>
                      <w:rFonts w:hint="default" w:ascii="Times New Roman" w:hAnsi="Times New Roman" w:eastAsia="宋体" w:cs="Times New Roman"/>
                      <w:b/>
                      <w:i w:val="0"/>
                    </w:rPr>
                  </w:pPr>
                  <w:r>
                    <w:rPr>
                      <w:rFonts w:hint="eastAsia" w:ascii="Times New Roman" w:hAnsi="Times New Roman" w:eastAsia="宋体" w:cs="Times New Roman"/>
                      <w:b/>
                      <w:i w:val="0"/>
                    </w:rPr>
                    <w:t>项目</w:t>
                  </w:r>
                </w:p>
              </w:tc>
              <w:tc>
                <w:tcPr>
                  <w:tcW w:w="512" w:type="pct"/>
                  <w:vAlign w:val="center"/>
                </w:tcPr>
                <w:p w14:paraId="7CE28A18">
                  <w:pPr>
                    <w:pStyle w:val="149"/>
                    <w:rPr>
                      <w:rFonts w:hint="default" w:ascii="Times New Roman" w:hAnsi="Times New Roman" w:eastAsia="宋体" w:cs="Times New Roman"/>
                      <w:b/>
                      <w:i w:val="0"/>
                    </w:rPr>
                  </w:pPr>
                  <w:r>
                    <w:rPr>
                      <w:rFonts w:hint="default" w:ascii="Times New Roman" w:hAnsi="Times New Roman" w:eastAsia="宋体" w:cs="Times New Roman"/>
                      <w:b/>
                      <w:i w:val="0"/>
                    </w:rPr>
                    <w:t>COD</w:t>
                  </w:r>
                  <w:r>
                    <w:rPr>
                      <w:rFonts w:hint="default" w:ascii="Times New Roman" w:hAnsi="Times New Roman" w:eastAsia="宋体" w:cs="Times New Roman"/>
                      <w:b/>
                      <w:i w:val="0"/>
                      <w:vertAlign w:val="subscript"/>
                    </w:rPr>
                    <w:t>Cr</w:t>
                  </w:r>
                </w:p>
              </w:tc>
              <w:tc>
                <w:tcPr>
                  <w:tcW w:w="512" w:type="pct"/>
                  <w:vAlign w:val="center"/>
                </w:tcPr>
                <w:p w14:paraId="5D01D390">
                  <w:pPr>
                    <w:pStyle w:val="149"/>
                    <w:rPr>
                      <w:rFonts w:hint="default" w:ascii="Times New Roman" w:hAnsi="Times New Roman" w:eastAsia="宋体" w:cs="Times New Roman"/>
                      <w:b/>
                      <w:i w:val="0"/>
                    </w:rPr>
                  </w:pPr>
                  <w:r>
                    <w:rPr>
                      <w:rFonts w:hint="default" w:ascii="Times New Roman" w:hAnsi="Times New Roman" w:eastAsia="宋体" w:cs="Times New Roman"/>
                      <w:b/>
                      <w:i w:val="0"/>
                    </w:rPr>
                    <w:t>BOD</w:t>
                  </w:r>
                  <w:r>
                    <w:rPr>
                      <w:rFonts w:hint="default" w:ascii="Times New Roman" w:hAnsi="Times New Roman" w:eastAsia="宋体" w:cs="Times New Roman"/>
                      <w:b/>
                      <w:i w:val="0"/>
                      <w:vertAlign w:val="subscript"/>
                    </w:rPr>
                    <w:t>5</w:t>
                  </w:r>
                </w:p>
              </w:tc>
              <w:tc>
                <w:tcPr>
                  <w:tcW w:w="500" w:type="pct"/>
                  <w:vAlign w:val="center"/>
                </w:tcPr>
                <w:p w14:paraId="1F8F898B">
                  <w:pPr>
                    <w:pStyle w:val="149"/>
                    <w:rPr>
                      <w:rFonts w:hint="default" w:ascii="Times New Roman" w:hAnsi="Times New Roman" w:eastAsia="宋体" w:cs="Times New Roman"/>
                      <w:b/>
                      <w:i w:val="0"/>
                    </w:rPr>
                  </w:pPr>
                  <w:r>
                    <w:rPr>
                      <w:rFonts w:hint="default" w:ascii="Times New Roman" w:hAnsi="Times New Roman" w:eastAsia="宋体" w:cs="Times New Roman"/>
                      <w:b/>
                      <w:i w:val="0"/>
                    </w:rPr>
                    <w:t>NH</w:t>
                  </w:r>
                  <w:r>
                    <w:rPr>
                      <w:rFonts w:hint="default" w:ascii="Times New Roman" w:hAnsi="Times New Roman" w:eastAsia="宋体" w:cs="Times New Roman"/>
                      <w:b/>
                      <w:i w:val="0"/>
                      <w:vertAlign w:val="subscript"/>
                    </w:rPr>
                    <w:t>3</w:t>
                  </w:r>
                  <w:r>
                    <w:rPr>
                      <w:rFonts w:hint="default" w:ascii="Times New Roman" w:hAnsi="Times New Roman" w:eastAsia="宋体" w:cs="Times New Roman"/>
                      <w:b/>
                      <w:i w:val="0"/>
                    </w:rPr>
                    <w:t>-N</w:t>
                  </w:r>
                </w:p>
              </w:tc>
              <w:tc>
                <w:tcPr>
                  <w:tcW w:w="650" w:type="pct"/>
                  <w:vAlign w:val="center"/>
                </w:tcPr>
                <w:p w14:paraId="471EF25A">
                  <w:pPr>
                    <w:pStyle w:val="149"/>
                    <w:rPr>
                      <w:rFonts w:hint="default" w:ascii="Times New Roman" w:hAnsi="Times New Roman" w:eastAsia="宋体" w:cs="Times New Roman"/>
                      <w:b/>
                      <w:i w:val="0"/>
                    </w:rPr>
                  </w:pPr>
                  <w:r>
                    <w:rPr>
                      <w:rFonts w:hint="default" w:ascii="Times New Roman" w:hAnsi="Times New Roman" w:eastAsia="宋体" w:cs="Times New Roman"/>
                      <w:b/>
                      <w:i w:val="0"/>
                    </w:rPr>
                    <w:t>SS</w:t>
                  </w:r>
                </w:p>
              </w:tc>
              <w:tc>
                <w:tcPr>
                  <w:tcW w:w="569" w:type="pct"/>
                  <w:vAlign w:val="center"/>
                </w:tcPr>
                <w:p w14:paraId="07943D3F">
                  <w:pPr>
                    <w:pStyle w:val="149"/>
                    <w:rPr>
                      <w:rFonts w:hint="default" w:ascii="Times New Roman" w:hAnsi="Times New Roman" w:eastAsia="宋体" w:cs="Times New Roman"/>
                      <w:b/>
                      <w:i w:val="0"/>
                    </w:rPr>
                  </w:pPr>
                  <w:r>
                    <w:rPr>
                      <w:rFonts w:hint="default" w:ascii="Times New Roman" w:hAnsi="Times New Roman" w:eastAsia="宋体" w:cs="Times New Roman"/>
                      <w:b/>
                      <w:i w:val="0"/>
                    </w:rPr>
                    <w:t>TP</w:t>
                  </w:r>
                </w:p>
              </w:tc>
              <w:tc>
                <w:tcPr>
                  <w:tcW w:w="698" w:type="pct"/>
                  <w:vAlign w:val="center"/>
                </w:tcPr>
                <w:p w14:paraId="58E45411">
                  <w:pPr>
                    <w:pStyle w:val="149"/>
                    <w:rPr>
                      <w:rFonts w:hint="default" w:ascii="Times New Roman" w:hAnsi="Times New Roman" w:eastAsia="宋体" w:cs="Times New Roman"/>
                      <w:b/>
                      <w:i w:val="0"/>
                    </w:rPr>
                  </w:pPr>
                  <w:r>
                    <w:rPr>
                      <w:rFonts w:hint="default" w:ascii="Times New Roman" w:hAnsi="Times New Roman" w:eastAsia="宋体" w:cs="Times New Roman"/>
                      <w:b/>
                      <w:i w:val="0"/>
                    </w:rPr>
                    <w:t>TN</w:t>
                  </w:r>
                </w:p>
              </w:tc>
            </w:tr>
            <w:tr w14:paraId="340F40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9" w:type="pct"/>
                  <w:vAlign w:val="center"/>
                </w:tcPr>
                <w:p w14:paraId="08C33ABB">
                  <w:pPr>
                    <w:pStyle w:val="149"/>
                    <w:rPr>
                      <w:rFonts w:eastAsia="Times New Roman"/>
                    </w:rPr>
                  </w:pPr>
                  <w:r>
                    <w:rPr>
                      <w:rFonts w:hint="eastAsia" w:ascii="宋体" w:hAnsi="宋体" w:eastAsia="宋体" w:cs="宋体"/>
                    </w:rPr>
                    <w:t>（</w:t>
                  </w:r>
                  <w:r>
                    <w:rPr>
                      <w:rFonts w:eastAsia="Times New Roman"/>
                    </w:rPr>
                    <w:t>DB44/26-2001</w:t>
                  </w:r>
                  <w:r>
                    <w:rPr>
                      <w:rFonts w:hint="eastAsia" w:ascii="宋体" w:hAnsi="宋体" w:eastAsia="宋体" w:cs="宋体"/>
                    </w:rPr>
                    <w:t>）第二时段三级标准</w:t>
                  </w:r>
                </w:p>
              </w:tc>
              <w:tc>
                <w:tcPr>
                  <w:tcW w:w="512" w:type="pct"/>
                  <w:vAlign w:val="center"/>
                </w:tcPr>
                <w:p w14:paraId="757E8718">
                  <w:pPr>
                    <w:pStyle w:val="149"/>
                    <w:rPr>
                      <w:rFonts w:eastAsia="Times New Roman"/>
                    </w:rPr>
                  </w:pPr>
                  <w:r>
                    <w:rPr>
                      <w:rFonts w:hint="eastAsia" w:eastAsia="Times New Roman"/>
                    </w:rPr>
                    <w:t>≤</w:t>
                  </w:r>
                  <w:r>
                    <w:rPr>
                      <w:rFonts w:eastAsia="Times New Roman"/>
                    </w:rPr>
                    <w:t>500</w:t>
                  </w:r>
                </w:p>
              </w:tc>
              <w:tc>
                <w:tcPr>
                  <w:tcW w:w="512" w:type="pct"/>
                  <w:vAlign w:val="center"/>
                </w:tcPr>
                <w:p w14:paraId="551D8679">
                  <w:pPr>
                    <w:pStyle w:val="149"/>
                    <w:rPr>
                      <w:rFonts w:eastAsia="Times New Roman"/>
                    </w:rPr>
                  </w:pPr>
                  <w:r>
                    <w:rPr>
                      <w:rFonts w:hint="eastAsia" w:eastAsia="Times New Roman"/>
                    </w:rPr>
                    <w:t>≤</w:t>
                  </w:r>
                  <w:r>
                    <w:rPr>
                      <w:rFonts w:eastAsia="Times New Roman"/>
                    </w:rPr>
                    <w:t>300</w:t>
                  </w:r>
                </w:p>
              </w:tc>
              <w:tc>
                <w:tcPr>
                  <w:tcW w:w="500" w:type="pct"/>
                  <w:vAlign w:val="center"/>
                </w:tcPr>
                <w:p w14:paraId="78960528">
                  <w:pPr>
                    <w:pStyle w:val="149"/>
                    <w:rPr>
                      <w:rFonts w:eastAsia="Times New Roman"/>
                    </w:rPr>
                  </w:pPr>
                  <w:r>
                    <w:rPr>
                      <w:rFonts w:eastAsia="Times New Roman"/>
                    </w:rPr>
                    <w:t>/</w:t>
                  </w:r>
                </w:p>
              </w:tc>
              <w:tc>
                <w:tcPr>
                  <w:tcW w:w="650" w:type="pct"/>
                  <w:vAlign w:val="center"/>
                </w:tcPr>
                <w:p w14:paraId="0F39B609">
                  <w:pPr>
                    <w:pStyle w:val="149"/>
                    <w:rPr>
                      <w:rFonts w:eastAsia="Times New Roman"/>
                    </w:rPr>
                  </w:pPr>
                  <w:r>
                    <w:rPr>
                      <w:rFonts w:hint="eastAsia" w:eastAsia="Times New Roman"/>
                    </w:rPr>
                    <w:t>≤</w:t>
                  </w:r>
                  <w:r>
                    <w:rPr>
                      <w:rFonts w:eastAsia="Times New Roman"/>
                    </w:rPr>
                    <w:t>400</w:t>
                  </w:r>
                </w:p>
              </w:tc>
              <w:tc>
                <w:tcPr>
                  <w:tcW w:w="569" w:type="pct"/>
                  <w:vAlign w:val="center"/>
                </w:tcPr>
                <w:p w14:paraId="72ABA2A2">
                  <w:pPr>
                    <w:pStyle w:val="149"/>
                    <w:rPr>
                      <w:rFonts w:eastAsia="Times New Roman"/>
                    </w:rPr>
                  </w:pPr>
                  <w:r>
                    <w:rPr>
                      <w:rFonts w:eastAsia="Times New Roman"/>
                    </w:rPr>
                    <w:t>/</w:t>
                  </w:r>
                </w:p>
              </w:tc>
              <w:tc>
                <w:tcPr>
                  <w:tcW w:w="698" w:type="pct"/>
                  <w:vAlign w:val="center"/>
                </w:tcPr>
                <w:p w14:paraId="20A43D5F">
                  <w:pPr>
                    <w:pStyle w:val="149"/>
                    <w:rPr>
                      <w:rFonts w:eastAsia="Times New Roman"/>
                    </w:rPr>
                  </w:pPr>
                  <w:r>
                    <w:rPr>
                      <w:rFonts w:eastAsia="Times New Roman"/>
                    </w:rPr>
                    <w:t>/</w:t>
                  </w:r>
                </w:p>
              </w:tc>
            </w:tr>
            <w:tr w14:paraId="4C2365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9" w:type="pct"/>
                  <w:vAlign w:val="center"/>
                </w:tcPr>
                <w:p w14:paraId="5CC4E36F">
                  <w:pPr>
                    <w:pStyle w:val="149"/>
                    <w:rPr>
                      <w:rFonts w:eastAsia="Times New Roman"/>
                    </w:rPr>
                  </w:pPr>
                  <w:r>
                    <w:rPr>
                      <w:rFonts w:hint="eastAsia" w:ascii="宋体" w:hAnsi="宋体" w:eastAsia="宋体" w:cs="宋体"/>
                    </w:rPr>
                    <w:t>（</w:t>
                  </w:r>
                  <w:r>
                    <w:rPr>
                      <w:rFonts w:eastAsia="Times New Roman"/>
                    </w:rPr>
                    <w:t>GB18918-2002</w:t>
                  </w:r>
                  <w:r>
                    <w:rPr>
                      <w:rFonts w:hint="eastAsia" w:ascii="宋体" w:hAnsi="宋体" w:eastAsia="宋体" w:cs="宋体"/>
                    </w:rPr>
                    <w:t>）一级</w:t>
                  </w:r>
                  <w:r>
                    <w:rPr>
                      <w:rFonts w:eastAsia="Times New Roman"/>
                    </w:rPr>
                    <w:t>A</w:t>
                  </w:r>
                  <w:r>
                    <w:rPr>
                      <w:rFonts w:hint="eastAsia" w:ascii="宋体" w:hAnsi="宋体" w:eastAsia="宋体" w:cs="宋体"/>
                    </w:rPr>
                    <w:t>标准</w:t>
                  </w:r>
                </w:p>
              </w:tc>
              <w:tc>
                <w:tcPr>
                  <w:tcW w:w="512" w:type="pct"/>
                  <w:vAlign w:val="center"/>
                </w:tcPr>
                <w:p w14:paraId="46E69F1D">
                  <w:pPr>
                    <w:pStyle w:val="149"/>
                    <w:rPr>
                      <w:rFonts w:eastAsia="Times New Roman"/>
                    </w:rPr>
                  </w:pPr>
                  <w:r>
                    <w:rPr>
                      <w:rFonts w:eastAsia="Times New Roman"/>
                    </w:rPr>
                    <w:t>50</w:t>
                  </w:r>
                </w:p>
              </w:tc>
              <w:tc>
                <w:tcPr>
                  <w:tcW w:w="512" w:type="pct"/>
                  <w:vAlign w:val="center"/>
                </w:tcPr>
                <w:p w14:paraId="37F8EC45">
                  <w:pPr>
                    <w:pStyle w:val="149"/>
                    <w:rPr>
                      <w:rFonts w:eastAsia="Times New Roman"/>
                    </w:rPr>
                  </w:pPr>
                  <w:r>
                    <w:rPr>
                      <w:rFonts w:eastAsia="Times New Roman"/>
                    </w:rPr>
                    <w:t>10</w:t>
                  </w:r>
                </w:p>
              </w:tc>
              <w:tc>
                <w:tcPr>
                  <w:tcW w:w="500" w:type="pct"/>
                  <w:vAlign w:val="center"/>
                </w:tcPr>
                <w:p w14:paraId="6A51F059">
                  <w:pPr>
                    <w:pStyle w:val="149"/>
                    <w:rPr>
                      <w:rFonts w:eastAsia="Times New Roman"/>
                    </w:rPr>
                  </w:pPr>
                  <w:r>
                    <w:rPr>
                      <w:rFonts w:eastAsia="Times New Roman"/>
                    </w:rPr>
                    <w:t>5</w:t>
                  </w:r>
                </w:p>
              </w:tc>
              <w:tc>
                <w:tcPr>
                  <w:tcW w:w="650" w:type="pct"/>
                  <w:vAlign w:val="center"/>
                </w:tcPr>
                <w:p w14:paraId="0E4EC8DD">
                  <w:pPr>
                    <w:pStyle w:val="149"/>
                    <w:rPr>
                      <w:rFonts w:eastAsia="Times New Roman"/>
                    </w:rPr>
                  </w:pPr>
                  <w:r>
                    <w:rPr>
                      <w:rFonts w:eastAsia="Times New Roman"/>
                    </w:rPr>
                    <w:t>10</w:t>
                  </w:r>
                </w:p>
              </w:tc>
              <w:tc>
                <w:tcPr>
                  <w:tcW w:w="569" w:type="pct"/>
                  <w:vAlign w:val="center"/>
                </w:tcPr>
                <w:p w14:paraId="0C1C4052">
                  <w:pPr>
                    <w:pStyle w:val="149"/>
                    <w:rPr>
                      <w:rFonts w:eastAsia="Times New Roman"/>
                    </w:rPr>
                  </w:pPr>
                  <w:r>
                    <w:rPr>
                      <w:rFonts w:eastAsia="Times New Roman"/>
                    </w:rPr>
                    <w:t>0.5</w:t>
                  </w:r>
                </w:p>
              </w:tc>
              <w:tc>
                <w:tcPr>
                  <w:tcW w:w="698" w:type="pct"/>
                  <w:vAlign w:val="center"/>
                </w:tcPr>
                <w:p w14:paraId="3CF1C191">
                  <w:pPr>
                    <w:pStyle w:val="149"/>
                    <w:rPr>
                      <w:rFonts w:eastAsia="Times New Roman"/>
                    </w:rPr>
                  </w:pPr>
                  <w:r>
                    <w:rPr>
                      <w:rFonts w:eastAsia="Times New Roman"/>
                    </w:rPr>
                    <w:t>15</w:t>
                  </w:r>
                </w:p>
              </w:tc>
            </w:tr>
            <w:tr w14:paraId="0A4718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9" w:type="pct"/>
                  <w:vAlign w:val="center"/>
                </w:tcPr>
                <w:p w14:paraId="52B3A1FC">
                  <w:pPr>
                    <w:pStyle w:val="149"/>
                    <w:rPr>
                      <w:rFonts w:eastAsia="Times New Roman"/>
                    </w:rPr>
                  </w:pPr>
                  <w:r>
                    <w:rPr>
                      <w:rFonts w:hint="eastAsia" w:ascii="宋体" w:hAnsi="宋体" w:eastAsia="宋体" w:cs="宋体"/>
                    </w:rPr>
                    <w:t>（</w:t>
                  </w:r>
                  <w:r>
                    <w:rPr>
                      <w:rFonts w:eastAsia="Times New Roman"/>
                    </w:rPr>
                    <w:t>DB44/26-2001</w:t>
                  </w:r>
                  <w:r>
                    <w:rPr>
                      <w:rFonts w:hint="eastAsia" w:ascii="宋体" w:hAnsi="宋体" w:eastAsia="宋体" w:cs="宋体"/>
                    </w:rPr>
                    <w:t>）第二时段一级标准（城镇二级污水处理厂）</w:t>
                  </w:r>
                </w:p>
              </w:tc>
              <w:tc>
                <w:tcPr>
                  <w:tcW w:w="512" w:type="pct"/>
                  <w:vAlign w:val="center"/>
                </w:tcPr>
                <w:p w14:paraId="0480DC9C">
                  <w:pPr>
                    <w:pStyle w:val="149"/>
                    <w:rPr>
                      <w:rFonts w:eastAsia="Times New Roman"/>
                    </w:rPr>
                  </w:pPr>
                  <w:r>
                    <w:rPr>
                      <w:rFonts w:eastAsia="Times New Roman"/>
                    </w:rPr>
                    <w:t>40</w:t>
                  </w:r>
                </w:p>
              </w:tc>
              <w:tc>
                <w:tcPr>
                  <w:tcW w:w="512" w:type="pct"/>
                  <w:vAlign w:val="center"/>
                </w:tcPr>
                <w:p w14:paraId="500E1D33">
                  <w:pPr>
                    <w:pStyle w:val="149"/>
                    <w:rPr>
                      <w:rFonts w:eastAsia="Times New Roman"/>
                    </w:rPr>
                  </w:pPr>
                  <w:r>
                    <w:rPr>
                      <w:rFonts w:eastAsia="Times New Roman"/>
                    </w:rPr>
                    <w:t>20</w:t>
                  </w:r>
                </w:p>
              </w:tc>
              <w:tc>
                <w:tcPr>
                  <w:tcW w:w="500" w:type="pct"/>
                  <w:vAlign w:val="center"/>
                </w:tcPr>
                <w:p w14:paraId="7A221681">
                  <w:pPr>
                    <w:pStyle w:val="149"/>
                    <w:rPr>
                      <w:rFonts w:eastAsia="Times New Roman"/>
                    </w:rPr>
                  </w:pPr>
                  <w:r>
                    <w:rPr>
                      <w:rFonts w:eastAsia="Times New Roman"/>
                    </w:rPr>
                    <w:t>10</w:t>
                  </w:r>
                </w:p>
              </w:tc>
              <w:tc>
                <w:tcPr>
                  <w:tcW w:w="650" w:type="pct"/>
                  <w:vAlign w:val="center"/>
                </w:tcPr>
                <w:p w14:paraId="58A8622B">
                  <w:pPr>
                    <w:pStyle w:val="149"/>
                    <w:rPr>
                      <w:rFonts w:eastAsia="Times New Roman"/>
                    </w:rPr>
                  </w:pPr>
                  <w:r>
                    <w:rPr>
                      <w:rFonts w:eastAsia="Times New Roman"/>
                    </w:rPr>
                    <w:t>20</w:t>
                  </w:r>
                </w:p>
              </w:tc>
              <w:tc>
                <w:tcPr>
                  <w:tcW w:w="569" w:type="pct"/>
                  <w:vAlign w:val="center"/>
                </w:tcPr>
                <w:p w14:paraId="0B0CBF0E">
                  <w:pPr>
                    <w:pStyle w:val="149"/>
                    <w:rPr>
                      <w:rFonts w:eastAsia="Times New Roman"/>
                    </w:rPr>
                  </w:pPr>
                  <w:r>
                    <w:rPr>
                      <w:rFonts w:eastAsia="Times New Roman"/>
                    </w:rPr>
                    <w:t>0.5</w:t>
                  </w:r>
                </w:p>
              </w:tc>
              <w:tc>
                <w:tcPr>
                  <w:tcW w:w="698" w:type="pct"/>
                  <w:vAlign w:val="center"/>
                </w:tcPr>
                <w:p w14:paraId="742D78E6">
                  <w:pPr>
                    <w:pStyle w:val="149"/>
                    <w:rPr>
                      <w:rFonts w:eastAsia="Times New Roman"/>
                    </w:rPr>
                  </w:pPr>
                  <w:r>
                    <w:rPr>
                      <w:rFonts w:eastAsia="Times New Roman"/>
                    </w:rPr>
                    <w:t>-</w:t>
                  </w:r>
                </w:p>
              </w:tc>
            </w:tr>
            <w:tr w14:paraId="6EED06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9" w:type="pct"/>
                  <w:vAlign w:val="center"/>
                </w:tcPr>
                <w:p w14:paraId="122D165B">
                  <w:pPr>
                    <w:pStyle w:val="149"/>
                    <w:rPr>
                      <w:rFonts w:eastAsia="Times New Roman"/>
                    </w:rPr>
                  </w:pPr>
                  <w:r>
                    <w:rPr>
                      <w:rFonts w:hint="eastAsia" w:ascii="宋体" w:hAnsi="宋体" w:eastAsia="宋体" w:cs="宋体"/>
                    </w:rPr>
                    <w:t>《地表水环境质量标准》（</w:t>
                  </w:r>
                  <w:r>
                    <w:rPr>
                      <w:rFonts w:eastAsia="Times New Roman"/>
                    </w:rPr>
                    <w:t>GB3838-2002</w:t>
                  </w:r>
                  <w:r>
                    <w:rPr>
                      <w:rFonts w:hint="eastAsia" w:ascii="宋体" w:hAnsi="宋体" w:eastAsia="宋体" w:cs="宋体"/>
                    </w:rPr>
                    <w:t>）</w:t>
                  </w:r>
                  <w:r>
                    <w:rPr>
                      <w:rFonts w:eastAsia="Times New Roman"/>
                    </w:rPr>
                    <w:t>Ⅴ</w:t>
                  </w:r>
                  <w:r>
                    <w:rPr>
                      <w:rFonts w:hint="eastAsia" w:ascii="宋体" w:hAnsi="宋体" w:eastAsia="宋体" w:cs="宋体"/>
                    </w:rPr>
                    <w:t>类标准</w:t>
                  </w:r>
                </w:p>
              </w:tc>
              <w:tc>
                <w:tcPr>
                  <w:tcW w:w="512" w:type="pct"/>
                  <w:vAlign w:val="center"/>
                </w:tcPr>
                <w:p w14:paraId="54192F2B">
                  <w:pPr>
                    <w:pStyle w:val="149"/>
                    <w:rPr>
                      <w:rFonts w:eastAsia="Times New Roman"/>
                    </w:rPr>
                  </w:pPr>
                  <w:r>
                    <w:rPr>
                      <w:rFonts w:eastAsia="Times New Roman"/>
                    </w:rPr>
                    <w:t>/</w:t>
                  </w:r>
                </w:p>
              </w:tc>
              <w:tc>
                <w:tcPr>
                  <w:tcW w:w="512" w:type="pct"/>
                  <w:vAlign w:val="center"/>
                </w:tcPr>
                <w:p w14:paraId="6671B05C">
                  <w:pPr>
                    <w:pStyle w:val="149"/>
                    <w:rPr>
                      <w:rFonts w:eastAsia="Times New Roman"/>
                    </w:rPr>
                  </w:pPr>
                  <w:r>
                    <w:rPr>
                      <w:rFonts w:eastAsia="Times New Roman"/>
                    </w:rPr>
                    <w:t>/</w:t>
                  </w:r>
                </w:p>
              </w:tc>
              <w:tc>
                <w:tcPr>
                  <w:tcW w:w="500" w:type="pct"/>
                  <w:vAlign w:val="center"/>
                </w:tcPr>
                <w:p w14:paraId="523026E5">
                  <w:pPr>
                    <w:pStyle w:val="149"/>
                    <w:rPr>
                      <w:rFonts w:eastAsia="Times New Roman"/>
                    </w:rPr>
                  </w:pPr>
                  <w:r>
                    <w:rPr>
                      <w:rFonts w:eastAsia="Times New Roman"/>
                    </w:rPr>
                    <w:t>2.0</w:t>
                  </w:r>
                </w:p>
              </w:tc>
              <w:tc>
                <w:tcPr>
                  <w:tcW w:w="650" w:type="pct"/>
                  <w:vAlign w:val="center"/>
                </w:tcPr>
                <w:p w14:paraId="04A8ED14">
                  <w:pPr>
                    <w:pStyle w:val="149"/>
                    <w:rPr>
                      <w:rFonts w:eastAsia="Times New Roman"/>
                    </w:rPr>
                  </w:pPr>
                  <w:r>
                    <w:rPr>
                      <w:rFonts w:eastAsia="Times New Roman"/>
                    </w:rPr>
                    <w:t>/</w:t>
                  </w:r>
                </w:p>
              </w:tc>
              <w:tc>
                <w:tcPr>
                  <w:tcW w:w="569" w:type="pct"/>
                  <w:vAlign w:val="center"/>
                </w:tcPr>
                <w:p w14:paraId="7E772501">
                  <w:pPr>
                    <w:pStyle w:val="149"/>
                    <w:rPr>
                      <w:rFonts w:eastAsia="Times New Roman"/>
                    </w:rPr>
                  </w:pPr>
                  <w:r>
                    <w:rPr>
                      <w:rFonts w:eastAsia="Times New Roman"/>
                    </w:rPr>
                    <w:t>0.4</w:t>
                  </w:r>
                </w:p>
              </w:tc>
              <w:tc>
                <w:tcPr>
                  <w:tcW w:w="698" w:type="pct"/>
                  <w:vAlign w:val="center"/>
                </w:tcPr>
                <w:p w14:paraId="2C086A48">
                  <w:pPr>
                    <w:pStyle w:val="149"/>
                    <w:rPr>
                      <w:rFonts w:eastAsia="Times New Roman"/>
                    </w:rPr>
                  </w:pPr>
                  <w:r>
                    <w:rPr>
                      <w:rFonts w:eastAsia="Times New Roman"/>
                    </w:rPr>
                    <w:t>/</w:t>
                  </w:r>
                </w:p>
              </w:tc>
            </w:tr>
            <w:tr w14:paraId="0FBE62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9" w:type="pct"/>
                  <w:vAlign w:val="center"/>
                </w:tcPr>
                <w:p w14:paraId="3217F715">
                  <w:pPr>
                    <w:pStyle w:val="149"/>
                    <w:rPr>
                      <w:rFonts w:eastAsia="Times New Roman"/>
                      <w:bCs/>
                    </w:rPr>
                  </w:pPr>
                  <w:r>
                    <w:rPr>
                      <w:rFonts w:hint="eastAsia" w:ascii="宋体" w:hAnsi="宋体" w:eastAsia="宋体" w:cs="宋体"/>
                      <w:bCs/>
                    </w:rPr>
                    <w:t>博罗县石湾镇大牛垒生活污水处理厂排放标准值</w:t>
                  </w:r>
                </w:p>
              </w:tc>
              <w:tc>
                <w:tcPr>
                  <w:tcW w:w="512" w:type="pct"/>
                  <w:vAlign w:val="center"/>
                </w:tcPr>
                <w:p w14:paraId="6AADA201">
                  <w:pPr>
                    <w:pStyle w:val="149"/>
                    <w:rPr>
                      <w:rFonts w:eastAsia="Times New Roman"/>
                      <w:bCs/>
                    </w:rPr>
                  </w:pPr>
                  <w:r>
                    <w:rPr>
                      <w:rFonts w:eastAsia="Times New Roman"/>
                      <w:bCs/>
                    </w:rPr>
                    <w:t>40</w:t>
                  </w:r>
                </w:p>
              </w:tc>
              <w:tc>
                <w:tcPr>
                  <w:tcW w:w="512" w:type="pct"/>
                  <w:vAlign w:val="center"/>
                </w:tcPr>
                <w:p w14:paraId="3139D056">
                  <w:pPr>
                    <w:pStyle w:val="149"/>
                    <w:rPr>
                      <w:rFonts w:eastAsia="Times New Roman"/>
                      <w:bCs/>
                    </w:rPr>
                  </w:pPr>
                  <w:r>
                    <w:rPr>
                      <w:rFonts w:eastAsia="Times New Roman"/>
                      <w:bCs/>
                    </w:rPr>
                    <w:t>10</w:t>
                  </w:r>
                </w:p>
              </w:tc>
              <w:tc>
                <w:tcPr>
                  <w:tcW w:w="500" w:type="pct"/>
                  <w:vAlign w:val="center"/>
                </w:tcPr>
                <w:p w14:paraId="5E8CB9B6">
                  <w:pPr>
                    <w:pStyle w:val="149"/>
                    <w:rPr>
                      <w:rFonts w:eastAsia="Times New Roman"/>
                      <w:bCs/>
                    </w:rPr>
                  </w:pPr>
                  <w:r>
                    <w:rPr>
                      <w:rFonts w:eastAsia="Times New Roman"/>
                      <w:bCs/>
                    </w:rPr>
                    <w:t>2.0</w:t>
                  </w:r>
                </w:p>
              </w:tc>
              <w:tc>
                <w:tcPr>
                  <w:tcW w:w="650" w:type="pct"/>
                  <w:vAlign w:val="center"/>
                </w:tcPr>
                <w:p w14:paraId="5B3DDFCB">
                  <w:pPr>
                    <w:pStyle w:val="149"/>
                    <w:rPr>
                      <w:rFonts w:eastAsia="Times New Roman"/>
                      <w:bCs/>
                    </w:rPr>
                  </w:pPr>
                  <w:r>
                    <w:rPr>
                      <w:rFonts w:eastAsia="Times New Roman"/>
                      <w:bCs/>
                    </w:rPr>
                    <w:t>10</w:t>
                  </w:r>
                </w:p>
              </w:tc>
              <w:tc>
                <w:tcPr>
                  <w:tcW w:w="569" w:type="pct"/>
                  <w:vAlign w:val="center"/>
                </w:tcPr>
                <w:p w14:paraId="2651D64B">
                  <w:pPr>
                    <w:pStyle w:val="149"/>
                    <w:rPr>
                      <w:rFonts w:eastAsia="Times New Roman"/>
                      <w:bCs/>
                    </w:rPr>
                  </w:pPr>
                  <w:r>
                    <w:rPr>
                      <w:rFonts w:eastAsia="Times New Roman"/>
                      <w:bCs/>
                    </w:rPr>
                    <w:t>0.4</w:t>
                  </w:r>
                </w:p>
              </w:tc>
              <w:tc>
                <w:tcPr>
                  <w:tcW w:w="698" w:type="pct"/>
                  <w:vAlign w:val="center"/>
                </w:tcPr>
                <w:p w14:paraId="14E11FF1">
                  <w:pPr>
                    <w:pStyle w:val="149"/>
                    <w:rPr>
                      <w:rFonts w:eastAsia="Times New Roman"/>
                      <w:bCs/>
                    </w:rPr>
                  </w:pPr>
                  <w:r>
                    <w:rPr>
                      <w:rFonts w:eastAsia="Times New Roman"/>
                      <w:bCs/>
                    </w:rPr>
                    <w:t>15</w:t>
                  </w:r>
                </w:p>
              </w:tc>
            </w:tr>
            <w:tr w14:paraId="22A415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0" w:type="pct"/>
                  <w:gridSpan w:val="7"/>
                  <w:vAlign w:val="center"/>
                </w:tcPr>
                <w:p w14:paraId="3E9036BE">
                  <w:pPr>
                    <w:pStyle w:val="149"/>
                    <w:jc w:val="both"/>
                    <w:rPr>
                      <w:rFonts w:eastAsia="Times New Roman"/>
                    </w:rPr>
                  </w:pPr>
                  <w:r>
                    <w:rPr>
                      <w:rFonts w:hint="eastAsia" w:ascii="宋体" w:hAnsi="宋体" w:eastAsia="宋体" w:cs="宋体"/>
                    </w:rPr>
                    <w:t>注：广东省地方标准《水污染物排放限值》（</w:t>
                  </w:r>
                  <w:r>
                    <w:rPr>
                      <w:rFonts w:eastAsia="Times New Roman"/>
                    </w:rPr>
                    <w:t>DB44/26-2001</w:t>
                  </w:r>
                  <w:r>
                    <w:rPr>
                      <w:rFonts w:hint="eastAsia" w:ascii="宋体" w:hAnsi="宋体" w:eastAsia="宋体" w:cs="宋体"/>
                    </w:rPr>
                    <w:t>）第二时段一级标准中</w:t>
                  </w:r>
                  <w:r>
                    <w:rPr>
                      <w:rFonts w:eastAsia="Times New Roman"/>
                    </w:rPr>
                    <w:t xml:space="preserve"> TP </w:t>
                  </w:r>
                  <w:r>
                    <w:rPr>
                      <w:rFonts w:hint="eastAsia" w:ascii="宋体" w:hAnsi="宋体" w:eastAsia="宋体" w:cs="宋体"/>
                    </w:rPr>
                    <w:t>参照磷酸盐排放标准执行。</w:t>
                  </w:r>
                </w:p>
              </w:tc>
            </w:tr>
          </w:tbl>
          <w:p w14:paraId="6D95BED4">
            <w:pPr>
              <w:pStyle w:val="10"/>
              <w:ind w:firstLine="482"/>
              <w:rPr>
                <w:b/>
                <w:bCs/>
              </w:rPr>
            </w:pPr>
            <w:r>
              <w:rPr>
                <w:rFonts w:hint="eastAsia"/>
                <w:b/>
                <w:bCs/>
              </w:rPr>
              <w:t>（4）固体废物排放标准</w:t>
            </w:r>
          </w:p>
          <w:p w14:paraId="0B7487C8">
            <w:pPr>
              <w:pStyle w:val="10"/>
            </w:pPr>
            <w:r>
              <w:rPr>
                <w:rFonts w:hint="eastAsia"/>
              </w:rPr>
              <w:t>一般工业固体废物执行《中华人民共和国固体废物污染环境防治法》（</w:t>
            </w:r>
            <w:r>
              <w:t>2020</w:t>
            </w:r>
            <w:r>
              <w:rPr>
                <w:rFonts w:hint="eastAsia"/>
              </w:rPr>
              <w:t>年</w:t>
            </w:r>
            <w:r>
              <w:t>4</w:t>
            </w:r>
            <w:r>
              <w:rPr>
                <w:rFonts w:hint="eastAsia"/>
              </w:rPr>
              <w:t>月</w:t>
            </w:r>
            <w:r>
              <w:t>29</w:t>
            </w:r>
            <w:r>
              <w:rPr>
                <w:rFonts w:hint="eastAsia"/>
              </w:rPr>
              <w:t>日修订，</w:t>
            </w:r>
            <w:r>
              <w:t>2020</w:t>
            </w:r>
            <w:r>
              <w:rPr>
                <w:rFonts w:hint="eastAsia"/>
              </w:rPr>
              <w:t>年</w:t>
            </w:r>
            <w:r>
              <w:t>9</w:t>
            </w:r>
            <w:r>
              <w:rPr>
                <w:rFonts w:hint="eastAsia"/>
              </w:rPr>
              <w:t>月</w:t>
            </w:r>
            <w:r>
              <w:t>1</w:t>
            </w:r>
            <w:r>
              <w:rPr>
                <w:rFonts w:hint="eastAsia"/>
              </w:rPr>
              <w:t>日施行）、《广东省固体废物污染环境防治条例（</w:t>
            </w:r>
            <w:r>
              <w:t>2022</w:t>
            </w:r>
            <w:r>
              <w:rPr>
                <w:rFonts w:hint="eastAsia"/>
              </w:rPr>
              <w:t>年修正版）》〔广东省第十三届人民代表大会常务委员会公告（第</w:t>
            </w:r>
            <w:r>
              <w:t>18</w:t>
            </w:r>
            <w:r>
              <w:rPr>
                <w:rFonts w:hint="eastAsia"/>
              </w:rPr>
              <w:t>号）〕、《一般工业固体废物管理台账制定指南（试行）》（生态环境部公告2021年第82号），贮存过程应满足相应防渗漏、防雨淋、防扬尘等环境保护要求。</w:t>
            </w:r>
          </w:p>
          <w:p w14:paraId="1EF9212D">
            <w:pPr>
              <w:pStyle w:val="10"/>
            </w:pPr>
            <w:r>
              <w:rPr>
                <w:rFonts w:hint="eastAsia"/>
              </w:rPr>
              <w:t>危险废物贮存执行《危险废物识别标志设置技术规范》（</w:t>
            </w:r>
            <w:r>
              <w:t>HJ1276-2022</w:t>
            </w:r>
            <w:r>
              <w:rPr>
                <w:rFonts w:hint="eastAsia"/>
              </w:rPr>
              <w:t>）和《危险废物贮存污染控制标准》（</w:t>
            </w:r>
            <w:r>
              <w:t>GB18597-2023</w:t>
            </w:r>
            <w:r>
              <w:rPr>
                <w:rFonts w:hint="eastAsia"/>
              </w:rPr>
              <w:t>）以及《中华人民共和国固体废物污染环境防治法》（</w:t>
            </w:r>
            <w:r>
              <w:t>2020</w:t>
            </w:r>
            <w:r>
              <w:rPr>
                <w:rFonts w:hint="eastAsia"/>
              </w:rPr>
              <w:t>年</w:t>
            </w:r>
            <w:r>
              <w:t>4</w:t>
            </w:r>
            <w:r>
              <w:rPr>
                <w:rFonts w:hint="eastAsia"/>
              </w:rPr>
              <w:t>月</w:t>
            </w:r>
            <w:r>
              <w:t>29</w:t>
            </w:r>
            <w:r>
              <w:rPr>
                <w:rFonts w:hint="eastAsia"/>
              </w:rPr>
              <w:t>日修订，</w:t>
            </w:r>
            <w:r>
              <w:t>2020</w:t>
            </w:r>
            <w:r>
              <w:rPr>
                <w:rFonts w:hint="eastAsia"/>
              </w:rPr>
              <w:t>年</w:t>
            </w:r>
            <w:r>
              <w:t>9</w:t>
            </w:r>
            <w:r>
              <w:rPr>
                <w:rFonts w:hint="eastAsia"/>
              </w:rPr>
              <w:t>月</w:t>
            </w:r>
            <w:r>
              <w:t>1</w:t>
            </w:r>
            <w:r>
              <w:rPr>
                <w:rFonts w:hint="eastAsia"/>
              </w:rPr>
              <w:t>日起施行）中的有关规定，同时其收集、运输、包装等应符合《危险废物污染防治技术政策》中的规定。</w:t>
            </w:r>
          </w:p>
        </w:tc>
      </w:tr>
      <w:tr w14:paraId="7A5F17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239" w:type="pct"/>
            <w:vAlign w:val="center"/>
          </w:tcPr>
          <w:p w14:paraId="000EE676">
            <w:pPr>
              <w:adjustRightInd w:val="0"/>
              <w:snapToGrid w:val="0"/>
              <w:spacing w:line="360" w:lineRule="auto"/>
              <w:jc w:val="center"/>
              <w:rPr>
                <w:kern w:val="0"/>
                <w:sz w:val="24"/>
              </w:rPr>
            </w:pPr>
            <w:r>
              <w:rPr>
                <w:rFonts w:hint="eastAsia"/>
                <w:kern w:val="0"/>
                <w:sz w:val="24"/>
              </w:rPr>
              <w:t>其他</w:t>
            </w:r>
          </w:p>
        </w:tc>
        <w:tc>
          <w:tcPr>
            <w:tcW w:w="4761" w:type="pct"/>
            <w:vAlign w:val="center"/>
          </w:tcPr>
          <w:p w14:paraId="78854BB2">
            <w:pPr>
              <w:adjustRightInd w:val="0"/>
              <w:spacing w:line="360" w:lineRule="auto"/>
              <w:ind w:firstLine="480" w:firstLineChars="200"/>
              <w:textAlignment w:val="baseline"/>
            </w:pPr>
            <w:r>
              <w:rPr>
                <w:rFonts w:hint="eastAsia"/>
                <w:sz w:val="24"/>
              </w:rPr>
              <w:t>本工程主要环境影响因子为工频电场、工频磁场和噪声，均不属于国家总量控制指标。故本输变电工程环境影响因子在满足国家相应控制标准的前提下，不需再进行总量控制。员工生活污水三级化粪池预处理后，排入博罗县石湾镇大牛垒生活污水处理厂处理后达标排放。污染物总量指标纳入博罗县石湾镇大牛垒生活污水处理厂指标，不再申请总量控制。</w:t>
            </w:r>
          </w:p>
        </w:tc>
      </w:tr>
    </w:tbl>
    <w:p w14:paraId="01243A61">
      <w:pPr>
        <w:pStyle w:val="27"/>
        <w:spacing w:before="120" w:beforeLines="50" w:beforeAutospacing="0" w:after="120" w:afterLines="50" w:afterAutospacing="0" w:line="360" w:lineRule="auto"/>
        <w:jc w:val="center"/>
        <w:outlineLvl w:val="0"/>
        <w:rPr>
          <w:rFonts w:ascii="Times New Roman" w:hAnsi="Times New Roman" w:eastAsia="黑体"/>
          <w:snapToGrid w:val="0"/>
          <w:sz w:val="30"/>
          <w:szCs w:val="30"/>
        </w:rPr>
      </w:pPr>
      <w:r>
        <w:rPr>
          <w:rFonts w:ascii="Times New Roman" w:hAnsi="Times New Roman" w:eastAsia="黑体"/>
          <w:snapToGrid w:val="0"/>
          <w:sz w:val="36"/>
          <w:szCs w:val="36"/>
        </w:rPr>
        <w:br w:type="page"/>
      </w:r>
      <w:bookmarkEnd w:id="8"/>
      <w:bookmarkEnd w:id="9"/>
      <w:r>
        <w:rPr>
          <w:rFonts w:hint="eastAsia" w:ascii="Times New Roman" w:hAnsi="Times New Roman" w:eastAsia="黑体"/>
          <w:snapToGrid w:val="0"/>
          <w:sz w:val="30"/>
          <w:szCs w:val="30"/>
        </w:rPr>
        <w:t>四、生态环境影响分析</w:t>
      </w:r>
    </w:p>
    <w:tbl>
      <w:tblPr>
        <w:tblStyle w:val="31"/>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54"/>
        <w:gridCol w:w="8725"/>
      </w:tblGrid>
      <w:tr w14:paraId="35869D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7" w:type="pct"/>
            <w:tcMar>
              <w:left w:w="28" w:type="dxa"/>
              <w:right w:w="28" w:type="dxa"/>
            </w:tcMar>
            <w:vAlign w:val="center"/>
          </w:tcPr>
          <w:p w14:paraId="4088CA74">
            <w:pPr>
              <w:pStyle w:val="27"/>
              <w:adjustRightInd w:val="0"/>
              <w:snapToGrid w:val="0"/>
              <w:spacing w:before="0" w:beforeAutospacing="0" w:after="0" w:afterAutospacing="0"/>
              <w:jc w:val="center"/>
              <w:rPr>
                <w:rFonts w:ascii="Times New Roman" w:hAnsi="Times New Roman"/>
                <w:kern w:val="2"/>
                <w:szCs w:val="24"/>
              </w:rPr>
            </w:pPr>
            <w:r>
              <w:rPr>
                <w:rFonts w:hint="eastAsia" w:ascii="Times New Roman" w:hAnsi="Times New Roman"/>
                <w:kern w:val="2"/>
                <w:szCs w:val="24"/>
              </w:rPr>
              <w:t>施工期生态环境影响分析</w:t>
            </w:r>
          </w:p>
        </w:tc>
        <w:tc>
          <w:tcPr>
            <w:tcW w:w="4863" w:type="pct"/>
            <w:vAlign w:val="center"/>
          </w:tcPr>
          <w:p w14:paraId="1666C1B4">
            <w:pPr>
              <w:spacing w:before="120" w:beforeLines="50" w:line="360" w:lineRule="auto"/>
              <w:ind w:firstLine="482" w:firstLineChars="200"/>
              <w:rPr>
                <w:b/>
                <w:bCs/>
                <w:sz w:val="24"/>
              </w:rPr>
            </w:pPr>
            <w:r>
              <w:rPr>
                <w:b/>
                <w:bCs/>
                <w:sz w:val="24"/>
              </w:rPr>
              <w:t>1</w:t>
            </w:r>
            <w:r>
              <w:rPr>
                <w:rFonts w:hint="eastAsia"/>
                <w:b/>
                <w:bCs/>
                <w:sz w:val="24"/>
              </w:rPr>
              <w:t>、施工期环境污染的主要环节</w:t>
            </w:r>
          </w:p>
          <w:p w14:paraId="2AB092C8">
            <w:pPr>
              <w:spacing w:line="360" w:lineRule="auto"/>
              <w:ind w:firstLine="480" w:firstLineChars="200"/>
              <w:rPr>
                <w:sz w:val="24"/>
              </w:rPr>
            </w:pPr>
            <w:bookmarkStart w:id="14" w:name="_1371995965"/>
            <w:bookmarkEnd w:id="14"/>
            <w:bookmarkStart w:id="15" w:name="_1374324896"/>
            <w:bookmarkEnd w:id="15"/>
            <w:bookmarkStart w:id="16" w:name="_1337500000"/>
            <w:bookmarkEnd w:id="16"/>
            <w:bookmarkStart w:id="17" w:name="_1374325141"/>
            <w:bookmarkEnd w:id="17"/>
            <w:bookmarkStart w:id="18" w:name="_1374325187"/>
            <w:bookmarkEnd w:id="18"/>
            <w:bookmarkStart w:id="19" w:name="_1336808412"/>
            <w:bookmarkEnd w:id="19"/>
            <w:bookmarkStart w:id="20" w:name="_1337500096"/>
            <w:bookmarkEnd w:id="20"/>
            <w:bookmarkStart w:id="21" w:name="_1385277909"/>
            <w:bookmarkEnd w:id="21"/>
            <w:bookmarkStart w:id="22" w:name="_1374324680"/>
            <w:bookmarkEnd w:id="22"/>
            <w:bookmarkStart w:id="23" w:name="_1337499853"/>
            <w:bookmarkEnd w:id="23"/>
            <w:bookmarkStart w:id="24" w:name="_1337500079"/>
            <w:bookmarkEnd w:id="24"/>
            <w:bookmarkStart w:id="25" w:name="_1337500046"/>
            <w:bookmarkEnd w:id="25"/>
            <w:bookmarkStart w:id="26" w:name="_1374325210"/>
            <w:bookmarkEnd w:id="26"/>
            <w:bookmarkStart w:id="27" w:name="_1337518504"/>
            <w:bookmarkEnd w:id="27"/>
            <w:bookmarkStart w:id="28" w:name="_1338793614"/>
            <w:bookmarkEnd w:id="28"/>
            <w:bookmarkStart w:id="29" w:name="_1338894428"/>
            <w:bookmarkEnd w:id="29"/>
            <w:bookmarkStart w:id="30" w:name="_1365257550"/>
            <w:bookmarkEnd w:id="30"/>
            <w:bookmarkStart w:id="31" w:name="_1374324904"/>
            <w:bookmarkEnd w:id="31"/>
            <w:bookmarkStart w:id="32" w:name="_1374325010"/>
            <w:bookmarkEnd w:id="32"/>
            <w:bookmarkStart w:id="33" w:name="_1511110497"/>
            <w:bookmarkEnd w:id="33"/>
            <w:bookmarkStart w:id="34" w:name="_1374324666"/>
            <w:bookmarkEnd w:id="34"/>
            <w:bookmarkStart w:id="35" w:name="_1365257536"/>
            <w:bookmarkEnd w:id="35"/>
            <w:bookmarkStart w:id="36" w:name="_1336395859"/>
            <w:bookmarkEnd w:id="36"/>
            <w:bookmarkStart w:id="37" w:name="_1374325179"/>
            <w:bookmarkEnd w:id="37"/>
            <w:bookmarkStart w:id="38" w:name="_1374324848"/>
            <w:bookmarkEnd w:id="38"/>
            <w:bookmarkStart w:id="39" w:name="_1374324842"/>
            <w:bookmarkEnd w:id="39"/>
            <w:bookmarkStart w:id="40" w:name="_1432713872"/>
            <w:bookmarkEnd w:id="40"/>
            <w:bookmarkStart w:id="41" w:name="_1371995977"/>
            <w:bookmarkEnd w:id="41"/>
            <w:bookmarkStart w:id="42" w:name="_1374325106"/>
            <w:bookmarkEnd w:id="42"/>
            <w:bookmarkStart w:id="43" w:name="_1374325347"/>
            <w:bookmarkEnd w:id="43"/>
            <w:bookmarkStart w:id="44" w:name="_1374325175"/>
            <w:bookmarkEnd w:id="44"/>
            <w:bookmarkStart w:id="45" w:name="_1336808471"/>
            <w:bookmarkEnd w:id="45"/>
            <w:bookmarkStart w:id="46" w:name="_1336808250"/>
            <w:bookmarkEnd w:id="46"/>
            <w:bookmarkStart w:id="47" w:name="_1336395786"/>
            <w:bookmarkEnd w:id="47"/>
            <w:bookmarkStart w:id="48" w:name="_1336894516"/>
            <w:bookmarkEnd w:id="48"/>
            <w:bookmarkStart w:id="49" w:name="_1374325119"/>
            <w:bookmarkEnd w:id="49"/>
            <w:bookmarkStart w:id="50" w:name="_1366616906"/>
            <w:bookmarkEnd w:id="50"/>
            <w:bookmarkStart w:id="51" w:name="_1375786264"/>
            <w:bookmarkEnd w:id="51"/>
            <w:bookmarkStart w:id="52" w:name="_1374325200"/>
            <w:bookmarkEnd w:id="52"/>
            <w:bookmarkStart w:id="53" w:name="_1374324985"/>
            <w:bookmarkEnd w:id="53"/>
            <w:bookmarkStart w:id="54" w:name="_1336890744"/>
            <w:bookmarkEnd w:id="54"/>
            <w:bookmarkStart w:id="55" w:name="_1338894474"/>
            <w:bookmarkEnd w:id="55"/>
            <w:bookmarkStart w:id="56" w:name="_1374324702"/>
            <w:bookmarkEnd w:id="56"/>
            <w:bookmarkStart w:id="57" w:name="_1371995982"/>
            <w:bookmarkEnd w:id="57"/>
            <w:r>
              <w:rPr>
                <w:rFonts w:hint="eastAsia"/>
                <w:sz w:val="24"/>
              </w:rPr>
              <w:t>本项目施工期产污环节一览表见下表</w:t>
            </w:r>
            <w:r>
              <w:rPr>
                <w:sz w:val="24"/>
              </w:rPr>
              <w:t>4-1</w:t>
            </w:r>
            <w:r>
              <w:rPr>
                <w:rFonts w:hint="eastAsia"/>
                <w:sz w:val="24"/>
              </w:rPr>
              <w:t>。</w:t>
            </w:r>
          </w:p>
          <w:p w14:paraId="6AD68D54">
            <w:pPr>
              <w:pStyle w:val="132"/>
              <w:rPr>
                <w:b/>
              </w:rPr>
            </w:pPr>
            <w:r>
              <w:rPr>
                <w:rFonts w:hint="eastAsia"/>
                <w:b/>
              </w:rPr>
              <w:t>表</w:t>
            </w:r>
            <w:r>
              <w:rPr>
                <w:b/>
              </w:rPr>
              <w:t>4-1</w:t>
            </w:r>
            <w:r>
              <w:rPr>
                <w:rFonts w:hint="eastAsia"/>
                <w:b/>
              </w:rPr>
              <w:t>施工期产污环节一览表</w:t>
            </w:r>
          </w:p>
          <w:tbl>
            <w:tblPr>
              <w:tblStyle w:val="150"/>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1086"/>
              <w:gridCol w:w="1727"/>
              <w:gridCol w:w="5003"/>
            </w:tblGrid>
            <w:tr w14:paraId="548A50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7" w:type="pct"/>
                  <w:vAlign w:val="center"/>
                </w:tcPr>
                <w:p w14:paraId="5CEF5119">
                  <w:pPr>
                    <w:pStyle w:val="149"/>
                    <w:rPr>
                      <w:rFonts w:hint="default" w:ascii="Times New Roman" w:hAnsi="Times New Roman" w:eastAsia="宋体" w:cs="Times New Roman"/>
                      <w:b/>
                      <w:i w:val="0"/>
                    </w:rPr>
                  </w:pPr>
                  <w:bookmarkStart w:id="58" w:name="OLE_LINK56"/>
                  <w:r>
                    <w:rPr>
                      <w:rFonts w:hint="eastAsia" w:ascii="Times New Roman" w:hAnsi="Times New Roman" w:eastAsia="宋体" w:cs="Times New Roman"/>
                      <w:b/>
                      <w:i w:val="0"/>
                    </w:rPr>
                    <w:t>序号</w:t>
                  </w:r>
                </w:p>
              </w:tc>
              <w:tc>
                <w:tcPr>
                  <w:tcW w:w="638" w:type="pct"/>
                  <w:vAlign w:val="center"/>
                </w:tcPr>
                <w:p w14:paraId="116569B7">
                  <w:pPr>
                    <w:pStyle w:val="149"/>
                    <w:rPr>
                      <w:rFonts w:hint="default" w:ascii="Times New Roman" w:hAnsi="Times New Roman" w:eastAsia="宋体" w:cs="Times New Roman"/>
                      <w:b/>
                      <w:i w:val="0"/>
                    </w:rPr>
                  </w:pPr>
                  <w:r>
                    <w:rPr>
                      <w:rFonts w:hint="eastAsia" w:ascii="Times New Roman" w:hAnsi="Times New Roman" w:eastAsia="宋体" w:cs="Times New Roman"/>
                      <w:b/>
                      <w:i w:val="0"/>
                    </w:rPr>
                    <w:t>类别</w:t>
                  </w:r>
                </w:p>
              </w:tc>
              <w:tc>
                <w:tcPr>
                  <w:tcW w:w="1015" w:type="pct"/>
                  <w:vAlign w:val="center"/>
                </w:tcPr>
                <w:p w14:paraId="4F3614FD">
                  <w:pPr>
                    <w:pStyle w:val="149"/>
                    <w:rPr>
                      <w:rFonts w:hint="default" w:ascii="Times New Roman" w:hAnsi="Times New Roman" w:eastAsia="宋体" w:cs="Times New Roman"/>
                      <w:b/>
                      <w:i w:val="0"/>
                    </w:rPr>
                  </w:pPr>
                  <w:r>
                    <w:rPr>
                      <w:rFonts w:hint="eastAsia" w:ascii="Times New Roman" w:hAnsi="Times New Roman" w:eastAsia="宋体" w:cs="Times New Roman"/>
                      <w:b/>
                      <w:i w:val="0"/>
                    </w:rPr>
                    <w:t>主要污染物</w:t>
                  </w:r>
                </w:p>
              </w:tc>
              <w:tc>
                <w:tcPr>
                  <w:tcW w:w="2941" w:type="pct"/>
                  <w:vAlign w:val="center"/>
                </w:tcPr>
                <w:p w14:paraId="349E2329">
                  <w:pPr>
                    <w:pStyle w:val="149"/>
                    <w:rPr>
                      <w:rFonts w:hint="default" w:ascii="Times New Roman" w:hAnsi="Times New Roman" w:eastAsia="宋体" w:cs="Times New Roman"/>
                      <w:b/>
                      <w:i w:val="0"/>
                    </w:rPr>
                  </w:pPr>
                  <w:r>
                    <w:rPr>
                      <w:rFonts w:hint="eastAsia" w:ascii="Times New Roman" w:hAnsi="Times New Roman" w:eastAsia="宋体" w:cs="Times New Roman"/>
                      <w:b/>
                      <w:i w:val="0"/>
                    </w:rPr>
                    <w:t>处理措施</w:t>
                  </w:r>
                </w:p>
              </w:tc>
            </w:tr>
            <w:tr w14:paraId="0F0B41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7" w:type="pct"/>
                  <w:vAlign w:val="center"/>
                </w:tcPr>
                <w:p w14:paraId="47BD5211">
                  <w:pPr>
                    <w:pStyle w:val="149"/>
                    <w:rPr>
                      <w:rFonts w:eastAsia="Times New Roman"/>
                    </w:rPr>
                  </w:pPr>
                  <w:r>
                    <w:rPr>
                      <w:rFonts w:eastAsia="Times New Roman"/>
                    </w:rPr>
                    <w:t>1</w:t>
                  </w:r>
                </w:p>
              </w:tc>
              <w:tc>
                <w:tcPr>
                  <w:tcW w:w="638" w:type="pct"/>
                  <w:vAlign w:val="center"/>
                </w:tcPr>
                <w:p w14:paraId="4DA81E45">
                  <w:pPr>
                    <w:pStyle w:val="149"/>
                    <w:rPr>
                      <w:rFonts w:eastAsia="Times New Roman"/>
                    </w:rPr>
                  </w:pPr>
                  <w:r>
                    <w:rPr>
                      <w:rFonts w:hint="eastAsia" w:ascii="宋体" w:hAnsi="宋体" w:eastAsia="宋体" w:cs="宋体"/>
                    </w:rPr>
                    <w:t>声坏境</w:t>
                  </w:r>
                </w:p>
              </w:tc>
              <w:tc>
                <w:tcPr>
                  <w:tcW w:w="1015" w:type="pct"/>
                  <w:vAlign w:val="center"/>
                </w:tcPr>
                <w:p w14:paraId="04A2746F">
                  <w:pPr>
                    <w:pStyle w:val="149"/>
                    <w:jc w:val="both"/>
                    <w:rPr>
                      <w:rFonts w:eastAsia="Times New Roman"/>
                    </w:rPr>
                  </w:pPr>
                  <w:r>
                    <w:rPr>
                      <w:rFonts w:hint="eastAsia" w:ascii="宋体" w:hAnsi="宋体" w:eastAsia="宋体" w:cs="宋体"/>
                    </w:rPr>
                    <w:t>施工噪声、运输噪声</w:t>
                  </w:r>
                </w:p>
              </w:tc>
              <w:tc>
                <w:tcPr>
                  <w:tcW w:w="2941" w:type="pct"/>
                  <w:vAlign w:val="center"/>
                </w:tcPr>
                <w:p w14:paraId="1ED87BFB">
                  <w:pPr>
                    <w:pStyle w:val="149"/>
                    <w:jc w:val="both"/>
                    <w:rPr>
                      <w:rFonts w:eastAsia="Times New Roman"/>
                    </w:rPr>
                  </w:pPr>
                  <w:r>
                    <w:rPr>
                      <w:rFonts w:hint="eastAsia" w:ascii="宋体" w:hAnsi="宋体" w:eastAsia="宋体" w:cs="宋体"/>
                    </w:rPr>
                    <w:t>①加强施工期的环境管理和环境监控工作，并接受环保部门的监督与管理；</w:t>
                  </w:r>
                </w:p>
                <w:p w14:paraId="22F2A078">
                  <w:pPr>
                    <w:pStyle w:val="149"/>
                    <w:jc w:val="both"/>
                    <w:rPr>
                      <w:rFonts w:eastAsia="Times New Roman"/>
                    </w:rPr>
                  </w:pPr>
                  <w:r>
                    <w:rPr>
                      <w:rFonts w:hint="eastAsia" w:ascii="宋体" w:hAnsi="宋体" w:eastAsia="宋体" w:cs="宋体"/>
                    </w:rPr>
                    <w:t>②本环评要求升压站产生噪声污染的施工作业只在昼间进行，禁止夜间施工，如因工艺要求</w:t>
                  </w:r>
                  <w:r>
                    <w:rPr>
                      <w:rFonts w:eastAsia="Times New Roman"/>
                    </w:rPr>
                    <w:t xml:space="preserve"> </w:t>
                  </w:r>
                  <w:r>
                    <w:rPr>
                      <w:rFonts w:hint="eastAsia" w:ascii="宋体" w:hAnsi="宋体" w:eastAsia="宋体" w:cs="宋体"/>
                    </w:rPr>
                    <w:t>必须夜间施工且产生环境噪声污染时，则应取得相关部门证明。材料运输车辆进入施工现场时禁止鸣笛，装卸材料时应做到轻拿轻放。</w:t>
                  </w:r>
                </w:p>
              </w:tc>
            </w:tr>
            <w:tr w14:paraId="048750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7" w:type="pct"/>
                  <w:vAlign w:val="center"/>
                </w:tcPr>
                <w:p w14:paraId="3AD74DD0">
                  <w:pPr>
                    <w:pStyle w:val="149"/>
                    <w:rPr>
                      <w:rFonts w:eastAsia="Times New Roman"/>
                    </w:rPr>
                  </w:pPr>
                  <w:r>
                    <w:rPr>
                      <w:rFonts w:eastAsia="Times New Roman"/>
                    </w:rPr>
                    <w:t>2</w:t>
                  </w:r>
                </w:p>
              </w:tc>
              <w:tc>
                <w:tcPr>
                  <w:tcW w:w="638" w:type="pct"/>
                  <w:vAlign w:val="center"/>
                </w:tcPr>
                <w:p w14:paraId="60FC1612">
                  <w:pPr>
                    <w:pStyle w:val="149"/>
                    <w:rPr>
                      <w:rFonts w:eastAsia="Times New Roman"/>
                    </w:rPr>
                  </w:pPr>
                  <w:r>
                    <w:rPr>
                      <w:rFonts w:hint="eastAsia" w:ascii="宋体" w:hAnsi="宋体" w:eastAsia="宋体" w:cs="宋体"/>
                    </w:rPr>
                    <w:t>大气坏境</w:t>
                  </w:r>
                </w:p>
              </w:tc>
              <w:tc>
                <w:tcPr>
                  <w:tcW w:w="1015" w:type="pct"/>
                  <w:vAlign w:val="center"/>
                </w:tcPr>
                <w:p w14:paraId="1CB6378B">
                  <w:pPr>
                    <w:pStyle w:val="149"/>
                    <w:jc w:val="both"/>
                    <w:rPr>
                      <w:rFonts w:eastAsia="Times New Roman"/>
                    </w:rPr>
                  </w:pPr>
                  <w:r>
                    <w:rPr>
                      <w:rFonts w:hint="eastAsia" w:ascii="宋体" w:hAnsi="宋体" w:eastAsia="宋体" w:cs="宋体"/>
                    </w:rPr>
                    <w:t>扬尘、施工机械及运输车辆尾气（</w:t>
                  </w:r>
                  <w:r>
                    <w:rPr>
                      <w:rFonts w:eastAsia="Times New Roman"/>
                    </w:rPr>
                    <w:t>CO</w:t>
                  </w:r>
                  <w:r>
                    <w:rPr>
                      <w:rFonts w:hint="eastAsia" w:ascii="宋体" w:hAnsi="宋体" w:eastAsia="宋体" w:cs="宋体"/>
                    </w:rPr>
                    <w:t>、</w:t>
                  </w:r>
                  <w:r>
                    <w:rPr>
                      <w:rFonts w:eastAsia="Times New Roman"/>
                    </w:rPr>
                    <w:t>NOx</w:t>
                  </w:r>
                  <w:r>
                    <w:rPr>
                      <w:rFonts w:hint="eastAsia" w:ascii="宋体" w:hAnsi="宋体" w:eastAsia="宋体" w:cs="宋体"/>
                    </w:rPr>
                    <w:t>和</w:t>
                  </w:r>
                  <w:r>
                    <w:rPr>
                      <w:rFonts w:hint="eastAsia" w:eastAsia="Times New Roman"/>
                    </w:rPr>
                    <w:t>T</w:t>
                  </w:r>
                  <w:r>
                    <w:rPr>
                      <w:rFonts w:eastAsia="Times New Roman"/>
                    </w:rPr>
                    <w:t>HC</w:t>
                  </w:r>
                  <w:r>
                    <w:rPr>
                      <w:rFonts w:hint="eastAsia" w:ascii="宋体" w:hAnsi="宋体" w:eastAsia="宋体" w:cs="宋体"/>
                    </w:rPr>
                    <w:t>等）</w:t>
                  </w:r>
                </w:p>
              </w:tc>
              <w:tc>
                <w:tcPr>
                  <w:tcW w:w="2941" w:type="pct"/>
                  <w:vAlign w:val="center"/>
                </w:tcPr>
                <w:p w14:paraId="18D9C018">
                  <w:pPr>
                    <w:pStyle w:val="149"/>
                    <w:jc w:val="both"/>
                    <w:rPr>
                      <w:rFonts w:eastAsia="Times New Roman"/>
                    </w:rPr>
                  </w:pPr>
                  <w:r>
                    <w:rPr>
                      <w:rFonts w:eastAsia="Times New Roman"/>
                    </w:rPr>
                    <w:t>1</w:t>
                  </w:r>
                  <w:r>
                    <w:rPr>
                      <w:rFonts w:hint="eastAsia" w:ascii="宋体" w:hAnsi="宋体" w:eastAsia="宋体" w:cs="宋体"/>
                    </w:rPr>
                    <w:t>）临时围挡、遮盖及覆盖；</w:t>
                  </w:r>
                  <w:r>
                    <w:rPr>
                      <w:rFonts w:eastAsia="Times New Roman"/>
                    </w:rPr>
                    <w:t>2</w:t>
                  </w:r>
                  <w:r>
                    <w:rPr>
                      <w:rFonts w:hint="eastAsia" w:ascii="宋体" w:hAnsi="宋体" w:eastAsia="宋体" w:cs="宋体"/>
                    </w:rPr>
                    <w:t>）加强管理，规范装卸操作；</w:t>
                  </w:r>
                  <w:r>
                    <w:rPr>
                      <w:rFonts w:eastAsia="Times New Roman"/>
                    </w:rPr>
                    <w:t>3</w:t>
                  </w:r>
                  <w:r>
                    <w:rPr>
                      <w:rFonts w:hint="eastAsia" w:ascii="宋体" w:hAnsi="宋体" w:eastAsia="宋体" w:cs="宋体"/>
                    </w:rPr>
                    <w:t>）定期喷水压尘；</w:t>
                  </w:r>
                  <w:r>
                    <w:rPr>
                      <w:rFonts w:eastAsia="Times New Roman"/>
                    </w:rPr>
                    <w:t>4</w:t>
                  </w:r>
                  <w:r>
                    <w:rPr>
                      <w:rFonts w:hint="eastAsia" w:ascii="宋体" w:hAnsi="宋体" w:eastAsia="宋体" w:cs="宋体"/>
                    </w:rPr>
                    <w:t>）避免大风作业</w:t>
                  </w:r>
                  <w:r>
                    <w:rPr>
                      <w:rFonts w:eastAsia="Times New Roman"/>
                    </w:rPr>
                    <w:t>5</w:t>
                  </w:r>
                  <w:r>
                    <w:rPr>
                      <w:rFonts w:hint="eastAsia" w:ascii="宋体" w:hAnsi="宋体" w:eastAsia="宋体" w:cs="宋体"/>
                    </w:rPr>
                    <w:t>）加强管理，合理规划运输线路。</w:t>
                  </w:r>
                </w:p>
              </w:tc>
            </w:tr>
            <w:tr w14:paraId="246080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7" w:type="pct"/>
                  <w:vAlign w:val="center"/>
                </w:tcPr>
                <w:p w14:paraId="1CA5F42E">
                  <w:pPr>
                    <w:pStyle w:val="149"/>
                    <w:rPr>
                      <w:rFonts w:eastAsia="Times New Roman"/>
                    </w:rPr>
                  </w:pPr>
                  <w:r>
                    <w:rPr>
                      <w:rFonts w:eastAsia="Times New Roman"/>
                    </w:rPr>
                    <w:t>3</w:t>
                  </w:r>
                </w:p>
              </w:tc>
              <w:tc>
                <w:tcPr>
                  <w:tcW w:w="638" w:type="pct"/>
                  <w:vAlign w:val="center"/>
                </w:tcPr>
                <w:p w14:paraId="15F83D5A">
                  <w:pPr>
                    <w:pStyle w:val="149"/>
                    <w:rPr>
                      <w:rFonts w:eastAsia="Times New Roman"/>
                    </w:rPr>
                  </w:pPr>
                  <w:r>
                    <w:rPr>
                      <w:rFonts w:hint="eastAsia" w:ascii="宋体" w:hAnsi="宋体" w:eastAsia="宋体" w:cs="宋体"/>
                    </w:rPr>
                    <w:t>水环境</w:t>
                  </w:r>
                </w:p>
              </w:tc>
              <w:tc>
                <w:tcPr>
                  <w:tcW w:w="1015" w:type="pct"/>
                  <w:vAlign w:val="center"/>
                </w:tcPr>
                <w:p w14:paraId="5F5219A7">
                  <w:pPr>
                    <w:pStyle w:val="149"/>
                    <w:rPr>
                      <w:rFonts w:eastAsia="Times New Roman"/>
                    </w:rPr>
                  </w:pPr>
                  <w:r>
                    <w:rPr>
                      <w:rFonts w:hint="eastAsia" w:ascii="宋体" w:hAnsi="宋体" w:eastAsia="宋体" w:cs="宋体"/>
                    </w:rPr>
                    <w:t>施工人员生活污水</w:t>
                  </w:r>
                </w:p>
              </w:tc>
              <w:tc>
                <w:tcPr>
                  <w:tcW w:w="2941" w:type="pct"/>
                  <w:vAlign w:val="center"/>
                </w:tcPr>
                <w:p w14:paraId="7E5102D1">
                  <w:pPr>
                    <w:pStyle w:val="149"/>
                    <w:jc w:val="both"/>
                    <w:rPr>
                      <w:rFonts w:eastAsia="Times New Roman"/>
                    </w:rPr>
                  </w:pPr>
                  <w:r>
                    <w:rPr>
                      <w:rFonts w:hint="eastAsia" w:ascii="宋体" w:hAnsi="宋体" w:eastAsia="宋体" w:cs="宋体"/>
                    </w:rPr>
                    <w:t>本项目不设施工营地，依托租用场地设置</w:t>
                  </w:r>
                  <w:r>
                    <w:rPr>
                      <w:rFonts w:eastAsia="Times New Roman"/>
                    </w:rPr>
                    <w:t>1</w:t>
                  </w:r>
                  <w:r>
                    <w:rPr>
                      <w:rFonts w:hint="eastAsia" w:ascii="宋体" w:hAnsi="宋体" w:eastAsia="宋体" w:cs="宋体"/>
                    </w:rPr>
                    <w:t>处施工项目部，用于办公；施工人员租用周边的村庄进行施工生活，依托当地已有生活污水设施处理。</w:t>
                  </w:r>
                </w:p>
              </w:tc>
            </w:tr>
            <w:tr w14:paraId="617F63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7" w:type="pct"/>
                  <w:vAlign w:val="center"/>
                </w:tcPr>
                <w:p w14:paraId="1E442392">
                  <w:pPr>
                    <w:pStyle w:val="149"/>
                    <w:rPr>
                      <w:rFonts w:eastAsia="Times New Roman"/>
                    </w:rPr>
                  </w:pPr>
                  <w:r>
                    <w:rPr>
                      <w:rFonts w:eastAsia="Times New Roman"/>
                    </w:rPr>
                    <w:t>4</w:t>
                  </w:r>
                </w:p>
              </w:tc>
              <w:tc>
                <w:tcPr>
                  <w:tcW w:w="638" w:type="pct"/>
                  <w:vAlign w:val="center"/>
                </w:tcPr>
                <w:p w14:paraId="59638567">
                  <w:pPr>
                    <w:pStyle w:val="149"/>
                    <w:rPr>
                      <w:rFonts w:eastAsia="Times New Roman"/>
                    </w:rPr>
                  </w:pPr>
                  <w:r>
                    <w:rPr>
                      <w:rFonts w:hint="eastAsia" w:ascii="宋体" w:hAnsi="宋体" w:eastAsia="宋体" w:cs="宋体"/>
                    </w:rPr>
                    <w:t>固体废物</w:t>
                  </w:r>
                </w:p>
              </w:tc>
              <w:tc>
                <w:tcPr>
                  <w:tcW w:w="1015" w:type="pct"/>
                  <w:vAlign w:val="center"/>
                </w:tcPr>
                <w:p w14:paraId="2C8FC89B">
                  <w:pPr>
                    <w:pStyle w:val="149"/>
                    <w:jc w:val="both"/>
                    <w:rPr>
                      <w:rFonts w:eastAsia="Times New Roman"/>
                    </w:rPr>
                  </w:pPr>
                  <w:r>
                    <w:rPr>
                      <w:rFonts w:hint="eastAsia" w:ascii="宋体" w:hAnsi="宋体" w:eastAsia="宋体" w:cs="宋体"/>
                    </w:rPr>
                    <w:t>建筑废料、生活垃圾</w:t>
                  </w:r>
                </w:p>
              </w:tc>
              <w:tc>
                <w:tcPr>
                  <w:tcW w:w="2941" w:type="pct"/>
                  <w:vAlign w:val="center"/>
                </w:tcPr>
                <w:p w14:paraId="116C72D5">
                  <w:pPr>
                    <w:pStyle w:val="149"/>
                    <w:jc w:val="both"/>
                    <w:rPr>
                      <w:rFonts w:eastAsia="Times New Roman"/>
                    </w:rPr>
                  </w:pPr>
                  <w:r>
                    <w:rPr>
                      <w:rFonts w:hint="eastAsia" w:ascii="宋体" w:hAnsi="宋体" w:eastAsia="宋体" w:cs="宋体"/>
                    </w:rPr>
                    <w:t>建筑废料施工结束后由施工单位及时清运至政府部门指定的受纳场。生活垃圾由环卫部门定期清运。</w:t>
                  </w:r>
                </w:p>
              </w:tc>
            </w:tr>
            <w:tr w14:paraId="037DD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7" w:type="pct"/>
                  <w:vAlign w:val="center"/>
                </w:tcPr>
                <w:p w14:paraId="3A51E58D">
                  <w:pPr>
                    <w:pStyle w:val="149"/>
                    <w:rPr>
                      <w:rFonts w:eastAsia="Times New Roman"/>
                    </w:rPr>
                  </w:pPr>
                  <w:r>
                    <w:rPr>
                      <w:rFonts w:eastAsia="Times New Roman"/>
                    </w:rPr>
                    <w:t>5</w:t>
                  </w:r>
                </w:p>
              </w:tc>
              <w:tc>
                <w:tcPr>
                  <w:tcW w:w="638" w:type="pct"/>
                  <w:vAlign w:val="center"/>
                </w:tcPr>
                <w:p w14:paraId="4C24FA9B">
                  <w:pPr>
                    <w:pStyle w:val="149"/>
                    <w:rPr>
                      <w:rFonts w:eastAsia="Times New Roman"/>
                    </w:rPr>
                  </w:pPr>
                  <w:r>
                    <w:rPr>
                      <w:rFonts w:hint="eastAsia" w:ascii="宋体" w:hAnsi="宋体" w:eastAsia="宋体" w:cs="宋体"/>
                    </w:rPr>
                    <w:t>生态</w:t>
                  </w:r>
                </w:p>
              </w:tc>
              <w:tc>
                <w:tcPr>
                  <w:tcW w:w="1015" w:type="pct"/>
                  <w:vAlign w:val="center"/>
                </w:tcPr>
                <w:p w14:paraId="1547DC05">
                  <w:pPr>
                    <w:pStyle w:val="149"/>
                    <w:jc w:val="both"/>
                    <w:rPr>
                      <w:rFonts w:eastAsia="Times New Roman"/>
                    </w:rPr>
                  </w:pPr>
                  <w:r>
                    <w:rPr>
                      <w:rFonts w:hint="eastAsia" w:ascii="宋体" w:hAnsi="宋体" w:eastAsia="宋体" w:cs="宋体"/>
                    </w:rPr>
                    <w:t>对土地利用、水土流失、植被类型、生物生存环境的破坏等方面的影响</w:t>
                  </w:r>
                </w:p>
              </w:tc>
              <w:tc>
                <w:tcPr>
                  <w:tcW w:w="2941" w:type="pct"/>
                  <w:vAlign w:val="center"/>
                </w:tcPr>
                <w:p w14:paraId="747B8897">
                  <w:pPr>
                    <w:pStyle w:val="149"/>
                    <w:jc w:val="both"/>
                    <w:rPr>
                      <w:rFonts w:eastAsia="Times New Roman"/>
                    </w:rPr>
                  </w:pPr>
                  <w:r>
                    <w:rPr>
                      <w:rFonts w:hint="eastAsia" w:ascii="宋体" w:hAnsi="宋体" w:eastAsia="宋体" w:cs="宋体"/>
                    </w:rPr>
                    <w:t>采取围挡、覆盖帆布措施；合理安排施工时间；严格限制施工范围；施工结束后及时进行植被恢复。</w:t>
                  </w:r>
                </w:p>
              </w:tc>
            </w:tr>
            <w:bookmarkEnd w:id="58"/>
          </w:tbl>
          <w:p w14:paraId="2B8889B8">
            <w:pPr>
              <w:spacing w:before="120" w:beforeLines="50" w:line="360" w:lineRule="auto"/>
              <w:ind w:firstLine="482" w:firstLineChars="200"/>
              <w:rPr>
                <w:b/>
                <w:bCs/>
                <w:sz w:val="24"/>
              </w:rPr>
            </w:pPr>
            <w:r>
              <w:rPr>
                <w:rFonts w:hint="eastAsia"/>
                <w:b/>
                <w:bCs/>
                <w:sz w:val="24"/>
              </w:rPr>
              <w:t>2、施工期环境影响分析</w:t>
            </w:r>
          </w:p>
          <w:p w14:paraId="44AF5181">
            <w:pPr>
              <w:spacing w:line="360" w:lineRule="auto"/>
              <w:ind w:firstLine="482" w:firstLineChars="200"/>
              <w:rPr>
                <w:b/>
                <w:bCs/>
                <w:sz w:val="24"/>
              </w:rPr>
            </w:pPr>
            <w:r>
              <w:rPr>
                <w:rFonts w:hint="eastAsia"/>
                <w:b/>
                <w:bCs/>
                <w:sz w:val="24"/>
              </w:rPr>
              <w:t>（1）施工期声环境影响分析</w:t>
            </w:r>
          </w:p>
          <w:p w14:paraId="1EB423C8">
            <w:pPr>
              <w:spacing w:line="360" w:lineRule="auto"/>
              <w:ind w:firstLine="480" w:firstLineChars="200"/>
              <w:rPr>
                <w:bCs/>
                <w:sz w:val="24"/>
              </w:rPr>
            </w:pPr>
            <w:r>
              <w:rPr>
                <w:bCs/>
                <w:sz w:val="24"/>
              </w:rPr>
              <w:t>1</w:t>
            </w:r>
            <w:r>
              <w:rPr>
                <w:rFonts w:hint="eastAsia"/>
                <w:bCs/>
                <w:sz w:val="24"/>
              </w:rPr>
              <w:t>）声环境污染源强</w:t>
            </w:r>
          </w:p>
          <w:p w14:paraId="33E5A94D">
            <w:pPr>
              <w:spacing w:line="360" w:lineRule="auto"/>
              <w:ind w:firstLine="480" w:firstLineChars="200"/>
              <w:rPr>
                <w:sz w:val="24"/>
              </w:rPr>
            </w:pPr>
            <w:r>
              <w:rPr>
                <w:rFonts w:hint="eastAsia"/>
                <w:sz w:val="24"/>
              </w:rPr>
              <w:t>储能电站施工噪声源主要有挖掘机、装载机、材料加工机械、运输车辆等，结合《环境噪声与振动控制工程技术导则》</w:t>
            </w:r>
            <w:r>
              <w:rPr>
                <w:sz w:val="24"/>
              </w:rPr>
              <w:t>(HJ2034-2013)</w:t>
            </w:r>
            <w:r>
              <w:rPr>
                <w:rFonts w:hint="eastAsia"/>
                <w:sz w:val="24"/>
              </w:rPr>
              <w:t>，噪声级可达</w:t>
            </w:r>
            <w:r>
              <w:rPr>
                <w:sz w:val="24"/>
              </w:rPr>
              <w:t>80~100dB</w:t>
            </w:r>
            <w:r>
              <w:rPr>
                <w:rFonts w:hint="eastAsia"/>
                <w:sz w:val="24"/>
              </w:rPr>
              <w:t>（</w:t>
            </w:r>
            <w:r>
              <w:rPr>
                <w:sz w:val="24"/>
              </w:rPr>
              <w:t>A</w:t>
            </w:r>
            <w:r>
              <w:rPr>
                <w:rFonts w:hint="eastAsia"/>
                <w:sz w:val="24"/>
              </w:rPr>
              <w:t>）。</w:t>
            </w:r>
          </w:p>
          <w:p w14:paraId="70C84EBA">
            <w:pPr>
              <w:spacing w:line="360" w:lineRule="auto"/>
              <w:ind w:firstLine="480" w:firstLineChars="200"/>
              <w:rPr>
                <w:sz w:val="24"/>
              </w:rPr>
            </w:pPr>
            <w:r>
              <w:rPr>
                <w:rFonts w:hint="eastAsia"/>
                <w:sz w:val="24"/>
              </w:rPr>
              <w:t>①施工准备期：施工准备期内的施工作业主要是进行场地平整、修建围墙，施工噪声源主要有挖掘机、装载机、运输车辆等，噪声可达</w:t>
            </w:r>
            <w:r>
              <w:rPr>
                <w:sz w:val="24"/>
              </w:rPr>
              <w:t>80dB</w:t>
            </w:r>
            <w:r>
              <w:rPr>
                <w:rFonts w:hint="eastAsia"/>
                <w:sz w:val="24"/>
              </w:rPr>
              <w:t>（</w:t>
            </w:r>
            <w:r>
              <w:rPr>
                <w:sz w:val="24"/>
              </w:rPr>
              <w:t>A</w:t>
            </w:r>
            <w:r>
              <w:rPr>
                <w:rFonts w:hint="eastAsia"/>
                <w:sz w:val="24"/>
              </w:rPr>
              <w:t>）。</w:t>
            </w:r>
          </w:p>
          <w:p w14:paraId="372B0240">
            <w:pPr>
              <w:spacing w:line="360" w:lineRule="auto"/>
              <w:ind w:firstLine="480" w:firstLineChars="200"/>
              <w:rPr>
                <w:sz w:val="24"/>
              </w:rPr>
            </w:pPr>
            <w:r>
              <w:rPr>
                <w:rFonts w:hint="eastAsia"/>
                <w:sz w:val="24"/>
              </w:rPr>
              <w:t>②土建施工期：土建施工期内的施工作业主要是构筑基础等土建工作，施工噪声源主要有各种材料加工机械、运输车辆等，噪声可达</w:t>
            </w:r>
            <w:r>
              <w:rPr>
                <w:sz w:val="24"/>
              </w:rPr>
              <w:t>100dB</w:t>
            </w:r>
            <w:r>
              <w:rPr>
                <w:rFonts w:hint="eastAsia"/>
                <w:sz w:val="24"/>
              </w:rPr>
              <w:t>（</w:t>
            </w:r>
            <w:r>
              <w:rPr>
                <w:sz w:val="24"/>
              </w:rPr>
              <w:t>A</w:t>
            </w:r>
            <w:r>
              <w:rPr>
                <w:rFonts w:hint="eastAsia"/>
                <w:sz w:val="24"/>
              </w:rPr>
              <w:t>）。</w:t>
            </w:r>
          </w:p>
          <w:p w14:paraId="21CA8C46">
            <w:pPr>
              <w:spacing w:line="360" w:lineRule="auto"/>
              <w:ind w:firstLine="480" w:firstLineChars="200"/>
              <w:rPr>
                <w:sz w:val="24"/>
              </w:rPr>
            </w:pPr>
            <w:r>
              <w:rPr>
                <w:rFonts w:hint="eastAsia" w:ascii="Cambria Math" w:hAnsi="Cambria Math" w:cs="Cambria Math"/>
                <w:sz w:val="24"/>
              </w:rPr>
              <w:t>③</w:t>
            </w:r>
            <w:r>
              <w:rPr>
                <w:rFonts w:hint="eastAsia"/>
                <w:sz w:val="24"/>
              </w:rPr>
              <w:t>设备安装期：设备安装期内的施工作业主要是将设备安装到位，该时期内噪声源主要是运输车辆等，噪声级为</w:t>
            </w:r>
            <w:r>
              <w:rPr>
                <w:sz w:val="24"/>
              </w:rPr>
              <w:t>80dB</w:t>
            </w:r>
            <w:r>
              <w:rPr>
                <w:rFonts w:hint="eastAsia"/>
                <w:sz w:val="24"/>
              </w:rPr>
              <w:t>（</w:t>
            </w:r>
            <w:r>
              <w:rPr>
                <w:sz w:val="24"/>
              </w:rPr>
              <w:t>A</w:t>
            </w:r>
            <w:r>
              <w:rPr>
                <w:rFonts w:hint="eastAsia"/>
                <w:sz w:val="24"/>
              </w:rPr>
              <w:t>）。</w:t>
            </w:r>
          </w:p>
          <w:p w14:paraId="68795688">
            <w:pPr>
              <w:pStyle w:val="27"/>
              <w:widowControl w:val="0"/>
              <w:autoSpaceDE w:val="0"/>
              <w:autoSpaceDN w:val="0"/>
              <w:adjustRightInd w:val="0"/>
              <w:spacing w:before="0" w:beforeAutospacing="0" w:after="0" w:afterAutospacing="0"/>
              <w:ind w:firstLine="482" w:firstLineChars="200"/>
              <w:jc w:val="center"/>
              <w:rPr>
                <w:rFonts w:ascii="Times New Roman" w:hAnsi="Times New Roman"/>
                <w:b/>
                <w:bCs/>
              </w:rPr>
            </w:pPr>
            <w:r>
              <w:rPr>
                <w:rFonts w:hint="eastAsia" w:ascii="Times New Roman" w:hAnsi="Times New Roman" w:cs="宋体"/>
                <w:b/>
                <w:szCs w:val="24"/>
              </w:rPr>
              <w:t>表</w:t>
            </w:r>
            <w:r>
              <w:rPr>
                <w:rFonts w:ascii="Times New Roman" w:hAnsi="Times New Roman" w:cs="宋体"/>
                <w:b/>
                <w:szCs w:val="24"/>
              </w:rPr>
              <w:t>4-2</w:t>
            </w:r>
            <w:r>
              <w:rPr>
                <w:rFonts w:hint="eastAsia" w:ascii="Times New Roman" w:hAnsi="Times New Roman"/>
                <w:b/>
                <w:bCs/>
                <w:kern w:val="2"/>
                <w:szCs w:val="24"/>
              </w:rPr>
              <w:t>各种施工机械设备噪声值（单位：</w:t>
            </w:r>
            <w:r>
              <w:rPr>
                <w:rFonts w:ascii="Times New Roman" w:hAnsi="Times New Roman"/>
                <w:b/>
                <w:bCs/>
                <w:kern w:val="2"/>
                <w:szCs w:val="24"/>
              </w:rPr>
              <w:t>dB</w:t>
            </w:r>
            <w:r>
              <w:rPr>
                <w:rFonts w:hint="eastAsia" w:ascii="Times New Roman" w:hAnsi="Times New Roman"/>
                <w:b/>
                <w:bCs/>
                <w:kern w:val="2"/>
                <w:szCs w:val="24"/>
              </w:rPr>
              <w:t>（</w:t>
            </w:r>
            <w:r>
              <w:rPr>
                <w:rFonts w:ascii="Times New Roman" w:hAnsi="Times New Roman"/>
                <w:b/>
                <w:bCs/>
                <w:kern w:val="2"/>
                <w:szCs w:val="24"/>
              </w:rPr>
              <w:t>A</w:t>
            </w:r>
            <w:r>
              <w:rPr>
                <w:rFonts w:hint="eastAsia" w:ascii="Times New Roman" w:hAnsi="Times New Roman"/>
                <w:b/>
                <w:bCs/>
                <w:kern w:val="2"/>
                <w:szCs w:val="24"/>
              </w:rPr>
              <w:t>））</w:t>
            </w:r>
          </w:p>
          <w:tbl>
            <w:tblPr>
              <w:tblStyle w:val="150"/>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114"/>
              <w:gridCol w:w="2133"/>
              <w:gridCol w:w="3466"/>
            </w:tblGrid>
            <w:tr w14:paraId="6CE025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68" w:type="pct"/>
                  <w:vAlign w:val="center"/>
                </w:tcPr>
                <w:p w14:paraId="0CE386FC">
                  <w:pPr>
                    <w:pStyle w:val="149"/>
                    <w:rPr>
                      <w:rFonts w:hint="default" w:ascii="Times New Roman" w:hAnsi="Times New Roman" w:eastAsia="宋体" w:cs="Times New Roman"/>
                      <w:b/>
                      <w:i w:val="0"/>
                    </w:rPr>
                  </w:pPr>
                  <w:r>
                    <w:rPr>
                      <w:rFonts w:hint="eastAsia" w:ascii="Times New Roman" w:hAnsi="Times New Roman" w:eastAsia="宋体" w:cs="Times New Roman"/>
                      <w:b/>
                      <w:i w:val="0"/>
                    </w:rPr>
                    <w:t>序号</w:t>
                  </w:r>
                </w:p>
              </w:tc>
              <w:tc>
                <w:tcPr>
                  <w:tcW w:w="1242" w:type="pct"/>
                  <w:vAlign w:val="center"/>
                </w:tcPr>
                <w:p w14:paraId="1C5BBED9">
                  <w:pPr>
                    <w:pStyle w:val="149"/>
                    <w:rPr>
                      <w:rFonts w:hint="default" w:ascii="Times New Roman" w:hAnsi="Times New Roman" w:eastAsia="宋体" w:cs="Times New Roman"/>
                      <w:b/>
                      <w:i w:val="0"/>
                    </w:rPr>
                  </w:pPr>
                  <w:r>
                    <w:rPr>
                      <w:rFonts w:hint="eastAsia" w:ascii="Times New Roman" w:hAnsi="Times New Roman" w:eastAsia="宋体" w:cs="Times New Roman"/>
                      <w:b/>
                      <w:i w:val="0"/>
                    </w:rPr>
                    <w:t>机械类型</w:t>
                  </w:r>
                </w:p>
              </w:tc>
              <w:tc>
                <w:tcPr>
                  <w:tcW w:w="1253" w:type="pct"/>
                  <w:vAlign w:val="center"/>
                </w:tcPr>
                <w:p w14:paraId="0477666F">
                  <w:pPr>
                    <w:pStyle w:val="149"/>
                    <w:rPr>
                      <w:rFonts w:hint="default" w:ascii="Times New Roman" w:hAnsi="Times New Roman" w:eastAsia="宋体" w:cs="Times New Roman"/>
                      <w:b/>
                      <w:i w:val="0"/>
                    </w:rPr>
                  </w:pPr>
                  <w:r>
                    <w:rPr>
                      <w:rFonts w:hint="eastAsia" w:ascii="Times New Roman" w:hAnsi="Times New Roman" w:eastAsia="宋体" w:cs="Times New Roman"/>
                      <w:b/>
                      <w:i w:val="0"/>
                    </w:rPr>
                    <w:t>距离声源（</w:t>
                  </w:r>
                  <w:r>
                    <w:rPr>
                      <w:rFonts w:hint="default" w:ascii="Times New Roman" w:hAnsi="Times New Roman" w:eastAsia="宋体" w:cs="Times New Roman"/>
                      <w:b/>
                      <w:i w:val="0"/>
                    </w:rPr>
                    <w:t>m)</w:t>
                  </w:r>
                </w:p>
              </w:tc>
              <w:tc>
                <w:tcPr>
                  <w:tcW w:w="2036" w:type="pct"/>
                  <w:vAlign w:val="center"/>
                </w:tcPr>
                <w:p w14:paraId="3647512A">
                  <w:pPr>
                    <w:pStyle w:val="149"/>
                    <w:rPr>
                      <w:rFonts w:hint="default" w:ascii="Times New Roman" w:hAnsi="Times New Roman" w:eastAsia="宋体" w:cs="Times New Roman"/>
                      <w:b/>
                      <w:i w:val="0"/>
                    </w:rPr>
                  </w:pPr>
                  <w:r>
                    <w:rPr>
                      <w:rFonts w:hint="eastAsia" w:ascii="Times New Roman" w:hAnsi="Times New Roman" w:eastAsia="宋体" w:cs="Times New Roman"/>
                      <w:b/>
                      <w:i w:val="0"/>
                    </w:rPr>
                    <w:t>单台最大噪声级</w:t>
                  </w:r>
                </w:p>
              </w:tc>
            </w:tr>
            <w:tr w14:paraId="6672F3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68" w:type="pct"/>
                  <w:vAlign w:val="center"/>
                </w:tcPr>
                <w:p w14:paraId="69CE7B34">
                  <w:pPr>
                    <w:pStyle w:val="149"/>
                    <w:rPr>
                      <w:rFonts w:eastAsia="Times New Roman"/>
                    </w:rPr>
                  </w:pPr>
                  <w:r>
                    <w:rPr>
                      <w:rFonts w:eastAsia="Times New Roman"/>
                    </w:rPr>
                    <w:t>1</w:t>
                  </w:r>
                </w:p>
              </w:tc>
              <w:tc>
                <w:tcPr>
                  <w:tcW w:w="1242" w:type="pct"/>
                  <w:vAlign w:val="center"/>
                </w:tcPr>
                <w:p w14:paraId="03679C2B">
                  <w:pPr>
                    <w:pStyle w:val="149"/>
                    <w:rPr>
                      <w:rFonts w:eastAsia="Times New Roman"/>
                    </w:rPr>
                  </w:pPr>
                  <w:r>
                    <w:rPr>
                      <w:rFonts w:hint="eastAsia" w:ascii="宋体" w:hAnsi="宋体" w:eastAsia="宋体"/>
                    </w:rPr>
                    <w:t>装载机</w:t>
                  </w:r>
                </w:p>
              </w:tc>
              <w:tc>
                <w:tcPr>
                  <w:tcW w:w="1253" w:type="pct"/>
                  <w:vAlign w:val="center"/>
                </w:tcPr>
                <w:p w14:paraId="2B932AD1">
                  <w:pPr>
                    <w:pStyle w:val="149"/>
                    <w:rPr>
                      <w:rFonts w:eastAsia="Times New Roman"/>
                    </w:rPr>
                  </w:pPr>
                  <w:r>
                    <w:rPr>
                      <w:rFonts w:eastAsia="Times New Roman"/>
                    </w:rPr>
                    <w:t>5</w:t>
                  </w:r>
                </w:p>
              </w:tc>
              <w:tc>
                <w:tcPr>
                  <w:tcW w:w="2036" w:type="pct"/>
                  <w:vAlign w:val="center"/>
                </w:tcPr>
                <w:p w14:paraId="6E3ADF92">
                  <w:pPr>
                    <w:pStyle w:val="149"/>
                    <w:rPr>
                      <w:rFonts w:eastAsia="Times New Roman"/>
                    </w:rPr>
                  </w:pPr>
                  <w:r>
                    <w:rPr>
                      <w:rFonts w:eastAsia="Times New Roman"/>
                    </w:rPr>
                    <w:t>90</w:t>
                  </w:r>
                </w:p>
              </w:tc>
            </w:tr>
            <w:tr w14:paraId="6AFC1C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68" w:type="pct"/>
                  <w:vAlign w:val="center"/>
                </w:tcPr>
                <w:p w14:paraId="7AB84D1F">
                  <w:pPr>
                    <w:pStyle w:val="149"/>
                    <w:rPr>
                      <w:rFonts w:eastAsia="Times New Roman"/>
                    </w:rPr>
                  </w:pPr>
                  <w:r>
                    <w:rPr>
                      <w:rFonts w:eastAsia="Times New Roman"/>
                    </w:rPr>
                    <w:t>2</w:t>
                  </w:r>
                </w:p>
              </w:tc>
              <w:tc>
                <w:tcPr>
                  <w:tcW w:w="1242" w:type="pct"/>
                  <w:vAlign w:val="center"/>
                </w:tcPr>
                <w:p w14:paraId="77CBA264">
                  <w:pPr>
                    <w:pStyle w:val="149"/>
                    <w:rPr>
                      <w:rFonts w:eastAsia="Times New Roman"/>
                    </w:rPr>
                  </w:pPr>
                  <w:r>
                    <w:rPr>
                      <w:rFonts w:hint="eastAsia" w:ascii="宋体" w:hAnsi="宋体" w:eastAsia="宋体"/>
                    </w:rPr>
                    <w:t>平地机</w:t>
                  </w:r>
                </w:p>
              </w:tc>
              <w:tc>
                <w:tcPr>
                  <w:tcW w:w="1253" w:type="pct"/>
                  <w:vAlign w:val="center"/>
                </w:tcPr>
                <w:p w14:paraId="330F61E4">
                  <w:pPr>
                    <w:pStyle w:val="149"/>
                    <w:rPr>
                      <w:rFonts w:eastAsia="Times New Roman"/>
                    </w:rPr>
                  </w:pPr>
                  <w:r>
                    <w:rPr>
                      <w:rFonts w:eastAsia="Times New Roman"/>
                    </w:rPr>
                    <w:t>5</w:t>
                  </w:r>
                </w:p>
              </w:tc>
              <w:tc>
                <w:tcPr>
                  <w:tcW w:w="2036" w:type="pct"/>
                  <w:vAlign w:val="center"/>
                </w:tcPr>
                <w:p w14:paraId="0BC658FB">
                  <w:pPr>
                    <w:pStyle w:val="149"/>
                    <w:rPr>
                      <w:rFonts w:eastAsia="Times New Roman"/>
                    </w:rPr>
                  </w:pPr>
                  <w:r>
                    <w:rPr>
                      <w:rFonts w:eastAsia="Times New Roman"/>
                    </w:rPr>
                    <w:t>90</w:t>
                  </w:r>
                </w:p>
              </w:tc>
            </w:tr>
            <w:tr w14:paraId="323860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68" w:type="pct"/>
                  <w:vAlign w:val="center"/>
                </w:tcPr>
                <w:p w14:paraId="072B49C6">
                  <w:pPr>
                    <w:pStyle w:val="149"/>
                    <w:rPr>
                      <w:rFonts w:eastAsia="Times New Roman"/>
                    </w:rPr>
                  </w:pPr>
                  <w:r>
                    <w:rPr>
                      <w:rFonts w:eastAsia="Times New Roman"/>
                    </w:rPr>
                    <w:t>3</w:t>
                  </w:r>
                </w:p>
              </w:tc>
              <w:tc>
                <w:tcPr>
                  <w:tcW w:w="1242" w:type="pct"/>
                  <w:vAlign w:val="center"/>
                </w:tcPr>
                <w:p w14:paraId="4F1B2404">
                  <w:pPr>
                    <w:pStyle w:val="149"/>
                    <w:rPr>
                      <w:rFonts w:eastAsia="Times New Roman"/>
                    </w:rPr>
                  </w:pPr>
                  <w:r>
                    <w:rPr>
                      <w:rFonts w:hint="eastAsia" w:ascii="宋体" w:hAnsi="宋体" w:eastAsia="宋体"/>
                    </w:rPr>
                    <w:t>推土机</w:t>
                  </w:r>
                </w:p>
              </w:tc>
              <w:tc>
                <w:tcPr>
                  <w:tcW w:w="1253" w:type="pct"/>
                  <w:vAlign w:val="center"/>
                </w:tcPr>
                <w:p w14:paraId="01BD6BC5">
                  <w:pPr>
                    <w:pStyle w:val="149"/>
                    <w:rPr>
                      <w:rFonts w:eastAsia="Times New Roman"/>
                    </w:rPr>
                  </w:pPr>
                  <w:r>
                    <w:rPr>
                      <w:rFonts w:eastAsia="Times New Roman"/>
                    </w:rPr>
                    <w:t>5</w:t>
                  </w:r>
                </w:p>
              </w:tc>
              <w:tc>
                <w:tcPr>
                  <w:tcW w:w="2036" w:type="pct"/>
                  <w:vAlign w:val="center"/>
                </w:tcPr>
                <w:p w14:paraId="37BB7957">
                  <w:pPr>
                    <w:pStyle w:val="149"/>
                    <w:rPr>
                      <w:rFonts w:eastAsia="Times New Roman"/>
                    </w:rPr>
                  </w:pPr>
                  <w:r>
                    <w:rPr>
                      <w:rFonts w:eastAsia="Times New Roman"/>
                    </w:rPr>
                    <w:t>86</w:t>
                  </w:r>
                </w:p>
              </w:tc>
            </w:tr>
            <w:tr w14:paraId="4E4E34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68" w:type="pct"/>
                  <w:vAlign w:val="center"/>
                </w:tcPr>
                <w:p w14:paraId="41F50842">
                  <w:pPr>
                    <w:pStyle w:val="149"/>
                    <w:rPr>
                      <w:rFonts w:eastAsia="Times New Roman"/>
                    </w:rPr>
                  </w:pPr>
                  <w:r>
                    <w:rPr>
                      <w:rFonts w:eastAsia="Times New Roman"/>
                    </w:rPr>
                    <w:t>4</w:t>
                  </w:r>
                </w:p>
              </w:tc>
              <w:tc>
                <w:tcPr>
                  <w:tcW w:w="1242" w:type="pct"/>
                  <w:vAlign w:val="center"/>
                </w:tcPr>
                <w:p w14:paraId="511E8BAA">
                  <w:pPr>
                    <w:pStyle w:val="149"/>
                    <w:rPr>
                      <w:rFonts w:eastAsia="Times New Roman"/>
                    </w:rPr>
                  </w:pPr>
                  <w:r>
                    <w:rPr>
                      <w:rFonts w:hint="eastAsia" w:ascii="宋体" w:hAnsi="宋体" w:eastAsia="宋体"/>
                    </w:rPr>
                    <w:t>挖掘机</w:t>
                  </w:r>
                </w:p>
              </w:tc>
              <w:tc>
                <w:tcPr>
                  <w:tcW w:w="1253" w:type="pct"/>
                  <w:vAlign w:val="center"/>
                </w:tcPr>
                <w:p w14:paraId="7792A53F">
                  <w:pPr>
                    <w:pStyle w:val="149"/>
                    <w:rPr>
                      <w:rFonts w:eastAsia="Times New Roman"/>
                    </w:rPr>
                  </w:pPr>
                  <w:r>
                    <w:rPr>
                      <w:rFonts w:eastAsia="Times New Roman"/>
                    </w:rPr>
                    <w:t>5</w:t>
                  </w:r>
                </w:p>
              </w:tc>
              <w:tc>
                <w:tcPr>
                  <w:tcW w:w="2036" w:type="pct"/>
                  <w:vAlign w:val="center"/>
                </w:tcPr>
                <w:p w14:paraId="71626298">
                  <w:pPr>
                    <w:pStyle w:val="149"/>
                    <w:rPr>
                      <w:rFonts w:eastAsia="Times New Roman"/>
                    </w:rPr>
                  </w:pPr>
                  <w:r>
                    <w:rPr>
                      <w:rFonts w:eastAsia="Times New Roman"/>
                    </w:rPr>
                    <w:t>84</w:t>
                  </w:r>
                </w:p>
              </w:tc>
            </w:tr>
            <w:tr w14:paraId="7AECD5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68" w:type="pct"/>
                  <w:vAlign w:val="center"/>
                </w:tcPr>
                <w:p w14:paraId="1C5B945B">
                  <w:pPr>
                    <w:pStyle w:val="149"/>
                    <w:rPr>
                      <w:rFonts w:eastAsia="Times New Roman"/>
                    </w:rPr>
                  </w:pPr>
                  <w:r>
                    <w:rPr>
                      <w:rFonts w:eastAsia="Times New Roman"/>
                    </w:rPr>
                    <w:t>5</w:t>
                  </w:r>
                </w:p>
              </w:tc>
              <w:tc>
                <w:tcPr>
                  <w:tcW w:w="1242" w:type="pct"/>
                  <w:vAlign w:val="center"/>
                </w:tcPr>
                <w:p w14:paraId="05B433B5">
                  <w:pPr>
                    <w:pStyle w:val="149"/>
                    <w:rPr>
                      <w:rFonts w:eastAsia="Times New Roman"/>
                    </w:rPr>
                  </w:pPr>
                  <w:r>
                    <w:rPr>
                      <w:rFonts w:hint="eastAsia" w:ascii="宋体" w:hAnsi="宋体" w:eastAsia="宋体"/>
                    </w:rPr>
                    <w:t>混凝土搅拌机</w:t>
                  </w:r>
                </w:p>
              </w:tc>
              <w:tc>
                <w:tcPr>
                  <w:tcW w:w="1253" w:type="pct"/>
                  <w:vAlign w:val="center"/>
                </w:tcPr>
                <w:p w14:paraId="582144C0">
                  <w:pPr>
                    <w:pStyle w:val="149"/>
                    <w:rPr>
                      <w:rFonts w:eastAsia="Times New Roman"/>
                    </w:rPr>
                  </w:pPr>
                  <w:r>
                    <w:rPr>
                      <w:rFonts w:eastAsia="Times New Roman"/>
                    </w:rPr>
                    <w:t>5</w:t>
                  </w:r>
                </w:p>
              </w:tc>
              <w:tc>
                <w:tcPr>
                  <w:tcW w:w="2036" w:type="pct"/>
                  <w:vAlign w:val="center"/>
                </w:tcPr>
                <w:p w14:paraId="463756E0">
                  <w:pPr>
                    <w:pStyle w:val="149"/>
                    <w:rPr>
                      <w:rFonts w:eastAsia="Times New Roman"/>
                    </w:rPr>
                  </w:pPr>
                  <w:r>
                    <w:rPr>
                      <w:rFonts w:eastAsia="Times New Roman"/>
                    </w:rPr>
                    <w:t>85</w:t>
                  </w:r>
                </w:p>
              </w:tc>
            </w:tr>
            <w:tr w14:paraId="314B7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68" w:type="pct"/>
                  <w:vAlign w:val="center"/>
                </w:tcPr>
                <w:p w14:paraId="03D134F4">
                  <w:pPr>
                    <w:pStyle w:val="149"/>
                    <w:rPr>
                      <w:rFonts w:eastAsia="Times New Roman"/>
                    </w:rPr>
                  </w:pPr>
                  <w:r>
                    <w:rPr>
                      <w:rFonts w:eastAsia="Times New Roman"/>
                    </w:rPr>
                    <w:t>6</w:t>
                  </w:r>
                </w:p>
              </w:tc>
              <w:tc>
                <w:tcPr>
                  <w:tcW w:w="1242" w:type="pct"/>
                  <w:vAlign w:val="center"/>
                </w:tcPr>
                <w:p w14:paraId="69EA7702">
                  <w:pPr>
                    <w:pStyle w:val="149"/>
                    <w:rPr>
                      <w:rFonts w:eastAsia="Times New Roman"/>
                    </w:rPr>
                  </w:pPr>
                  <w:r>
                    <w:rPr>
                      <w:rFonts w:hint="eastAsia" w:ascii="宋体" w:hAnsi="宋体" w:eastAsia="宋体"/>
                    </w:rPr>
                    <w:t>卡车</w:t>
                  </w:r>
                </w:p>
              </w:tc>
              <w:tc>
                <w:tcPr>
                  <w:tcW w:w="1253" w:type="pct"/>
                  <w:vAlign w:val="center"/>
                </w:tcPr>
                <w:p w14:paraId="60007BC0">
                  <w:pPr>
                    <w:pStyle w:val="149"/>
                    <w:rPr>
                      <w:rFonts w:eastAsia="Times New Roman"/>
                    </w:rPr>
                  </w:pPr>
                  <w:r>
                    <w:rPr>
                      <w:rFonts w:eastAsia="Times New Roman"/>
                    </w:rPr>
                    <w:t>5</w:t>
                  </w:r>
                </w:p>
              </w:tc>
              <w:tc>
                <w:tcPr>
                  <w:tcW w:w="2036" w:type="pct"/>
                  <w:vAlign w:val="center"/>
                </w:tcPr>
                <w:p w14:paraId="15AEB302">
                  <w:pPr>
                    <w:pStyle w:val="149"/>
                    <w:rPr>
                      <w:rFonts w:eastAsia="Times New Roman"/>
                    </w:rPr>
                  </w:pPr>
                  <w:r>
                    <w:rPr>
                      <w:rFonts w:eastAsia="Times New Roman"/>
                    </w:rPr>
                    <w:t>85</w:t>
                  </w:r>
                </w:p>
              </w:tc>
            </w:tr>
            <w:tr w14:paraId="1B67FD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68" w:type="pct"/>
                  <w:vAlign w:val="center"/>
                </w:tcPr>
                <w:p w14:paraId="5EAC42D2">
                  <w:pPr>
                    <w:pStyle w:val="149"/>
                    <w:rPr>
                      <w:rFonts w:eastAsia="Times New Roman"/>
                    </w:rPr>
                  </w:pPr>
                  <w:r>
                    <w:rPr>
                      <w:rFonts w:eastAsia="Times New Roman"/>
                    </w:rPr>
                    <w:t>7</w:t>
                  </w:r>
                </w:p>
              </w:tc>
              <w:tc>
                <w:tcPr>
                  <w:tcW w:w="1242" w:type="pct"/>
                  <w:vAlign w:val="center"/>
                </w:tcPr>
                <w:p w14:paraId="206F5F0B">
                  <w:pPr>
                    <w:pStyle w:val="149"/>
                    <w:rPr>
                      <w:rFonts w:eastAsia="Times New Roman"/>
                    </w:rPr>
                  </w:pPr>
                  <w:r>
                    <w:rPr>
                      <w:rFonts w:hint="eastAsia" w:ascii="宋体" w:hAnsi="宋体" w:eastAsia="宋体"/>
                    </w:rPr>
                    <w:t>打桩机</w:t>
                  </w:r>
                </w:p>
              </w:tc>
              <w:tc>
                <w:tcPr>
                  <w:tcW w:w="1253" w:type="pct"/>
                  <w:vAlign w:val="center"/>
                </w:tcPr>
                <w:p w14:paraId="29243A32">
                  <w:pPr>
                    <w:pStyle w:val="149"/>
                    <w:rPr>
                      <w:rFonts w:eastAsia="Times New Roman"/>
                    </w:rPr>
                  </w:pPr>
                  <w:r>
                    <w:rPr>
                      <w:rFonts w:eastAsia="Times New Roman"/>
                    </w:rPr>
                    <w:t>5</w:t>
                  </w:r>
                </w:p>
              </w:tc>
              <w:tc>
                <w:tcPr>
                  <w:tcW w:w="2036" w:type="pct"/>
                  <w:vAlign w:val="center"/>
                </w:tcPr>
                <w:p w14:paraId="5007F3D2">
                  <w:pPr>
                    <w:pStyle w:val="149"/>
                    <w:rPr>
                      <w:rFonts w:eastAsia="Times New Roman"/>
                    </w:rPr>
                  </w:pPr>
                  <w:r>
                    <w:rPr>
                      <w:rFonts w:eastAsia="Times New Roman"/>
                    </w:rPr>
                    <w:t>100</w:t>
                  </w:r>
                </w:p>
              </w:tc>
            </w:tr>
          </w:tbl>
          <w:p w14:paraId="6D29F63E">
            <w:pPr>
              <w:pStyle w:val="112"/>
              <w:spacing w:line="360" w:lineRule="auto"/>
              <w:ind w:firstLine="480" w:firstLineChars="200"/>
              <w:rPr>
                <w:sz w:val="24"/>
              </w:rPr>
            </w:pPr>
            <w:r>
              <w:rPr>
                <w:sz w:val="24"/>
              </w:rPr>
              <w:t>2</w:t>
            </w:r>
            <w:r>
              <w:rPr>
                <w:rFonts w:hint="eastAsia"/>
                <w:sz w:val="24"/>
              </w:rPr>
              <w:t>）施工期噪声影响预测</w:t>
            </w:r>
          </w:p>
          <w:p w14:paraId="167DDB1E">
            <w:pPr>
              <w:pStyle w:val="112"/>
              <w:spacing w:line="360" w:lineRule="auto"/>
              <w:ind w:firstLine="480" w:firstLineChars="200"/>
              <w:rPr>
                <w:sz w:val="24"/>
              </w:rPr>
            </w:pPr>
            <w:r>
              <w:rPr>
                <w:rFonts w:hint="eastAsia"/>
                <w:sz w:val="24"/>
              </w:rPr>
              <w:t>施工期预测模式采用《环境影响评价技术导则声环境》（</w:t>
            </w:r>
            <w:r>
              <w:rPr>
                <w:sz w:val="24"/>
              </w:rPr>
              <w:t>HJ2.4-2021</w:t>
            </w:r>
            <w:r>
              <w:rPr>
                <w:rFonts w:hint="eastAsia"/>
                <w:sz w:val="24"/>
              </w:rPr>
              <w:t>）工业噪声中室外点声源预测模式。</w:t>
            </w:r>
          </w:p>
          <w:p w14:paraId="1E75B7C4">
            <w:pPr>
              <w:spacing w:line="360" w:lineRule="auto"/>
              <w:ind w:firstLine="480" w:firstLineChars="200"/>
              <w:rPr>
                <w:sz w:val="24"/>
              </w:rPr>
            </w:pPr>
            <w:r>
              <w:rPr>
                <w:rFonts w:hint="eastAsia"/>
                <w:sz w:val="24"/>
              </w:rPr>
              <w:t>当声源的大小与测试距离相比小得多时，可以将此声源视为点声源，声源噪声衰减的计算公式如下：</w:t>
            </w:r>
          </w:p>
          <w:p w14:paraId="53E64169">
            <w:pPr>
              <w:pStyle w:val="112"/>
              <w:spacing w:line="360" w:lineRule="auto"/>
              <w:ind w:firstLine="480" w:firstLineChars="200"/>
              <w:rPr>
                <w:sz w:val="24"/>
              </w:rPr>
            </w:pPr>
            <w:r>
              <w:rPr>
                <w:sz w:val="24"/>
              </w:rPr>
              <w:drawing>
                <wp:anchor distT="0" distB="0" distL="114300" distR="114300" simplePos="0" relativeHeight="251661312" behindDoc="0" locked="0" layoutInCell="1" allowOverlap="1">
                  <wp:simplePos x="0" y="0"/>
                  <wp:positionH relativeFrom="column">
                    <wp:posOffset>1520825</wp:posOffset>
                  </wp:positionH>
                  <wp:positionV relativeFrom="paragraph">
                    <wp:posOffset>5715</wp:posOffset>
                  </wp:positionV>
                  <wp:extent cx="1130300" cy="431800"/>
                  <wp:effectExtent l="0" t="0" r="0" b="6350"/>
                  <wp:wrapTopAndBottom/>
                  <wp:docPr id="6" name="对象 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对象 8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130300" cy="431800"/>
                          </a:xfrm>
                          <a:prstGeom prst="rect">
                            <a:avLst/>
                          </a:prstGeom>
                          <a:noFill/>
                        </pic:spPr>
                      </pic:pic>
                    </a:graphicData>
                  </a:graphic>
                </wp:anchor>
              </w:drawing>
            </w:r>
            <w:r>
              <w:rPr>
                <w:sz w:val="24"/>
              </w:rPr>
              <w:drawing>
                <wp:anchor distT="0" distB="0" distL="114300" distR="114300" simplePos="0" relativeHeight="251660288" behindDoc="0" locked="0" layoutInCell="0" allowOverlap="1">
                  <wp:simplePos x="0" y="0"/>
                  <wp:positionH relativeFrom="column">
                    <wp:posOffset>0</wp:posOffset>
                  </wp:positionH>
                  <wp:positionV relativeFrom="paragraph">
                    <wp:posOffset>0</wp:posOffset>
                  </wp:positionV>
                  <wp:extent cx="114300" cy="215900"/>
                  <wp:effectExtent l="0" t="0" r="0" b="0"/>
                  <wp:wrapTopAndBottom/>
                  <wp:docPr id="89" name="对象 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对象 8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14300" cy="215900"/>
                          </a:xfrm>
                          <a:prstGeom prst="rect">
                            <a:avLst/>
                          </a:prstGeom>
                          <a:noFill/>
                        </pic:spPr>
                      </pic:pic>
                    </a:graphicData>
                  </a:graphic>
                </wp:anchor>
              </w:drawing>
            </w:r>
            <w:r>
              <w:rPr>
                <w:rFonts w:hint="eastAsia"/>
                <w:sz w:val="24"/>
              </w:rPr>
              <w:t>式中：</w:t>
            </w:r>
            <w:r>
              <w:rPr>
                <w:sz w:val="24"/>
              </w:rPr>
              <w:t>Lp——</w:t>
            </w:r>
            <w:r>
              <w:rPr>
                <w:rFonts w:hint="eastAsia"/>
                <w:sz w:val="24"/>
              </w:rPr>
              <w:t>预测受声点声级增值</w:t>
            </w:r>
            <w:r>
              <w:rPr>
                <w:sz w:val="24"/>
              </w:rPr>
              <w:t>[dB(A)]</w:t>
            </w:r>
            <w:r>
              <w:rPr>
                <w:rFonts w:hint="eastAsia"/>
                <w:sz w:val="24"/>
              </w:rPr>
              <w:t>；</w:t>
            </w:r>
          </w:p>
          <w:p w14:paraId="52FE41C3">
            <w:pPr>
              <w:pStyle w:val="112"/>
              <w:spacing w:line="360" w:lineRule="auto"/>
              <w:ind w:firstLine="480" w:firstLineChars="200"/>
              <w:rPr>
                <w:sz w:val="24"/>
              </w:rPr>
            </w:pPr>
            <w:r>
              <w:rPr>
                <w:sz w:val="24"/>
              </w:rPr>
              <w:t>L0——</w:t>
            </w:r>
            <w:r>
              <w:rPr>
                <w:rFonts w:hint="eastAsia"/>
                <w:sz w:val="24"/>
              </w:rPr>
              <w:t>主要噪声源的室外等效源强值</w:t>
            </w:r>
            <w:r>
              <w:rPr>
                <w:sz w:val="24"/>
              </w:rPr>
              <w:t>[dB(A)]</w:t>
            </w:r>
            <w:r>
              <w:rPr>
                <w:rFonts w:hint="eastAsia"/>
                <w:sz w:val="24"/>
              </w:rPr>
              <w:t>；</w:t>
            </w:r>
          </w:p>
          <w:p w14:paraId="4E0E3802">
            <w:pPr>
              <w:pStyle w:val="112"/>
              <w:spacing w:line="360" w:lineRule="auto"/>
              <w:ind w:firstLine="480"/>
              <w:rPr>
                <w:sz w:val="24"/>
              </w:rPr>
            </w:pPr>
            <w:r>
              <w:rPr>
                <w:sz w:val="24"/>
              </w:rPr>
              <w:t>r——</w:t>
            </w:r>
            <w:r>
              <w:rPr>
                <w:rFonts w:hint="eastAsia"/>
                <w:sz w:val="24"/>
              </w:rPr>
              <w:t>受声点距声源的距离（</w:t>
            </w:r>
            <w:r>
              <w:rPr>
                <w:sz w:val="24"/>
              </w:rPr>
              <w:t>m</w:t>
            </w:r>
            <w:r>
              <w:rPr>
                <w:rFonts w:hint="eastAsia"/>
                <w:sz w:val="24"/>
              </w:rPr>
              <w:t>）。</w:t>
            </w:r>
          </w:p>
          <w:p w14:paraId="0CED8F34">
            <w:pPr>
              <w:spacing w:line="360" w:lineRule="auto"/>
              <w:ind w:firstLine="480" w:firstLineChars="200"/>
              <w:rPr>
                <w:sz w:val="24"/>
              </w:rPr>
            </w:pPr>
            <w:r>
              <w:rPr>
                <w:rFonts w:hint="eastAsia"/>
                <w:sz w:val="24"/>
              </w:rPr>
              <w:t>通过点声源噪声衰减模式，预测在不采取任何噪声污染防治措施情况下施工期间主要噪声源随距离的衰减变化情况，具体结果见下表。</w:t>
            </w:r>
          </w:p>
          <w:p w14:paraId="0F7BB4F7">
            <w:pPr>
              <w:pStyle w:val="125"/>
              <w:spacing w:line="240" w:lineRule="auto"/>
              <w:ind w:firstLine="482"/>
              <w:jc w:val="center"/>
              <w:rPr>
                <w:b/>
                <w:color w:val="auto"/>
              </w:rPr>
            </w:pPr>
            <w:r>
              <w:rPr>
                <w:rFonts w:hint="eastAsia"/>
                <w:b/>
                <w:color w:val="auto"/>
              </w:rPr>
              <w:t>表</w:t>
            </w:r>
            <w:r>
              <w:rPr>
                <w:b/>
                <w:color w:val="auto"/>
              </w:rPr>
              <w:t>4-3</w:t>
            </w:r>
            <w:r>
              <w:rPr>
                <w:rFonts w:hint="eastAsia"/>
                <w:b/>
                <w:color w:val="auto"/>
              </w:rPr>
              <w:t>主要施工机械不同距离处的噪声级单位：</w:t>
            </w:r>
            <w:r>
              <w:rPr>
                <w:b/>
                <w:color w:val="auto"/>
              </w:rPr>
              <w:t>dB</w:t>
            </w:r>
            <w:r>
              <w:rPr>
                <w:rFonts w:hint="eastAsia"/>
                <w:b/>
                <w:color w:val="auto"/>
              </w:rPr>
              <w:t>（</w:t>
            </w:r>
            <w:r>
              <w:rPr>
                <w:b/>
                <w:color w:val="auto"/>
              </w:rPr>
              <w:t>A</w:t>
            </w:r>
            <w:r>
              <w:rPr>
                <w:rFonts w:hint="eastAsia"/>
                <w:b/>
                <w:color w:val="auto"/>
              </w:rPr>
              <w:t>）</w:t>
            </w:r>
          </w:p>
          <w:tbl>
            <w:tblPr>
              <w:tblStyle w:val="150"/>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847"/>
              <w:gridCol w:w="459"/>
              <w:gridCol w:w="652"/>
              <w:gridCol w:w="652"/>
              <w:gridCol w:w="652"/>
              <w:gridCol w:w="652"/>
              <w:gridCol w:w="652"/>
              <w:gridCol w:w="652"/>
              <w:gridCol w:w="652"/>
              <w:gridCol w:w="652"/>
              <w:gridCol w:w="652"/>
              <w:gridCol w:w="657"/>
            </w:tblGrid>
            <w:tr w14:paraId="4BFAE4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restart"/>
                  <w:vAlign w:val="center"/>
                </w:tcPr>
                <w:p w14:paraId="2E74346C">
                  <w:pPr>
                    <w:pStyle w:val="149"/>
                    <w:rPr>
                      <w:rFonts w:hint="default" w:ascii="Times New Roman" w:hAnsi="Times New Roman" w:eastAsia="宋体" w:cs="Times New Roman"/>
                      <w:b/>
                      <w:i w:val="0"/>
                    </w:rPr>
                  </w:pPr>
                  <w:r>
                    <w:rPr>
                      <w:rFonts w:hint="eastAsia" w:ascii="Times New Roman" w:hAnsi="Times New Roman" w:eastAsia="宋体" w:cs="Times New Roman"/>
                      <w:b/>
                      <w:i w:val="0"/>
                    </w:rPr>
                    <w:t>序号</w:t>
                  </w:r>
                </w:p>
              </w:tc>
              <w:tc>
                <w:tcPr>
                  <w:tcW w:w="498" w:type="pct"/>
                  <w:vMerge w:val="restart"/>
                  <w:vAlign w:val="center"/>
                </w:tcPr>
                <w:p w14:paraId="54224541">
                  <w:pPr>
                    <w:pStyle w:val="149"/>
                    <w:rPr>
                      <w:rFonts w:hint="default" w:ascii="Times New Roman" w:hAnsi="Times New Roman" w:eastAsia="宋体" w:cs="Times New Roman"/>
                      <w:b/>
                      <w:i w:val="0"/>
                    </w:rPr>
                  </w:pPr>
                  <w:r>
                    <w:rPr>
                      <w:rFonts w:hint="eastAsia" w:ascii="Times New Roman" w:hAnsi="Times New Roman" w:eastAsia="宋体" w:cs="Times New Roman"/>
                      <w:b/>
                      <w:i w:val="0"/>
                    </w:rPr>
                    <w:t>声源</w:t>
                  </w:r>
                </w:p>
              </w:tc>
              <w:tc>
                <w:tcPr>
                  <w:tcW w:w="4103" w:type="pct"/>
                  <w:gridSpan w:val="11"/>
                  <w:vAlign w:val="center"/>
                </w:tcPr>
                <w:p w14:paraId="334EBF6D">
                  <w:pPr>
                    <w:pStyle w:val="149"/>
                    <w:rPr>
                      <w:rFonts w:hint="default" w:ascii="Times New Roman" w:hAnsi="Times New Roman" w:eastAsia="宋体" w:cs="Times New Roman"/>
                      <w:b/>
                      <w:i w:val="0"/>
                    </w:rPr>
                  </w:pPr>
                  <w:r>
                    <w:rPr>
                      <w:rFonts w:hint="eastAsia" w:ascii="Times New Roman" w:hAnsi="Times New Roman" w:eastAsia="宋体" w:cs="Times New Roman"/>
                      <w:b/>
                      <w:i w:val="0"/>
                    </w:rPr>
                    <w:t>距声源距离（</w:t>
                  </w:r>
                  <w:r>
                    <w:rPr>
                      <w:rFonts w:hint="default" w:ascii="Times New Roman" w:hAnsi="Times New Roman" w:eastAsia="宋体" w:cs="Times New Roman"/>
                      <w:b/>
                      <w:i w:val="0"/>
                    </w:rPr>
                    <w:t>m</w:t>
                  </w:r>
                  <w:r>
                    <w:rPr>
                      <w:rFonts w:hint="eastAsia" w:ascii="Times New Roman" w:hAnsi="Times New Roman" w:eastAsia="宋体" w:cs="Times New Roman"/>
                      <w:b/>
                      <w:i w:val="0"/>
                    </w:rPr>
                    <w:t>）</w:t>
                  </w:r>
                </w:p>
              </w:tc>
            </w:tr>
            <w:tr w14:paraId="7A5B2E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vAlign w:val="center"/>
                </w:tcPr>
                <w:p w14:paraId="528C3A81">
                  <w:pPr>
                    <w:pStyle w:val="149"/>
                    <w:rPr>
                      <w:rFonts w:eastAsia="Times New Roman"/>
                    </w:rPr>
                  </w:pPr>
                </w:p>
              </w:tc>
              <w:tc>
                <w:tcPr>
                  <w:tcW w:w="498" w:type="pct"/>
                  <w:vMerge w:val="continue"/>
                  <w:vAlign w:val="center"/>
                </w:tcPr>
                <w:p w14:paraId="5692F161">
                  <w:pPr>
                    <w:pStyle w:val="149"/>
                    <w:rPr>
                      <w:rFonts w:eastAsia="Times New Roman"/>
                    </w:rPr>
                  </w:pPr>
                </w:p>
              </w:tc>
              <w:tc>
                <w:tcPr>
                  <w:tcW w:w="270" w:type="pct"/>
                  <w:vAlign w:val="center"/>
                </w:tcPr>
                <w:p w14:paraId="3AE3FE1D">
                  <w:pPr>
                    <w:pStyle w:val="149"/>
                    <w:rPr>
                      <w:rFonts w:eastAsia="Times New Roman"/>
                    </w:rPr>
                  </w:pPr>
                  <w:r>
                    <w:rPr>
                      <w:rFonts w:eastAsia="Times New Roman"/>
                    </w:rPr>
                    <w:t>5</w:t>
                  </w:r>
                </w:p>
              </w:tc>
              <w:tc>
                <w:tcPr>
                  <w:tcW w:w="383" w:type="pct"/>
                  <w:vAlign w:val="center"/>
                </w:tcPr>
                <w:p w14:paraId="323BE731">
                  <w:pPr>
                    <w:pStyle w:val="149"/>
                    <w:rPr>
                      <w:rFonts w:eastAsia="Times New Roman"/>
                    </w:rPr>
                  </w:pPr>
                  <w:r>
                    <w:rPr>
                      <w:rFonts w:eastAsia="Times New Roman"/>
                    </w:rPr>
                    <w:t>10</w:t>
                  </w:r>
                </w:p>
              </w:tc>
              <w:tc>
                <w:tcPr>
                  <w:tcW w:w="383" w:type="pct"/>
                  <w:vAlign w:val="center"/>
                </w:tcPr>
                <w:p w14:paraId="12CFEC10">
                  <w:pPr>
                    <w:pStyle w:val="149"/>
                    <w:rPr>
                      <w:rFonts w:eastAsia="Times New Roman"/>
                    </w:rPr>
                  </w:pPr>
                  <w:r>
                    <w:rPr>
                      <w:rFonts w:eastAsia="Times New Roman"/>
                    </w:rPr>
                    <w:t>20</w:t>
                  </w:r>
                </w:p>
              </w:tc>
              <w:tc>
                <w:tcPr>
                  <w:tcW w:w="383" w:type="pct"/>
                  <w:vAlign w:val="center"/>
                </w:tcPr>
                <w:p w14:paraId="0EF2547B">
                  <w:pPr>
                    <w:pStyle w:val="149"/>
                    <w:rPr>
                      <w:rFonts w:eastAsia="Times New Roman"/>
                    </w:rPr>
                  </w:pPr>
                  <w:r>
                    <w:rPr>
                      <w:rFonts w:eastAsia="Times New Roman"/>
                    </w:rPr>
                    <w:t>30</w:t>
                  </w:r>
                </w:p>
              </w:tc>
              <w:tc>
                <w:tcPr>
                  <w:tcW w:w="383" w:type="pct"/>
                  <w:vAlign w:val="center"/>
                </w:tcPr>
                <w:p w14:paraId="442EE02A">
                  <w:pPr>
                    <w:pStyle w:val="149"/>
                    <w:rPr>
                      <w:rFonts w:eastAsia="Times New Roman"/>
                    </w:rPr>
                  </w:pPr>
                  <w:r>
                    <w:rPr>
                      <w:rFonts w:eastAsia="Times New Roman"/>
                    </w:rPr>
                    <w:t>40</w:t>
                  </w:r>
                </w:p>
              </w:tc>
              <w:tc>
                <w:tcPr>
                  <w:tcW w:w="383" w:type="pct"/>
                  <w:vAlign w:val="center"/>
                </w:tcPr>
                <w:p w14:paraId="15024E01">
                  <w:pPr>
                    <w:pStyle w:val="149"/>
                    <w:rPr>
                      <w:rFonts w:eastAsia="Times New Roman"/>
                    </w:rPr>
                  </w:pPr>
                  <w:r>
                    <w:rPr>
                      <w:rFonts w:eastAsia="Times New Roman"/>
                    </w:rPr>
                    <w:t>50</w:t>
                  </w:r>
                </w:p>
              </w:tc>
              <w:tc>
                <w:tcPr>
                  <w:tcW w:w="383" w:type="pct"/>
                  <w:vAlign w:val="center"/>
                </w:tcPr>
                <w:p w14:paraId="0A0F8825">
                  <w:pPr>
                    <w:pStyle w:val="149"/>
                    <w:rPr>
                      <w:rFonts w:eastAsia="Times New Roman"/>
                    </w:rPr>
                  </w:pPr>
                  <w:r>
                    <w:rPr>
                      <w:rFonts w:eastAsia="Times New Roman"/>
                    </w:rPr>
                    <w:t>70</w:t>
                  </w:r>
                </w:p>
              </w:tc>
              <w:tc>
                <w:tcPr>
                  <w:tcW w:w="383" w:type="pct"/>
                  <w:vAlign w:val="center"/>
                </w:tcPr>
                <w:p w14:paraId="0CC5CCFE">
                  <w:pPr>
                    <w:pStyle w:val="149"/>
                    <w:rPr>
                      <w:rFonts w:eastAsia="Times New Roman"/>
                    </w:rPr>
                  </w:pPr>
                  <w:r>
                    <w:rPr>
                      <w:rFonts w:eastAsia="Times New Roman"/>
                    </w:rPr>
                    <w:t>90</w:t>
                  </w:r>
                </w:p>
              </w:tc>
              <w:tc>
                <w:tcPr>
                  <w:tcW w:w="383" w:type="pct"/>
                  <w:vAlign w:val="center"/>
                </w:tcPr>
                <w:p w14:paraId="57FF96BB">
                  <w:pPr>
                    <w:pStyle w:val="149"/>
                    <w:rPr>
                      <w:rFonts w:eastAsia="Times New Roman"/>
                    </w:rPr>
                  </w:pPr>
                  <w:r>
                    <w:rPr>
                      <w:rFonts w:eastAsia="Times New Roman"/>
                    </w:rPr>
                    <w:t>120</w:t>
                  </w:r>
                </w:p>
              </w:tc>
              <w:tc>
                <w:tcPr>
                  <w:tcW w:w="383" w:type="pct"/>
                  <w:vAlign w:val="center"/>
                </w:tcPr>
                <w:p w14:paraId="65338FA6">
                  <w:pPr>
                    <w:pStyle w:val="149"/>
                    <w:rPr>
                      <w:rFonts w:eastAsia="Times New Roman"/>
                    </w:rPr>
                  </w:pPr>
                  <w:r>
                    <w:rPr>
                      <w:rFonts w:eastAsia="Times New Roman"/>
                    </w:rPr>
                    <w:t>150</w:t>
                  </w:r>
                </w:p>
              </w:tc>
              <w:tc>
                <w:tcPr>
                  <w:tcW w:w="384" w:type="pct"/>
                  <w:vAlign w:val="center"/>
                </w:tcPr>
                <w:p w14:paraId="4A6BA914">
                  <w:pPr>
                    <w:pStyle w:val="149"/>
                    <w:rPr>
                      <w:rFonts w:eastAsia="Times New Roman"/>
                    </w:rPr>
                  </w:pPr>
                  <w:r>
                    <w:rPr>
                      <w:rFonts w:eastAsia="Times New Roman"/>
                    </w:rPr>
                    <w:t>200</w:t>
                  </w:r>
                </w:p>
              </w:tc>
            </w:tr>
            <w:tr w14:paraId="64F0C3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Align w:val="center"/>
                </w:tcPr>
                <w:p w14:paraId="4E73E1CF">
                  <w:pPr>
                    <w:pStyle w:val="149"/>
                    <w:rPr>
                      <w:rFonts w:eastAsia="Times New Roman"/>
                    </w:rPr>
                  </w:pPr>
                  <w:r>
                    <w:rPr>
                      <w:rFonts w:eastAsia="Times New Roman"/>
                    </w:rPr>
                    <w:t>1</w:t>
                  </w:r>
                </w:p>
              </w:tc>
              <w:tc>
                <w:tcPr>
                  <w:tcW w:w="498" w:type="pct"/>
                  <w:vAlign w:val="center"/>
                </w:tcPr>
                <w:p w14:paraId="6DCA9C5B">
                  <w:pPr>
                    <w:pStyle w:val="149"/>
                    <w:rPr>
                      <w:rFonts w:eastAsia="Times New Roman"/>
                    </w:rPr>
                  </w:pPr>
                  <w:r>
                    <w:rPr>
                      <w:rFonts w:hint="eastAsia" w:ascii="宋体" w:hAnsi="宋体" w:eastAsia="宋体" w:cs="宋体"/>
                    </w:rPr>
                    <w:t>装载机</w:t>
                  </w:r>
                </w:p>
              </w:tc>
              <w:tc>
                <w:tcPr>
                  <w:tcW w:w="270" w:type="pct"/>
                  <w:vAlign w:val="center"/>
                </w:tcPr>
                <w:p w14:paraId="72C67B42">
                  <w:pPr>
                    <w:pStyle w:val="149"/>
                    <w:rPr>
                      <w:rFonts w:eastAsia="Times New Roman"/>
                    </w:rPr>
                  </w:pPr>
                  <w:r>
                    <w:rPr>
                      <w:rFonts w:eastAsia="Times New Roman"/>
                    </w:rPr>
                    <w:t>90</w:t>
                  </w:r>
                </w:p>
              </w:tc>
              <w:tc>
                <w:tcPr>
                  <w:tcW w:w="383" w:type="pct"/>
                  <w:vAlign w:val="center"/>
                </w:tcPr>
                <w:p w14:paraId="5F4F5776">
                  <w:pPr>
                    <w:pStyle w:val="149"/>
                    <w:rPr>
                      <w:rFonts w:eastAsia="Times New Roman"/>
                    </w:rPr>
                  </w:pPr>
                  <w:r>
                    <w:rPr>
                      <w:rFonts w:eastAsia="Times New Roman"/>
                    </w:rPr>
                    <w:t>84</w:t>
                  </w:r>
                </w:p>
              </w:tc>
              <w:tc>
                <w:tcPr>
                  <w:tcW w:w="383" w:type="pct"/>
                  <w:vAlign w:val="center"/>
                </w:tcPr>
                <w:p w14:paraId="53CAEE81">
                  <w:pPr>
                    <w:pStyle w:val="149"/>
                    <w:rPr>
                      <w:rFonts w:eastAsia="Times New Roman"/>
                    </w:rPr>
                  </w:pPr>
                  <w:r>
                    <w:rPr>
                      <w:rFonts w:eastAsia="Times New Roman"/>
                    </w:rPr>
                    <w:t>78</w:t>
                  </w:r>
                </w:p>
              </w:tc>
              <w:tc>
                <w:tcPr>
                  <w:tcW w:w="383" w:type="pct"/>
                  <w:vAlign w:val="center"/>
                </w:tcPr>
                <w:p w14:paraId="7FAFCF69">
                  <w:pPr>
                    <w:pStyle w:val="149"/>
                    <w:rPr>
                      <w:rFonts w:eastAsia="Times New Roman"/>
                    </w:rPr>
                  </w:pPr>
                  <w:r>
                    <w:rPr>
                      <w:rFonts w:eastAsia="Times New Roman"/>
                    </w:rPr>
                    <w:t>74</w:t>
                  </w:r>
                </w:p>
              </w:tc>
              <w:tc>
                <w:tcPr>
                  <w:tcW w:w="383" w:type="pct"/>
                  <w:vAlign w:val="center"/>
                </w:tcPr>
                <w:p w14:paraId="431C5E9D">
                  <w:pPr>
                    <w:pStyle w:val="149"/>
                    <w:rPr>
                      <w:rFonts w:eastAsia="Times New Roman"/>
                    </w:rPr>
                  </w:pPr>
                  <w:r>
                    <w:rPr>
                      <w:rFonts w:eastAsia="Times New Roman"/>
                    </w:rPr>
                    <w:t>72</w:t>
                  </w:r>
                </w:p>
              </w:tc>
              <w:tc>
                <w:tcPr>
                  <w:tcW w:w="383" w:type="pct"/>
                  <w:vAlign w:val="center"/>
                </w:tcPr>
                <w:p w14:paraId="01EB0A95">
                  <w:pPr>
                    <w:pStyle w:val="149"/>
                    <w:rPr>
                      <w:rFonts w:eastAsia="Times New Roman"/>
                    </w:rPr>
                  </w:pPr>
                  <w:r>
                    <w:rPr>
                      <w:rFonts w:eastAsia="Times New Roman"/>
                    </w:rPr>
                    <w:t>70</w:t>
                  </w:r>
                </w:p>
              </w:tc>
              <w:tc>
                <w:tcPr>
                  <w:tcW w:w="383" w:type="pct"/>
                  <w:vAlign w:val="center"/>
                </w:tcPr>
                <w:p w14:paraId="4A52CFAB">
                  <w:pPr>
                    <w:pStyle w:val="149"/>
                    <w:rPr>
                      <w:rFonts w:eastAsia="Times New Roman"/>
                    </w:rPr>
                  </w:pPr>
                  <w:r>
                    <w:rPr>
                      <w:rFonts w:eastAsia="Times New Roman"/>
                    </w:rPr>
                    <w:t>67</w:t>
                  </w:r>
                </w:p>
              </w:tc>
              <w:tc>
                <w:tcPr>
                  <w:tcW w:w="383" w:type="pct"/>
                  <w:vAlign w:val="center"/>
                </w:tcPr>
                <w:p w14:paraId="63915EDF">
                  <w:pPr>
                    <w:pStyle w:val="149"/>
                    <w:rPr>
                      <w:rFonts w:eastAsia="Times New Roman"/>
                    </w:rPr>
                  </w:pPr>
                  <w:r>
                    <w:rPr>
                      <w:rFonts w:eastAsia="Times New Roman"/>
                    </w:rPr>
                    <w:t>65</w:t>
                  </w:r>
                </w:p>
              </w:tc>
              <w:tc>
                <w:tcPr>
                  <w:tcW w:w="383" w:type="pct"/>
                  <w:vAlign w:val="center"/>
                </w:tcPr>
                <w:p w14:paraId="52920F15">
                  <w:pPr>
                    <w:pStyle w:val="149"/>
                    <w:rPr>
                      <w:rFonts w:eastAsia="Times New Roman"/>
                    </w:rPr>
                  </w:pPr>
                  <w:r>
                    <w:rPr>
                      <w:rFonts w:eastAsia="Times New Roman"/>
                    </w:rPr>
                    <w:t>62</w:t>
                  </w:r>
                </w:p>
              </w:tc>
              <w:tc>
                <w:tcPr>
                  <w:tcW w:w="383" w:type="pct"/>
                  <w:vAlign w:val="center"/>
                </w:tcPr>
                <w:p w14:paraId="64F949BF">
                  <w:pPr>
                    <w:pStyle w:val="149"/>
                    <w:rPr>
                      <w:rFonts w:eastAsia="Times New Roman"/>
                    </w:rPr>
                  </w:pPr>
                  <w:r>
                    <w:rPr>
                      <w:rFonts w:eastAsia="Times New Roman"/>
                    </w:rPr>
                    <w:t>61</w:t>
                  </w:r>
                </w:p>
              </w:tc>
              <w:tc>
                <w:tcPr>
                  <w:tcW w:w="384" w:type="pct"/>
                  <w:vAlign w:val="center"/>
                </w:tcPr>
                <w:p w14:paraId="0B2AC61D">
                  <w:pPr>
                    <w:pStyle w:val="149"/>
                    <w:rPr>
                      <w:rFonts w:eastAsia="Times New Roman"/>
                    </w:rPr>
                  </w:pPr>
                  <w:r>
                    <w:rPr>
                      <w:rFonts w:eastAsia="Times New Roman"/>
                    </w:rPr>
                    <w:t>58</w:t>
                  </w:r>
                </w:p>
              </w:tc>
            </w:tr>
            <w:tr w14:paraId="176FAD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Align w:val="center"/>
                </w:tcPr>
                <w:p w14:paraId="7D80B89B">
                  <w:pPr>
                    <w:pStyle w:val="149"/>
                    <w:rPr>
                      <w:rFonts w:eastAsia="Times New Roman"/>
                    </w:rPr>
                  </w:pPr>
                  <w:r>
                    <w:rPr>
                      <w:rFonts w:eastAsia="Times New Roman"/>
                    </w:rPr>
                    <w:t>2</w:t>
                  </w:r>
                </w:p>
              </w:tc>
              <w:tc>
                <w:tcPr>
                  <w:tcW w:w="498" w:type="pct"/>
                  <w:vAlign w:val="center"/>
                </w:tcPr>
                <w:p w14:paraId="3A6DB502">
                  <w:pPr>
                    <w:pStyle w:val="149"/>
                    <w:rPr>
                      <w:rFonts w:eastAsia="Times New Roman"/>
                    </w:rPr>
                  </w:pPr>
                  <w:r>
                    <w:rPr>
                      <w:rFonts w:hint="eastAsia" w:ascii="宋体" w:hAnsi="宋体" w:eastAsia="宋体" w:cs="宋体"/>
                    </w:rPr>
                    <w:t>平地机</w:t>
                  </w:r>
                </w:p>
              </w:tc>
              <w:tc>
                <w:tcPr>
                  <w:tcW w:w="270" w:type="pct"/>
                  <w:vAlign w:val="center"/>
                </w:tcPr>
                <w:p w14:paraId="48D1D317">
                  <w:pPr>
                    <w:pStyle w:val="149"/>
                    <w:rPr>
                      <w:rFonts w:eastAsia="Times New Roman"/>
                    </w:rPr>
                  </w:pPr>
                  <w:r>
                    <w:rPr>
                      <w:rFonts w:eastAsia="Times New Roman"/>
                    </w:rPr>
                    <w:t>90</w:t>
                  </w:r>
                </w:p>
              </w:tc>
              <w:tc>
                <w:tcPr>
                  <w:tcW w:w="383" w:type="pct"/>
                  <w:vAlign w:val="center"/>
                </w:tcPr>
                <w:p w14:paraId="01019513">
                  <w:pPr>
                    <w:pStyle w:val="149"/>
                    <w:rPr>
                      <w:rFonts w:eastAsia="Times New Roman"/>
                    </w:rPr>
                  </w:pPr>
                  <w:r>
                    <w:rPr>
                      <w:rFonts w:eastAsia="Times New Roman"/>
                    </w:rPr>
                    <w:t>84</w:t>
                  </w:r>
                </w:p>
              </w:tc>
              <w:tc>
                <w:tcPr>
                  <w:tcW w:w="383" w:type="pct"/>
                  <w:vAlign w:val="center"/>
                </w:tcPr>
                <w:p w14:paraId="0EB29F12">
                  <w:pPr>
                    <w:pStyle w:val="149"/>
                    <w:rPr>
                      <w:rFonts w:eastAsia="Times New Roman"/>
                    </w:rPr>
                  </w:pPr>
                  <w:r>
                    <w:rPr>
                      <w:rFonts w:eastAsia="Times New Roman"/>
                    </w:rPr>
                    <w:t>78</w:t>
                  </w:r>
                </w:p>
              </w:tc>
              <w:tc>
                <w:tcPr>
                  <w:tcW w:w="383" w:type="pct"/>
                  <w:vAlign w:val="center"/>
                </w:tcPr>
                <w:p w14:paraId="316DEC39">
                  <w:pPr>
                    <w:pStyle w:val="149"/>
                    <w:rPr>
                      <w:rFonts w:eastAsia="Times New Roman"/>
                    </w:rPr>
                  </w:pPr>
                  <w:r>
                    <w:rPr>
                      <w:rFonts w:eastAsia="Times New Roman"/>
                    </w:rPr>
                    <w:t>74</w:t>
                  </w:r>
                </w:p>
              </w:tc>
              <w:tc>
                <w:tcPr>
                  <w:tcW w:w="383" w:type="pct"/>
                  <w:vAlign w:val="center"/>
                </w:tcPr>
                <w:p w14:paraId="2BC79238">
                  <w:pPr>
                    <w:pStyle w:val="149"/>
                    <w:rPr>
                      <w:rFonts w:eastAsia="Times New Roman"/>
                    </w:rPr>
                  </w:pPr>
                  <w:r>
                    <w:rPr>
                      <w:rFonts w:eastAsia="Times New Roman"/>
                    </w:rPr>
                    <w:t>72</w:t>
                  </w:r>
                </w:p>
              </w:tc>
              <w:tc>
                <w:tcPr>
                  <w:tcW w:w="383" w:type="pct"/>
                  <w:vAlign w:val="center"/>
                </w:tcPr>
                <w:p w14:paraId="0E32DA38">
                  <w:pPr>
                    <w:pStyle w:val="149"/>
                    <w:rPr>
                      <w:rFonts w:eastAsia="Times New Roman"/>
                    </w:rPr>
                  </w:pPr>
                  <w:r>
                    <w:rPr>
                      <w:rFonts w:eastAsia="Times New Roman"/>
                    </w:rPr>
                    <w:t>70</w:t>
                  </w:r>
                </w:p>
              </w:tc>
              <w:tc>
                <w:tcPr>
                  <w:tcW w:w="383" w:type="pct"/>
                  <w:vAlign w:val="center"/>
                </w:tcPr>
                <w:p w14:paraId="40A1111E">
                  <w:pPr>
                    <w:pStyle w:val="149"/>
                    <w:rPr>
                      <w:rFonts w:eastAsia="Times New Roman"/>
                    </w:rPr>
                  </w:pPr>
                  <w:r>
                    <w:rPr>
                      <w:rFonts w:eastAsia="Times New Roman"/>
                    </w:rPr>
                    <w:t>67</w:t>
                  </w:r>
                </w:p>
              </w:tc>
              <w:tc>
                <w:tcPr>
                  <w:tcW w:w="383" w:type="pct"/>
                  <w:vAlign w:val="center"/>
                </w:tcPr>
                <w:p w14:paraId="535D829B">
                  <w:pPr>
                    <w:pStyle w:val="149"/>
                    <w:rPr>
                      <w:rFonts w:eastAsia="Times New Roman"/>
                    </w:rPr>
                  </w:pPr>
                  <w:r>
                    <w:rPr>
                      <w:rFonts w:eastAsia="Times New Roman"/>
                    </w:rPr>
                    <w:t>65</w:t>
                  </w:r>
                </w:p>
              </w:tc>
              <w:tc>
                <w:tcPr>
                  <w:tcW w:w="383" w:type="pct"/>
                  <w:vAlign w:val="center"/>
                </w:tcPr>
                <w:p w14:paraId="16373630">
                  <w:pPr>
                    <w:pStyle w:val="149"/>
                    <w:rPr>
                      <w:rFonts w:eastAsia="Times New Roman"/>
                    </w:rPr>
                  </w:pPr>
                  <w:r>
                    <w:rPr>
                      <w:rFonts w:eastAsia="Times New Roman"/>
                    </w:rPr>
                    <w:t>62</w:t>
                  </w:r>
                </w:p>
              </w:tc>
              <w:tc>
                <w:tcPr>
                  <w:tcW w:w="383" w:type="pct"/>
                  <w:vAlign w:val="center"/>
                </w:tcPr>
                <w:p w14:paraId="5CA5A5BC">
                  <w:pPr>
                    <w:pStyle w:val="149"/>
                    <w:rPr>
                      <w:rFonts w:eastAsia="Times New Roman"/>
                    </w:rPr>
                  </w:pPr>
                  <w:r>
                    <w:rPr>
                      <w:rFonts w:eastAsia="Times New Roman"/>
                    </w:rPr>
                    <w:t>61</w:t>
                  </w:r>
                </w:p>
              </w:tc>
              <w:tc>
                <w:tcPr>
                  <w:tcW w:w="384" w:type="pct"/>
                  <w:vAlign w:val="center"/>
                </w:tcPr>
                <w:p w14:paraId="257FD25E">
                  <w:pPr>
                    <w:pStyle w:val="149"/>
                    <w:rPr>
                      <w:rFonts w:eastAsia="Times New Roman"/>
                    </w:rPr>
                  </w:pPr>
                  <w:r>
                    <w:rPr>
                      <w:rFonts w:eastAsia="Times New Roman"/>
                    </w:rPr>
                    <w:t>58</w:t>
                  </w:r>
                </w:p>
              </w:tc>
            </w:tr>
            <w:tr w14:paraId="6BDAFE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Align w:val="center"/>
                </w:tcPr>
                <w:p w14:paraId="3734E487">
                  <w:pPr>
                    <w:pStyle w:val="149"/>
                    <w:rPr>
                      <w:rFonts w:eastAsia="Times New Roman"/>
                    </w:rPr>
                  </w:pPr>
                  <w:r>
                    <w:rPr>
                      <w:rFonts w:eastAsia="Times New Roman"/>
                    </w:rPr>
                    <w:t>3</w:t>
                  </w:r>
                </w:p>
              </w:tc>
              <w:tc>
                <w:tcPr>
                  <w:tcW w:w="498" w:type="pct"/>
                  <w:vAlign w:val="center"/>
                </w:tcPr>
                <w:p w14:paraId="406EE2F3">
                  <w:pPr>
                    <w:pStyle w:val="149"/>
                    <w:rPr>
                      <w:rFonts w:eastAsia="Times New Roman"/>
                    </w:rPr>
                  </w:pPr>
                  <w:r>
                    <w:rPr>
                      <w:rFonts w:hint="eastAsia" w:ascii="宋体" w:hAnsi="宋体" w:eastAsia="宋体" w:cs="宋体"/>
                    </w:rPr>
                    <w:t>推土机</w:t>
                  </w:r>
                </w:p>
              </w:tc>
              <w:tc>
                <w:tcPr>
                  <w:tcW w:w="270" w:type="pct"/>
                  <w:vAlign w:val="center"/>
                </w:tcPr>
                <w:p w14:paraId="5766BD2A">
                  <w:pPr>
                    <w:pStyle w:val="149"/>
                    <w:rPr>
                      <w:rFonts w:eastAsia="Times New Roman"/>
                    </w:rPr>
                  </w:pPr>
                  <w:r>
                    <w:rPr>
                      <w:rFonts w:eastAsia="Times New Roman"/>
                    </w:rPr>
                    <w:t>86</w:t>
                  </w:r>
                </w:p>
              </w:tc>
              <w:tc>
                <w:tcPr>
                  <w:tcW w:w="383" w:type="pct"/>
                  <w:vAlign w:val="center"/>
                </w:tcPr>
                <w:p w14:paraId="4E4B90B0">
                  <w:pPr>
                    <w:pStyle w:val="149"/>
                    <w:rPr>
                      <w:rFonts w:eastAsia="Times New Roman"/>
                    </w:rPr>
                  </w:pPr>
                  <w:r>
                    <w:rPr>
                      <w:rFonts w:eastAsia="Times New Roman"/>
                    </w:rPr>
                    <w:t>80</w:t>
                  </w:r>
                </w:p>
              </w:tc>
              <w:tc>
                <w:tcPr>
                  <w:tcW w:w="383" w:type="pct"/>
                  <w:vAlign w:val="center"/>
                </w:tcPr>
                <w:p w14:paraId="099695FA">
                  <w:pPr>
                    <w:pStyle w:val="149"/>
                    <w:rPr>
                      <w:rFonts w:eastAsia="Times New Roman"/>
                    </w:rPr>
                  </w:pPr>
                  <w:r>
                    <w:rPr>
                      <w:rFonts w:eastAsia="Times New Roman"/>
                    </w:rPr>
                    <w:t>74</w:t>
                  </w:r>
                </w:p>
              </w:tc>
              <w:tc>
                <w:tcPr>
                  <w:tcW w:w="383" w:type="pct"/>
                  <w:vAlign w:val="center"/>
                </w:tcPr>
                <w:p w14:paraId="19ECEEE7">
                  <w:pPr>
                    <w:pStyle w:val="149"/>
                    <w:rPr>
                      <w:rFonts w:eastAsia="Times New Roman"/>
                    </w:rPr>
                  </w:pPr>
                  <w:r>
                    <w:rPr>
                      <w:rFonts w:eastAsia="Times New Roman"/>
                    </w:rPr>
                    <w:t>70</w:t>
                  </w:r>
                </w:p>
              </w:tc>
              <w:tc>
                <w:tcPr>
                  <w:tcW w:w="383" w:type="pct"/>
                  <w:vAlign w:val="center"/>
                </w:tcPr>
                <w:p w14:paraId="6B208EF9">
                  <w:pPr>
                    <w:pStyle w:val="149"/>
                    <w:rPr>
                      <w:rFonts w:eastAsia="Times New Roman"/>
                    </w:rPr>
                  </w:pPr>
                  <w:r>
                    <w:rPr>
                      <w:rFonts w:eastAsia="Times New Roman"/>
                    </w:rPr>
                    <w:t>68</w:t>
                  </w:r>
                </w:p>
              </w:tc>
              <w:tc>
                <w:tcPr>
                  <w:tcW w:w="383" w:type="pct"/>
                  <w:vAlign w:val="center"/>
                </w:tcPr>
                <w:p w14:paraId="0A130B5F">
                  <w:pPr>
                    <w:pStyle w:val="149"/>
                    <w:rPr>
                      <w:rFonts w:eastAsia="Times New Roman"/>
                    </w:rPr>
                  </w:pPr>
                  <w:r>
                    <w:rPr>
                      <w:rFonts w:eastAsia="Times New Roman"/>
                    </w:rPr>
                    <w:t>66</w:t>
                  </w:r>
                </w:p>
              </w:tc>
              <w:tc>
                <w:tcPr>
                  <w:tcW w:w="383" w:type="pct"/>
                  <w:vAlign w:val="center"/>
                </w:tcPr>
                <w:p w14:paraId="7527A3BF">
                  <w:pPr>
                    <w:pStyle w:val="149"/>
                    <w:rPr>
                      <w:rFonts w:eastAsia="Times New Roman"/>
                    </w:rPr>
                  </w:pPr>
                  <w:r>
                    <w:rPr>
                      <w:rFonts w:eastAsia="Times New Roman"/>
                    </w:rPr>
                    <w:t>63</w:t>
                  </w:r>
                </w:p>
              </w:tc>
              <w:tc>
                <w:tcPr>
                  <w:tcW w:w="383" w:type="pct"/>
                  <w:vAlign w:val="center"/>
                </w:tcPr>
                <w:p w14:paraId="04D3FA60">
                  <w:pPr>
                    <w:pStyle w:val="149"/>
                    <w:rPr>
                      <w:rFonts w:eastAsia="Times New Roman"/>
                    </w:rPr>
                  </w:pPr>
                  <w:r>
                    <w:rPr>
                      <w:rFonts w:eastAsia="Times New Roman"/>
                    </w:rPr>
                    <w:t>61</w:t>
                  </w:r>
                </w:p>
              </w:tc>
              <w:tc>
                <w:tcPr>
                  <w:tcW w:w="383" w:type="pct"/>
                  <w:vAlign w:val="center"/>
                </w:tcPr>
                <w:p w14:paraId="06C21AA8">
                  <w:pPr>
                    <w:pStyle w:val="149"/>
                    <w:rPr>
                      <w:rFonts w:eastAsia="Times New Roman"/>
                    </w:rPr>
                  </w:pPr>
                  <w:r>
                    <w:rPr>
                      <w:rFonts w:eastAsia="Times New Roman"/>
                    </w:rPr>
                    <w:t>58</w:t>
                  </w:r>
                </w:p>
              </w:tc>
              <w:tc>
                <w:tcPr>
                  <w:tcW w:w="383" w:type="pct"/>
                  <w:vAlign w:val="center"/>
                </w:tcPr>
                <w:p w14:paraId="7D515CF9">
                  <w:pPr>
                    <w:pStyle w:val="149"/>
                    <w:rPr>
                      <w:rFonts w:eastAsia="Times New Roman"/>
                    </w:rPr>
                  </w:pPr>
                  <w:r>
                    <w:rPr>
                      <w:rFonts w:eastAsia="Times New Roman"/>
                    </w:rPr>
                    <w:t>57</w:t>
                  </w:r>
                </w:p>
              </w:tc>
              <w:tc>
                <w:tcPr>
                  <w:tcW w:w="384" w:type="pct"/>
                  <w:vAlign w:val="center"/>
                </w:tcPr>
                <w:p w14:paraId="568E5DAE">
                  <w:pPr>
                    <w:pStyle w:val="149"/>
                    <w:rPr>
                      <w:rFonts w:eastAsia="Times New Roman"/>
                    </w:rPr>
                  </w:pPr>
                  <w:r>
                    <w:rPr>
                      <w:rFonts w:eastAsia="Times New Roman"/>
                    </w:rPr>
                    <w:t>54</w:t>
                  </w:r>
                </w:p>
              </w:tc>
            </w:tr>
            <w:tr w14:paraId="1EA3DF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Align w:val="center"/>
                </w:tcPr>
                <w:p w14:paraId="7C0E71DC">
                  <w:pPr>
                    <w:pStyle w:val="149"/>
                    <w:rPr>
                      <w:rFonts w:eastAsia="Times New Roman"/>
                    </w:rPr>
                  </w:pPr>
                  <w:r>
                    <w:rPr>
                      <w:rFonts w:eastAsia="Times New Roman"/>
                    </w:rPr>
                    <w:t>4</w:t>
                  </w:r>
                </w:p>
              </w:tc>
              <w:tc>
                <w:tcPr>
                  <w:tcW w:w="498" w:type="pct"/>
                  <w:vAlign w:val="center"/>
                </w:tcPr>
                <w:p w14:paraId="40DDDFC7">
                  <w:pPr>
                    <w:pStyle w:val="149"/>
                    <w:rPr>
                      <w:rFonts w:eastAsia="Times New Roman"/>
                    </w:rPr>
                  </w:pPr>
                  <w:r>
                    <w:rPr>
                      <w:rFonts w:hint="eastAsia" w:ascii="宋体" w:hAnsi="宋体" w:eastAsia="宋体" w:cs="宋体"/>
                    </w:rPr>
                    <w:t>挖掘机</w:t>
                  </w:r>
                </w:p>
              </w:tc>
              <w:tc>
                <w:tcPr>
                  <w:tcW w:w="270" w:type="pct"/>
                  <w:vAlign w:val="center"/>
                </w:tcPr>
                <w:p w14:paraId="0E22A67B">
                  <w:pPr>
                    <w:pStyle w:val="149"/>
                    <w:rPr>
                      <w:rFonts w:eastAsia="Times New Roman"/>
                    </w:rPr>
                  </w:pPr>
                  <w:r>
                    <w:rPr>
                      <w:rFonts w:eastAsia="Times New Roman"/>
                    </w:rPr>
                    <w:t>84</w:t>
                  </w:r>
                </w:p>
              </w:tc>
              <w:tc>
                <w:tcPr>
                  <w:tcW w:w="383" w:type="pct"/>
                  <w:vAlign w:val="center"/>
                </w:tcPr>
                <w:p w14:paraId="231F9D7B">
                  <w:pPr>
                    <w:pStyle w:val="149"/>
                    <w:rPr>
                      <w:rFonts w:eastAsia="Times New Roman"/>
                    </w:rPr>
                  </w:pPr>
                  <w:r>
                    <w:rPr>
                      <w:rFonts w:eastAsia="Times New Roman"/>
                    </w:rPr>
                    <w:t>78</w:t>
                  </w:r>
                </w:p>
              </w:tc>
              <w:tc>
                <w:tcPr>
                  <w:tcW w:w="383" w:type="pct"/>
                  <w:vAlign w:val="center"/>
                </w:tcPr>
                <w:p w14:paraId="6E66CCC2">
                  <w:pPr>
                    <w:pStyle w:val="149"/>
                    <w:rPr>
                      <w:rFonts w:eastAsia="Times New Roman"/>
                    </w:rPr>
                  </w:pPr>
                  <w:r>
                    <w:rPr>
                      <w:rFonts w:eastAsia="Times New Roman"/>
                    </w:rPr>
                    <w:t>72</w:t>
                  </w:r>
                </w:p>
              </w:tc>
              <w:tc>
                <w:tcPr>
                  <w:tcW w:w="383" w:type="pct"/>
                  <w:vAlign w:val="center"/>
                </w:tcPr>
                <w:p w14:paraId="47DAFBC4">
                  <w:pPr>
                    <w:pStyle w:val="149"/>
                    <w:rPr>
                      <w:rFonts w:eastAsia="Times New Roman"/>
                    </w:rPr>
                  </w:pPr>
                  <w:r>
                    <w:rPr>
                      <w:rFonts w:eastAsia="Times New Roman"/>
                    </w:rPr>
                    <w:t>68</w:t>
                  </w:r>
                </w:p>
              </w:tc>
              <w:tc>
                <w:tcPr>
                  <w:tcW w:w="383" w:type="pct"/>
                  <w:vAlign w:val="center"/>
                </w:tcPr>
                <w:p w14:paraId="22DBBA32">
                  <w:pPr>
                    <w:pStyle w:val="149"/>
                    <w:rPr>
                      <w:rFonts w:eastAsia="Times New Roman"/>
                    </w:rPr>
                  </w:pPr>
                  <w:r>
                    <w:rPr>
                      <w:rFonts w:eastAsia="Times New Roman"/>
                    </w:rPr>
                    <w:t>66</w:t>
                  </w:r>
                </w:p>
              </w:tc>
              <w:tc>
                <w:tcPr>
                  <w:tcW w:w="383" w:type="pct"/>
                  <w:vAlign w:val="center"/>
                </w:tcPr>
                <w:p w14:paraId="07B06A93">
                  <w:pPr>
                    <w:pStyle w:val="149"/>
                    <w:rPr>
                      <w:rFonts w:eastAsia="Times New Roman"/>
                    </w:rPr>
                  </w:pPr>
                  <w:r>
                    <w:rPr>
                      <w:rFonts w:eastAsia="Times New Roman"/>
                    </w:rPr>
                    <w:t>64</w:t>
                  </w:r>
                </w:p>
              </w:tc>
              <w:tc>
                <w:tcPr>
                  <w:tcW w:w="383" w:type="pct"/>
                  <w:vAlign w:val="center"/>
                </w:tcPr>
                <w:p w14:paraId="0E9F0D86">
                  <w:pPr>
                    <w:pStyle w:val="149"/>
                    <w:rPr>
                      <w:rFonts w:eastAsia="Times New Roman"/>
                    </w:rPr>
                  </w:pPr>
                  <w:r>
                    <w:rPr>
                      <w:rFonts w:eastAsia="Times New Roman"/>
                    </w:rPr>
                    <w:t>61</w:t>
                  </w:r>
                </w:p>
              </w:tc>
              <w:tc>
                <w:tcPr>
                  <w:tcW w:w="383" w:type="pct"/>
                  <w:vAlign w:val="center"/>
                </w:tcPr>
                <w:p w14:paraId="5A2A3852">
                  <w:pPr>
                    <w:pStyle w:val="149"/>
                    <w:rPr>
                      <w:rFonts w:eastAsia="Times New Roman"/>
                    </w:rPr>
                  </w:pPr>
                  <w:r>
                    <w:rPr>
                      <w:rFonts w:eastAsia="Times New Roman"/>
                    </w:rPr>
                    <w:t>59</w:t>
                  </w:r>
                </w:p>
              </w:tc>
              <w:tc>
                <w:tcPr>
                  <w:tcW w:w="383" w:type="pct"/>
                  <w:vAlign w:val="center"/>
                </w:tcPr>
                <w:p w14:paraId="4CCA1780">
                  <w:pPr>
                    <w:pStyle w:val="149"/>
                    <w:rPr>
                      <w:rFonts w:eastAsia="Times New Roman"/>
                    </w:rPr>
                  </w:pPr>
                  <w:r>
                    <w:rPr>
                      <w:rFonts w:eastAsia="Times New Roman"/>
                    </w:rPr>
                    <w:t>56</w:t>
                  </w:r>
                </w:p>
              </w:tc>
              <w:tc>
                <w:tcPr>
                  <w:tcW w:w="383" w:type="pct"/>
                  <w:vAlign w:val="center"/>
                </w:tcPr>
                <w:p w14:paraId="3963DF9B">
                  <w:pPr>
                    <w:pStyle w:val="149"/>
                    <w:rPr>
                      <w:rFonts w:eastAsia="Times New Roman"/>
                    </w:rPr>
                  </w:pPr>
                  <w:r>
                    <w:rPr>
                      <w:rFonts w:eastAsia="Times New Roman"/>
                    </w:rPr>
                    <w:t>55</w:t>
                  </w:r>
                </w:p>
              </w:tc>
              <w:tc>
                <w:tcPr>
                  <w:tcW w:w="384" w:type="pct"/>
                  <w:vAlign w:val="center"/>
                </w:tcPr>
                <w:p w14:paraId="62D391FA">
                  <w:pPr>
                    <w:pStyle w:val="149"/>
                    <w:rPr>
                      <w:rFonts w:eastAsia="Times New Roman"/>
                    </w:rPr>
                  </w:pPr>
                  <w:r>
                    <w:rPr>
                      <w:rFonts w:eastAsia="Times New Roman"/>
                    </w:rPr>
                    <w:t>52</w:t>
                  </w:r>
                </w:p>
              </w:tc>
            </w:tr>
            <w:tr w14:paraId="353BD8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Align w:val="center"/>
                </w:tcPr>
                <w:p w14:paraId="60C8B683">
                  <w:pPr>
                    <w:pStyle w:val="149"/>
                    <w:rPr>
                      <w:rFonts w:eastAsia="Times New Roman"/>
                    </w:rPr>
                  </w:pPr>
                  <w:r>
                    <w:rPr>
                      <w:rFonts w:eastAsia="Times New Roman"/>
                    </w:rPr>
                    <w:t>5</w:t>
                  </w:r>
                </w:p>
              </w:tc>
              <w:tc>
                <w:tcPr>
                  <w:tcW w:w="498" w:type="pct"/>
                  <w:vAlign w:val="center"/>
                </w:tcPr>
                <w:p w14:paraId="4541A24D">
                  <w:pPr>
                    <w:pStyle w:val="149"/>
                    <w:rPr>
                      <w:rFonts w:eastAsia="Times New Roman"/>
                    </w:rPr>
                  </w:pPr>
                  <w:r>
                    <w:rPr>
                      <w:rFonts w:hint="eastAsia" w:ascii="宋体" w:hAnsi="宋体" w:eastAsia="宋体" w:cs="宋体"/>
                    </w:rPr>
                    <w:t>卡车</w:t>
                  </w:r>
                </w:p>
              </w:tc>
              <w:tc>
                <w:tcPr>
                  <w:tcW w:w="270" w:type="pct"/>
                  <w:vAlign w:val="center"/>
                </w:tcPr>
                <w:p w14:paraId="7AFBE618">
                  <w:pPr>
                    <w:pStyle w:val="149"/>
                    <w:rPr>
                      <w:rFonts w:eastAsia="Times New Roman"/>
                    </w:rPr>
                  </w:pPr>
                  <w:r>
                    <w:rPr>
                      <w:rFonts w:eastAsia="Times New Roman"/>
                    </w:rPr>
                    <w:t>85</w:t>
                  </w:r>
                </w:p>
              </w:tc>
              <w:tc>
                <w:tcPr>
                  <w:tcW w:w="383" w:type="pct"/>
                  <w:vAlign w:val="center"/>
                </w:tcPr>
                <w:p w14:paraId="54C0D927">
                  <w:pPr>
                    <w:pStyle w:val="149"/>
                    <w:rPr>
                      <w:rFonts w:eastAsia="Times New Roman"/>
                    </w:rPr>
                  </w:pPr>
                  <w:r>
                    <w:rPr>
                      <w:rFonts w:eastAsia="Times New Roman"/>
                    </w:rPr>
                    <w:t>79</w:t>
                  </w:r>
                </w:p>
              </w:tc>
              <w:tc>
                <w:tcPr>
                  <w:tcW w:w="383" w:type="pct"/>
                  <w:vAlign w:val="center"/>
                </w:tcPr>
                <w:p w14:paraId="078D2133">
                  <w:pPr>
                    <w:pStyle w:val="149"/>
                    <w:rPr>
                      <w:rFonts w:eastAsia="Times New Roman"/>
                    </w:rPr>
                  </w:pPr>
                  <w:r>
                    <w:rPr>
                      <w:rFonts w:eastAsia="Times New Roman"/>
                    </w:rPr>
                    <w:t>73</w:t>
                  </w:r>
                </w:p>
              </w:tc>
              <w:tc>
                <w:tcPr>
                  <w:tcW w:w="383" w:type="pct"/>
                  <w:vAlign w:val="center"/>
                </w:tcPr>
                <w:p w14:paraId="51CAED5A">
                  <w:pPr>
                    <w:pStyle w:val="149"/>
                    <w:rPr>
                      <w:rFonts w:eastAsia="Times New Roman"/>
                    </w:rPr>
                  </w:pPr>
                  <w:r>
                    <w:rPr>
                      <w:rFonts w:eastAsia="Times New Roman"/>
                    </w:rPr>
                    <w:t>69</w:t>
                  </w:r>
                </w:p>
              </w:tc>
              <w:tc>
                <w:tcPr>
                  <w:tcW w:w="383" w:type="pct"/>
                  <w:vAlign w:val="center"/>
                </w:tcPr>
                <w:p w14:paraId="33055337">
                  <w:pPr>
                    <w:pStyle w:val="149"/>
                    <w:rPr>
                      <w:rFonts w:eastAsia="Times New Roman"/>
                    </w:rPr>
                  </w:pPr>
                  <w:r>
                    <w:rPr>
                      <w:rFonts w:eastAsia="Times New Roman"/>
                    </w:rPr>
                    <w:t>67</w:t>
                  </w:r>
                </w:p>
              </w:tc>
              <w:tc>
                <w:tcPr>
                  <w:tcW w:w="383" w:type="pct"/>
                  <w:vAlign w:val="center"/>
                </w:tcPr>
                <w:p w14:paraId="0D455049">
                  <w:pPr>
                    <w:pStyle w:val="149"/>
                    <w:rPr>
                      <w:rFonts w:eastAsia="Times New Roman"/>
                    </w:rPr>
                  </w:pPr>
                  <w:r>
                    <w:rPr>
                      <w:rFonts w:eastAsia="Times New Roman"/>
                    </w:rPr>
                    <w:t>65</w:t>
                  </w:r>
                </w:p>
              </w:tc>
              <w:tc>
                <w:tcPr>
                  <w:tcW w:w="383" w:type="pct"/>
                  <w:vAlign w:val="center"/>
                </w:tcPr>
                <w:p w14:paraId="70C47282">
                  <w:pPr>
                    <w:pStyle w:val="149"/>
                    <w:rPr>
                      <w:rFonts w:eastAsia="Times New Roman"/>
                    </w:rPr>
                  </w:pPr>
                  <w:r>
                    <w:rPr>
                      <w:rFonts w:eastAsia="Times New Roman"/>
                    </w:rPr>
                    <w:t>62</w:t>
                  </w:r>
                </w:p>
              </w:tc>
              <w:tc>
                <w:tcPr>
                  <w:tcW w:w="383" w:type="pct"/>
                  <w:vAlign w:val="center"/>
                </w:tcPr>
                <w:p w14:paraId="707EA906">
                  <w:pPr>
                    <w:pStyle w:val="149"/>
                    <w:rPr>
                      <w:rFonts w:eastAsia="Times New Roman"/>
                    </w:rPr>
                  </w:pPr>
                  <w:r>
                    <w:rPr>
                      <w:rFonts w:eastAsia="Times New Roman"/>
                    </w:rPr>
                    <w:t>60</w:t>
                  </w:r>
                </w:p>
              </w:tc>
              <w:tc>
                <w:tcPr>
                  <w:tcW w:w="383" w:type="pct"/>
                  <w:vAlign w:val="center"/>
                </w:tcPr>
                <w:p w14:paraId="0053CFCF">
                  <w:pPr>
                    <w:pStyle w:val="149"/>
                    <w:rPr>
                      <w:rFonts w:eastAsia="Times New Roman"/>
                    </w:rPr>
                  </w:pPr>
                  <w:r>
                    <w:rPr>
                      <w:rFonts w:eastAsia="Times New Roman"/>
                    </w:rPr>
                    <w:t>57</w:t>
                  </w:r>
                </w:p>
              </w:tc>
              <w:tc>
                <w:tcPr>
                  <w:tcW w:w="383" w:type="pct"/>
                  <w:vAlign w:val="center"/>
                </w:tcPr>
                <w:p w14:paraId="7FF79567">
                  <w:pPr>
                    <w:pStyle w:val="149"/>
                    <w:rPr>
                      <w:rFonts w:eastAsia="Times New Roman"/>
                    </w:rPr>
                  </w:pPr>
                  <w:r>
                    <w:rPr>
                      <w:rFonts w:eastAsia="Times New Roman"/>
                    </w:rPr>
                    <w:t>56</w:t>
                  </w:r>
                </w:p>
              </w:tc>
              <w:tc>
                <w:tcPr>
                  <w:tcW w:w="384" w:type="pct"/>
                  <w:vAlign w:val="center"/>
                </w:tcPr>
                <w:p w14:paraId="760F68DD">
                  <w:pPr>
                    <w:pStyle w:val="149"/>
                    <w:rPr>
                      <w:rFonts w:eastAsia="Times New Roman"/>
                    </w:rPr>
                  </w:pPr>
                  <w:r>
                    <w:rPr>
                      <w:rFonts w:eastAsia="Times New Roman"/>
                    </w:rPr>
                    <w:t>53</w:t>
                  </w:r>
                </w:p>
              </w:tc>
            </w:tr>
            <w:tr w14:paraId="41F6CD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Align w:val="center"/>
                </w:tcPr>
                <w:p w14:paraId="45D3B428">
                  <w:pPr>
                    <w:pStyle w:val="149"/>
                    <w:rPr>
                      <w:rFonts w:eastAsia="Times New Roman"/>
                    </w:rPr>
                  </w:pPr>
                  <w:r>
                    <w:rPr>
                      <w:rFonts w:eastAsia="Times New Roman"/>
                    </w:rPr>
                    <w:t>6</w:t>
                  </w:r>
                </w:p>
              </w:tc>
              <w:tc>
                <w:tcPr>
                  <w:tcW w:w="498" w:type="pct"/>
                  <w:vAlign w:val="center"/>
                </w:tcPr>
                <w:p w14:paraId="7C715320">
                  <w:pPr>
                    <w:pStyle w:val="149"/>
                    <w:rPr>
                      <w:rFonts w:eastAsia="Times New Roman"/>
                    </w:rPr>
                  </w:pPr>
                  <w:r>
                    <w:rPr>
                      <w:rFonts w:hint="eastAsia" w:ascii="宋体" w:hAnsi="宋体" w:eastAsia="宋体" w:cs="宋体"/>
                    </w:rPr>
                    <w:t>混凝土搅拌车</w:t>
                  </w:r>
                </w:p>
              </w:tc>
              <w:tc>
                <w:tcPr>
                  <w:tcW w:w="270" w:type="pct"/>
                  <w:vAlign w:val="center"/>
                </w:tcPr>
                <w:p w14:paraId="6557BF4E">
                  <w:pPr>
                    <w:pStyle w:val="149"/>
                    <w:rPr>
                      <w:rFonts w:eastAsia="Times New Roman"/>
                    </w:rPr>
                  </w:pPr>
                  <w:r>
                    <w:rPr>
                      <w:rFonts w:eastAsia="Times New Roman"/>
                    </w:rPr>
                    <w:t>85</w:t>
                  </w:r>
                </w:p>
              </w:tc>
              <w:tc>
                <w:tcPr>
                  <w:tcW w:w="383" w:type="pct"/>
                  <w:vAlign w:val="center"/>
                </w:tcPr>
                <w:p w14:paraId="2C7093BB">
                  <w:pPr>
                    <w:pStyle w:val="149"/>
                    <w:rPr>
                      <w:rFonts w:eastAsia="Times New Roman"/>
                    </w:rPr>
                  </w:pPr>
                  <w:r>
                    <w:rPr>
                      <w:rFonts w:eastAsia="Times New Roman"/>
                    </w:rPr>
                    <w:t>79</w:t>
                  </w:r>
                </w:p>
              </w:tc>
              <w:tc>
                <w:tcPr>
                  <w:tcW w:w="383" w:type="pct"/>
                  <w:vAlign w:val="center"/>
                </w:tcPr>
                <w:p w14:paraId="6FEC0F94">
                  <w:pPr>
                    <w:pStyle w:val="149"/>
                    <w:rPr>
                      <w:rFonts w:eastAsia="Times New Roman"/>
                    </w:rPr>
                  </w:pPr>
                  <w:r>
                    <w:rPr>
                      <w:rFonts w:eastAsia="Times New Roman"/>
                    </w:rPr>
                    <w:t>73</w:t>
                  </w:r>
                </w:p>
              </w:tc>
              <w:tc>
                <w:tcPr>
                  <w:tcW w:w="383" w:type="pct"/>
                  <w:vAlign w:val="center"/>
                </w:tcPr>
                <w:p w14:paraId="2A4B752C">
                  <w:pPr>
                    <w:pStyle w:val="149"/>
                    <w:rPr>
                      <w:rFonts w:eastAsia="Times New Roman"/>
                    </w:rPr>
                  </w:pPr>
                  <w:r>
                    <w:rPr>
                      <w:rFonts w:eastAsia="Times New Roman"/>
                    </w:rPr>
                    <w:t>69</w:t>
                  </w:r>
                </w:p>
              </w:tc>
              <w:tc>
                <w:tcPr>
                  <w:tcW w:w="383" w:type="pct"/>
                  <w:vAlign w:val="center"/>
                </w:tcPr>
                <w:p w14:paraId="5101EBEF">
                  <w:pPr>
                    <w:pStyle w:val="149"/>
                    <w:rPr>
                      <w:rFonts w:eastAsia="Times New Roman"/>
                    </w:rPr>
                  </w:pPr>
                  <w:r>
                    <w:rPr>
                      <w:rFonts w:eastAsia="Times New Roman"/>
                    </w:rPr>
                    <w:t>67</w:t>
                  </w:r>
                </w:p>
              </w:tc>
              <w:tc>
                <w:tcPr>
                  <w:tcW w:w="383" w:type="pct"/>
                  <w:vAlign w:val="center"/>
                </w:tcPr>
                <w:p w14:paraId="42B9FB4C">
                  <w:pPr>
                    <w:pStyle w:val="149"/>
                    <w:rPr>
                      <w:rFonts w:eastAsia="Times New Roman"/>
                    </w:rPr>
                  </w:pPr>
                  <w:r>
                    <w:rPr>
                      <w:rFonts w:eastAsia="Times New Roman"/>
                    </w:rPr>
                    <w:t>65</w:t>
                  </w:r>
                </w:p>
              </w:tc>
              <w:tc>
                <w:tcPr>
                  <w:tcW w:w="383" w:type="pct"/>
                  <w:vAlign w:val="center"/>
                </w:tcPr>
                <w:p w14:paraId="049D732D">
                  <w:pPr>
                    <w:pStyle w:val="149"/>
                    <w:rPr>
                      <w:rFonts w:eastAsia="Times New Roman"/>
                    </w:rPr>
                  </w:pPr>
                  <w:r>
                    <w:rPr>
                      <w:rFonts w:eastAsia="Times New Roman"/>
                    </w:rPr>
                    <w:t>62</w:t>
                  </w:r>
                </w:p>
              </w:tc>
              <w:tc>
                <w:tcPr>
                  <w:tcW w:w="383" w:type="pct"/>
                  <w:vAlign w:val="center"/>
                </w:tcPr>
                <w:p w14:paraId="7CF88466">
                  <w:pPr>
                    <w:pStyle w:val="149"/>
                    <w:rPr>
                      <w:rFonts w:eastAsia="Times New Roman"/>
                    </w:rPr>
                  </w:pPr>
                  <w:r>
                    <w:rPr>
                      <w:rFonts w:eastAsia="Times New Roman"/>
                    </w:rPr>
                    <w:t>60</w:t>
                  </w:r>
                </w:p>
              </w:tc>
              <w:tc>
                <w:tcPr>
                  <w:tcW w:w="383" w:type="pct"/>
                  <w:vAlign w:val="center"/>
                </w:tcPr>
                <w:p w14:paraId="05A5C69F">
                  <w:pPr>
                    <w:pStyle w:val="149"/>
                    <w:rPr>
                      <w:rFonts w:eastAsia="Times New Roman"/>
                    </w:rPr>
                  </w:pPr>
                  <w:r>
                    <w:rPr>
                      <w:rFonts w:eastAsia="Times New Roman"/>
                    </w:rPr>
                    <w:t>57</w:t>
                  </w:r>
                </w:p>
              </w:tc>
              <w:tc>
                <w:tcPr>
                  <w:tcW w:w="383" w:type="pct"/>
                  <w:vAlign w:val="center"/>
                </w:tcPr>
                <w:p w14:paraId="39D39B3E">
                  <w:pPr>
                    <w:pStyle w:val="149"/>
                    <w:rPr>
                      <w:rFonts w:eastAsia="Times New Roman"/>
                    </w:rPr>
                  </w:pPr>
                  <w:r>
                    <w:rPr>
                      <w:rFonts w:eastAsia="Times New Roman"/>
                    </w:rPr>
                    <w:t>56</w:t>
                  </w:r>
                </w:p>
              </w:tc>
              <w:tc>
                <w:tcPr>
                  <w:tcW w:w="384" w:type="pct"/>
                  <w:vAlign w:val="center"/>
                </w:tcPr>
                <w:p w14:paraId="3602249E">
                  <w:pPr>
                    <w:pStyle w:val="149"/>
                    <w:rPr>
                      <w:rFonts w:eastAsia="Times New Roman"/>
                    </w:rPr>
                  </w:pPr>
                  <w:r>
                    <w:rPr>
                      <w:rFonts w:eastAsia="Times New Roman"/>
                    </w:rPr>
                    <w:t>53</w:t>
                  </w:r>
                </w:p>
              </w:tc>
            </w:tr>
          </w:tbl>
          <w:p w14:paraId="36F8A146">
            <w:pPr>
              <w:pStyle w:val="146"/>
              <w:spacing w:line="360" w:lineRule="auto"/>
              <w:ind w:left="0" w:firstLine="480" w:firstLineChars="200"/>
              <w:rPr>
                <w:rFonts w:ascii="Times New Roman"/>
                <w:b w:val="0"/>
                <w:bCs w:val="0"/>
                <w:sz w:val="24"/>
                <w:szCs w:val="24"/>
              </w:rPr>
            </w:pPr>
            <w:r>
              <w:rPr>
                <w:rFonts w:hint="eastAsia" w:ascii="Times New Roman"/>
                <w:b w:val="0"/>
                <w:bCs w:val="0"/>
                <w:sz w:val="24"/>
                <w:szCs w:val="24"/>
              </w:rPr>
              <w:t>考虑到实际施工过程中，单台设备运行情况较少，通常为多台施工机械同时操作。根据实际作业情况，对相关施工机械设备同时使用时噪声影响进行预测。</w:t>
            </w:r>
          </w:p>
          <w:p w14:paraId="7B3958A7">
            <w:pPr>
              <w:pStyle w:val="146"/>
              <w:spacing w:line="360" w:lineRule="auto"/>
              <w:ind w:left="0" w:firstLine="480" w:firstLineChars="200"/>
              <w:rPr>
                <w:rFonts w:ascii="Times New Roman"/>
                <w:b w:val="0"/>
                <w:bCs w:val="0"/>
                <w:sz w:val="24"/>
                <w:szCs w:val="24"/>
              </w:rPr>
            </w:pPr>
            <w:r>
              <w:rPr>
                <w:rFonts w:hint="eastAsia" w:ascii="Times New Roman"/>
                <w:b w:val="0"/>
                <w:bCs w:val="0"/>
                <w:sz w:val="24"/>
                <w:szCs w:val="24"/>
              </w:rPr>
              <w:t>项目施工过程主要分为施工准备期、土建施工期和设备安装期。决定施工阶段声源的是同时在场地中运行的施工机械，可以认为项目各个工程在同一施工阶段的单一工作日中使用的工程机械的种类和数量大致相同。</w:t>
            </w:r>
          </w:p>
          <w:p w14:paraId="77BB278B">
            <w:pPr>
              <w:pStyle w:val="146"/>
              <w:spacing w:line="360" w:lineRule="auto"/>
              <w:ind w:left="0" w:firstLine="480" w:firstLineChars="200"/>
              <w:rPr>
                <w:rFonts w:ascii="Times New Roman"/>
                <w:b w:val="0"/>
                <w:bCs w:val="0"/>
                <w:sz w:val="24"/>
                <w:szCs w:val="24"/>
              </w:rPr>
            </w:pPr>
            <w:r>
              <w:rPr>
                <w:rFonts w:hint="eastAsia" w:ascii="Times New Roman"/>
                <w:b w:val="0"/>
                <w:bCs w:val="0"/>
                <w:sz w:val="24"/>
                <w:szCs w:val="24"/>
              </w:rPr>
              <w:t>施工准备阶段：平地机、推土机、挖掘机、卡车、装载机。</w:t>
            </w:r>
          </w:p>
          <w:p w14:paraId="67E1E221">
            <w:pPr>
              <w:pStyle w:val="146"/>
              <w:spacing w:line="360" w:lineRule="auto"/>
              <w:ind w:left="0" w:firstLine="480" w:firstLineChars="200"/>
              <w:rPr>
                <w:rFonts w:ascii="Times New Roman"/>
                <w:b w:val="0"/>
                <w:bCs w:val="0"/>
                <w:sz w:val="24"/>
                <w:szCs w:val="24"/>
              </w:rPr>
            </w:pPr>
            <w:r>
              <w:rPr>
                <w:rFonts w:hint="eastAsia" w:ascii="Times New Roman"/>
                <w:b w:val="0"/>
                <w:bCs w:val="0"/>
                <w:sz w:val="24"/>
                <w:szCs w:val="24"/>
              </w:rPr>
              <w:t>土建施工阶段：混凝土搅拌车、打桩机、卡车、挖掘机等。</w:t>
            </w:r>
          </w:p>
          <w:p w14:paraId="27D5900D">
            <w:pPr>
              <w:pStyle w:val="146"/>
              <w:spacing w:line="360" w:lineRule="auto"/>
              <w:ind w:left="0" w:firstLine="480" w:firstLineChars="200"/>
              <w:rPr>
                <w:rFonts w:ascii="Times New Roman"/>
                <w:b w:val="0"/>
                <w:bCs w:val="0"/>
                <w:sz w:val="24"/>
                <w:szCs w:val="24"/>
              </w:rPr>
            </w:pPr>
            <w:r>
              <w:rPr>
                <w:rFonts w:hint="eastAsia" w:ascii="Times New Roman"/>
                <w:b w:val="0"/>
                <w:bCs w:val="0"/>
                <w:sz w:val="24"/>
                <w:szCs w:val="24"/>
              </w:rPr>
              <w:t>设备安装阶段：混凝土搅拌车</w:t>
            </w:r>
            <w:r>
              <w:rPr>
                <w:rFonts w:ascii="Times New Roman"/>
                <w:b w:val="0"/>
                <w:bCs w:val="0"/>
                <w:sz w:val="24"/>
                <w:szCs w:val="24"/>
              </w:rPr>
              <w:t xml:space="preserve"> </w:t>
            </w:r>
            <w:r>
              <w:rPr>
                <w:rFonts w:hint="eastAsia" w:ascii="Times New Roman"/>
                <w:b w:val="0"/>
                <w:bCs w:val="0"/>
                <w:sz w:val="24"/>
                <w:szCs w:val="24"/>
              </w:rPr>
              <w:t>卡车。</w:t>
            </w:r>
          </w:p>
          <w:p w14:paraId="28E30545">
            <w:pPr>
              <w:pStyle w:val="146"/>
              <w:spacing w:line="360" w:lineRule="auto"/>
              <w:ind w:left="0" w:firstLine="480" w:firstLineChars="200"/>
              <w:rPr>
                <w:rFonts w:ascii="Times New Roman"/>
                <w:b w:val="0"/>
                <w:bCs w:val="0"/>
                <w:sz w:val="24"/>
                <w:szCs w:val="24"/>
              </w:rPr>
            </w:pPr>
            <w:r>
              <w:rPr>
                <w:rFonts w:hint="eastAsia" w:ascii="Times New Roman"/>
                <w:b w:val="0"/>
                <w:bCs w:val="0"/>
                <w:sz w:val="24"/>
                <w:szCs w:val="24"/>
              </w:rPr>
              <w:t>根据上述预测方法，预测在不采取任何噪声污染防治措施情况下施工期间主要噪声源随距离的衰减变化情况，具体结果见下表。</w:t>
            </w:r>
          </w:p>
          <w:p w14:paraId="5B9F78E7">
            <w:pPr>
              <w:widowControl/>
              <w:jc w:val="center"/>
            </w:pPr>
            <w:r>
              <w:rPr>
                <w:rFonts w:hint="eastAsia" w:ascii="宋体" w:hAnsi="宋体" w:cs="宋体"/>
                <w:b/>
                <w:bCs/>
                <w:kern w:val="0"/>
                <w:sz w:val="24"/>
              </w:rPr>
              <w:t>表</w:t>
            </w:r>
            <w:r>
              <w:rPr>
                <w:b/>
                <w:bCs/>
                <w:kern w:val="0"/>
                <w:sz w:val="24"/>
              </w:rPr>
              <w:t>4-4</w:t>
            </w:r>
            <w:r>
              <w:rPr>
                <w:rFonts w:hint="eastAsia" w:ascii="宋体" w:hAnsi="宋体" w:cs="宋体"/>
                <w:b/>
                <w:bCs/>
                <w:kern w:val="0"/>
                <w:sz w:val="24"/>
              </w:rPr>
              <w:t>不同施工阶段噪声随距离衰减变化情况（不采取防治措施）单位：</w:t>
            </w:r>
            <w:r>
              <w:rPr>
                <w:b/>
                <w:bCs/>
                <w:kern w:val="0"/>
                <w:sz w:val="24"/>
              </w:rPr>
              <w:t>dB</w:t>
            </w:r>
            <w:r>
              <w:rPr>
                <w:rFonts w:hint="eastAsia" w:ascii="宋体" w:hAnsi="宋体" w:cs="宋体"/>
                <w:b/>
                <w:bCs/>
                <w:kern w:val="0"/>
                <w:sz w:val="24"/>
              </w:rPr>
              <w:t>（</w:t>
            </w:r>
            <w:r>
              <w:rPr>
                <w:b/>
                <w:bCs/>
                <w:kern w:val="0"/>
                <w:sz w:val="24"/>
              </w:rPr>
              <w:t>A</w:t>
            </w:r>
            <w:r>
              <w:rPr>
                <w:rFonts w:hint="eastAsia" w:ascii="宋体" w:hAnsi="宋体" w:cs="宋体"/>
                <w:b/>
                <w:bCs/>
                <w:kern w:val="0"/>
                <w:sz w:val="24"/>
              </w:rPr>
              <w:t>）</w:t>
            </w:r>
          </w:p>
          <w:tbl>
            <w:tblPr>
              <w:tblStyle w:val="150"/>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56"/>
              <w:gridCol w:w="602"/>
              <w:gridCol w:w="616"/>
              <w:gridCol w:w="529"/>
              <w:gridCol w:w="529"/>
              <w:gridCol w:w="747"/>
              <w:gridCol w:w="686"/>
              <w:gridCol w:w="686"/>
              <w:gridCol w:w="824"/>
              <w:gridCol w:w="963"/>
              <w:gridCol w:w="1071"/>
            </w:tblGrid>
            <w:tr w14:paraId="3E647F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38" w:type="pct"/>
                  <w:vMerge w:val="restart"/>
                  <w:vAlign w:val="center"/>
                </w:tcPr>
                <w:p w14:paraId="3CA078AC">
                  <w:pPr>
                    <w:pStyle w:val="149"/>
                    <w:rPr>
                      <w:rFonts w:hint="default" w:ascii="Times New Roman" w:hAnsi="Times New Roman" w:eastAsia="宋体" w:cs="Times New Roman"/>
                      <w:b/>
                      <w:i w:val="0"/>
                    </w:rPr>
                  </w:pPr>
                  <w:r>
                    <w:rPr>
                      <w:rFonts w:hint="eastAsia" w:ascii="Times New Roman" w:hAnsi="Times New Roman" w:eastAsia="宋体" w:cs="Times New Roman"/>
                      <w:b/>
                      <w:i w:val="0"/>
                    </w:rPr>
                    <w:t>施工阶段</w:t>
                  </w:r>
                </w:p>
              </w:tc>
              <w:tc>
                <w:tcPr>
                  <w:tcW w:w="4262" w:type="pct"/>
                  <w:gridSpan w:val="10"/>
                  <w:vAlign w:val="center"/>
                </w:tcPr>
                <w:p w14:paraId="56F20E5C">
                  <w:pPr>
                    <w:pStyle w:val="149"/>
                    <w:rPr>
                      <w:rFonts w:hint="default" w:ascii="Times New Roman" w:hAnsi="Times New Roman" w:eastAsia="宋体" w:cs="Times New Roman"/>
                      <w:b/>
                      <w:i w:val="0"/>
                    </w:rPr>
                  </w:pPr>
                  <w:r>
                    <w:rPr>
                      <w:rFonts w:hint="eastAsia" w:ascii="Times New Roman" w:hAnsi="Times New Roman" w:eastAsia="宋体" w:cs="Times New Roman"/>
                      <w:b/>
                      <w:i w:val="0"/>
                    </w:rPr>
                    <w:t>距声源距离（</w:t>
                  </w:r>
                  <w:r>
                    <w:rPr>
                      <w:rFonts w:hint="default" w:ascii="Times New Roman" w:hAnsi="Times New Roman" w:eastAsia="宋体" w:cs="Times New Roman"/>
                      <w:b/>
                      <w:i w:val="0"/>
                    </w:rPr>
                    <w:t>m</w:t>
                  </w:r>
                  <w:r>
                    <w:rPr>
                      <w:rFonts w:hint="eastAsia" w:ascii="Times New Roman" w:hAnsi="Times New Roman" w:eastAsia="宋体" w:cs="Times New Roman"/>
                      <w:b/>
                      <w:i w:val="0"/>
                    </w:rPr>
                    <w:t>）</w:t>
                  </w:r>
                </w:p>
              </w:tc>
            </w:tr>
            <w:tr w14:paraId="5B3E8F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38" w:type="pct"/>
                  <w:vMerge w:val="continue"/>
                  <w:vAlign w:val="center"/>
                </w:tcPr>
                <w:p w14:paraId="79DB238D">
                  <w:pPr>
                    <w:pStyle w:val="149"/>
                    <w:rPr>
                      <w:rFonts w:eastAsia="Times New Roman"/>
                    </w:rPr>
                  </w:pPr>
                </w:p>
              </w:tc>
              <w:tc>
                <w:tcPr>
                  <w:tcW w:w="354" w:type="pct"/>
                  <w:vAlign w:val="center"/>
                </w:tcPr>
                <w:p w14:paraId="7DD7AECB">
                  <w:pPr>
                    <w:pStyle w:val="149"/>
                    <w:rPr>
                      <w:rFonts w:eastAsia="Times New Roman"/>
                    </w:rPr>
                  </w:pPr>
                  <w:r>
                    <w:rPr>
                      <w:rFonts w:eastAsia="Times New Roman"/>
                    </w:rPr>
                    <w:t>5</w:t>
                  </w:r>
                </w:p>
              </w:tc>
              <w:tc>
                <w:tcPr>
                  <w:tcW w:w="362" w:type="pct"/>
                  <w:vAlign w:val="center"/>
                </w:tcPr>
                <w:p w14:paraId="64965BDD">
                  <w:pPr>
                    <w:pStyle w:val="149"/>
                    <w:rPr>
                      <w:rFonts w:eastAsia="Times New Roman"/>
                    </w:rPr>
                  </w:pPr>
                  <w:r>
                    <w:rPr>
                      <w:rFonts w:eastAsia="Times New Roman"/>
                    </w:rPr>
                    <w:t>10</w:t>
                  </w:r>
                </w:p>
              </w:tc>
              <w:tc>
                <w:tcPr>
                  <w:tcW w:w="311" w:type="pct"/>
                  <w:vAlign w:val="center"/>
                </w:tcPr>
                <w:p w14:paraId="79B4BA8E">
                  <w:pPr>
                    <w:pStyle w:val="149"/>
                    <w:rPr>
                      <w:rFonts w:eastAsia="Times New Roman"/>
                    </w:rPr>
                  </w:pPr>
                  <w:r>
                    <w:rPr>
                      <w:rFonts w:eastAsia="Times New Roman"/>
                    </w:rPr>
                    <w:t>15</w:t>
                  </w:r>
                </w:p>
              </w:tc>
              <w:tc>
                <w:tcPr>
                  <w:tcW w:w="311" w:type="pct"/>
                  <w:vAlign w:val="center"/>
                </w:tcPr>
                <w:p w14:paraId="7ED88F91">
                  <w:pPr>
                    <w:pStyle w:val="149"/>
                    <w:rPr>
                      <w:rFonts w:eastAsia="Times New Roman"/>
                    </w:rPr>
                  </w:pPr>
                  <w:r>
                    <w:rPr>
                      <w:rFonts w:eastAsia="Times New Roman"/>
                    </w:rPr>
                    <w:t>20</w:t>
                  </w:r>
                </w:p>
              </w:tc>
              <w:tc>
                <w:tcPr>
                  <w:tcW w:w="439" w:type="pct"/>
                  <w:vAlign w:val="center"/>
                </w:tcPr>
                <w:p w14:paraId="6840EFAD">
                  <w:pPr>
                    <w:pStyle w:val="149"/>
                    <w:rPr>
                      <w:rFonts w:eastAsia="Times New Roman"/>
                    </w:rPr>
                  </w:pPr>
                  <w:r>
                    <w:rPr>
                      <w:rFonts w:eastAsia="Times New Roman"/>
                    </w:rPr>
                    <w:t>40</w:t>
                  </w:r>
                </w:p>
              </w:tc>
              <w:tc>
                <w:tcPr>
                  <w:tcW w:w="403" w:type="pct"/>
                  <w:vAlign w:val="center"/>
                </w:tcPr>
                <w:p w14:paraId="3671B353">
                  <w:pPr>
                    <w:pStyle w:val="149"/>
                    <w:rPr>
                      <w:rFonts w:eastAsia="Times New Roman"/>
                    </w:rPr>
                  </w:pPr>
                  <w:r>
                    <w:rPr>
                      <w:rFonts w:eastAsia="Times New Roman"/>
                    </w:rPr>
                    <w:t>70</w:t>
                  </w:r>
                </w:p>
              </w:tc>
              <w:tc>
                <w:tcPr>
                  <w:tcW w:w="403" w:type="pct"/>
                  <w:vAlign w:val="center"/>
                </w:tcPr>
                <w:p w14:paraId="4C411EEA">
                  <w:pPr>
                    <w:pStyle w:val="149"/>
                    <w:rPr>
                      <w:rFonts w:eastAsia="Times New Roman"/>
                    </w:rPr>
                  </w:pPr>
                  <w:r>
                    <w:rPr>
                      <w:rFonts w:eastAsia="Times New Roman"/>
                    </w:rPr>
                    <w:t>100</w:t>
                  </w:r>
                </w:p>
              </w:tc>
              <w:tc>
                <w:tcPr>
                  <w:tcW w:w="484" w:type="pct"/>
                  <w:vAlign w:val="center"/>
                </w:tcPr>
                <w:p w14:paraId="529360F4">
                  <w:pPr>
                    <w:pStyle w:val="149"/>
                    <w:rPr>
                      <w:rFonts w:eastAsia="Times New Roman"/>
                    </w:rPr>
                  </w:pPr>
                  <w:r>
                    <w:rPr>
                      <w:rFonts w:eastAsia="Times New Roman"/>
                    </w:rPr>
                    <w:t>120</w:t>
                  </w:r>
                </w:p>
              </w:tc>
              <w:tc>
                <w:tcPr>
                  <w:tcW w:w="566" w:type="pct"/>
                  <w:vAlign w:val="center"/>
                </w:tcPr>
                <w:p w14:paraId="00FB2D9E">
                  <w:pPr>
                    <w:pStyle w:val="149"/>
                    <w:rPr>
                      <w:rFonts w:eastAsia="Times New Roman"/>
                    </w:rPr>
                  </w:pPr>
                  <w:r>
                    <w:rPr>
                      <w:rFonts w:eastAsia="Times New Roman"/>
                    </w:rPr>
                    <w:t>170</w:t>
                  </w:r>
                </w:p>
              </w:tc>
              <w:tc>
                <w:tcPr>
                  <w:tcW w:w="629" w:type="pct"/>
                  <w:vAlign w:val="center"/>
                </w:tcPr>
                <w:p w14:paraId="1293E6B5">
                  <w:pPr>
                    <w:pStyle w:val="149"/>
                    <w:rPr>
                      <w:rFonts w:eastAsia="Times New Roman"/>
                    </w:rPr>
                  </w:pPr>
                  <w:r>
                    <w:rPr>
                      <w:rFonts w:eastAsia="Times New Roman"/>
                    </w:rPr>
                    <w:t>200</w:t>
                  </w:r>
                </w:p>
              </w:tc>
            </w:tr>
            <w:tr w14:paraId="7BFF4E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738" w:type="pct"/>
                  <w:vAlign w:val="center"/>
                </w:tcPr>
                <w:p w14:paraId="35F2ED3E">
                  <w:pPr>
                    <w:pStyle w:val="149"/>
                    <w:rPr>
                      <w:rFonts w:eastAsia="Times New Roman"/>
                    </w:rPr>
                  </w:pPr>
                  <w:bookmarkStart w:id="59" w:name="_Hlk196748651"/>
                  <w:r>
                    <w:rPr>
                      <w:rFonts w:hint="eastAsia" w:ascii="宋体" w:hAnsi="宋体" w:eastAsia="宋体" w:cs="宋体"/>
                    </w:rPr>
                    <w:t>施工准备</w:t>
                  </w:r>
                </w:p>
              </w:tc>
              <w:tc>
                <w:tcPr>
                  <w:tcW w:w="354" w:type="pct"/>
                  <w:vAlign w:val="center"/>
                </w:tcPr>
                <w:p w14:paraId="2B7FF81C">
                  <w:pPr>
                    <w:pStyle w:val="149"/>
                    <w:rPr>
                      <w:rFonts w:eastAsia="Times New Roman"/>
                    </w:rPr>
                  </w:pPr>
                  <w:r>
                    <w:rPr>
                      <w:rFonts w:eastAsia="Times New Roman"/>
                    </w:rPr>
                    <w:t>94</w:t>
                  </w:r>
                </w:p>
              </w:tc>
              <w:tc>
                <w:tcPr>
                  <w:tcW w:w="362" w:type="pct"/>
                  <w:vAlign w:val="center"/>
                </w:tcPr>
                <w:p w14:paraId="33C3B746">
                  <w:pPr>
                    <w:pStyle w:val="149"/>
                    <w:rPr>
                      <w:rFonts w:eastAsia="Times New Roman"/>
                    </w:rPr>
                  </w:pPr>
                  <w:r>
                    <w:rPr>
                      <w:rFonts w:eastAsia="Times New Roman"/>
                    </w:rPr>
                    <w:t>88</w:t>
                  </w:r>
                </w:p>
              </w:tc>
              <w:tc>
                <w:tcPr>
                  <w:tcW w:w="311" w:type="pct"/>
                  <w:vAlign w:val="center"/>
                </w:tcPr>
                <w:p w14:paraId="4F298B9A">
                  <w:pPr>
                    <w:pStyle w:val="149"/>
                    <w:rPr>
                      <w:rFonts w:eastAsia="Times New Roman"/>
                    </w:rPr>
                  </w:pPr>
                  <w:r>
                    <w:rPr>
                      <w:rFonts w:eastAsia="Times New Roman"/>
                    </w:rPr>
                    <w:t>84</w:t>
                  </w:r>
                </w:p>
              </w:tc>
              <w:tc>
                <w:tcPr>
                  <w:tcW w:w="311" w:type="pct"/>
                  <w:vAlign w:val="center"/>
                </w:tcPr>
                <w:p w14:paraId="3825F6A4">
                  <w:pPr>
                    <w:pStyle w:val="149"/>
                    <w:rPr>
                      <w:rFonts w:eastAsia="Times New Roman"/>
                    </w:rPr>
                  </w:pPr>
                  <w:r>
                    <w:rPr>
                      <w:rFonts w:eastAsia="Times New Roman"/>
                    </w:rPr>
                    <w:t>82</w:t>
                  </w:r>
                </w:p>
              </w:tc>
              <w:tc>
                <w:tcPr>
                  <w:tcW w:w="439" w:type="pct"/>
                  <w:vAlign w:val="center"/>
                </w:tcPr>
                <w:p w14:paraId="05FD334F">
                  <w:pPr>
                    <w:pStyle w:val="149"/>
                    <w:rPr>
                      <w:rFonts w:eastAsia="Times New Roman"/>
                    </w:rPr>
                  </w:pPr>
                  <w:r>
                    <w:rPr>
                      <w:rFonts w:eastAsia="Times New Roman"/>
                    </w:rPr>
                    <w:t>76</w:t>
                  </w:r>
                </w:p>
              </w:tc>
              <w:tc>
                <w:tcPr>
                  <w:tcW w:w="403" w:type="pct"/>
                  <w:vAlign w:val="center"/>
                </w:tcPr>
                <w:p w14:paraId="72E2207B">
                  <w:pPr>
                    <w:pStyle w:val="149"/>
                    <w:rPr>
                      <w:rFonts w:eastAsia="Times New Roman"/>
                    </w:rPr>
                  </w:pPr>
                  <w:r>
                    <w:rPr>
                      <w:rFonts w:eastAsia="Times New Roman"/>
                    </w:rPr>
                    <w:t>71</w:t>
                  </w:r>
                </w:p>
              </w:tc>
              <w:tc>
                <w:tcPr>
                  <w:tcW w:w="403" w:type="pct"/>
                  <w:vAlign w:val="center"/>
                </w:tcPr>
                <w:p w14:paraId="5F1F216D">
                  <w:pPr>
                    <w:pStyle w:val="149"/>
                    <w:rPr>
                      <w:rFonts w:eastAsia="Times New Roman"/>
                    </w:rPr>
                  </w:pPr>
                  <w:r>
                    <w:rPr>
                      <w:rFonts w:eastAsia="Times New Roman"/>
                    </w:rPr>
                    <w:t>68</w:t>
                  </w:r>
                </w:p>
              </w:tc>
              <w:tc>
                <w:tcPr>
                  <w:tcW w:w="484" w:type="pct"/>
                  <w:vAlign w:val="center"/>
                </w:tcPr>
                <w:p w14:paraId="2CDDD99C">
                  <w:pPr>
                    <w:pStyle w:val="149"/>
                    <w:rPr>
                      <w:rFonts w:eastAsia="Times New Roman"/>
                    </w:rPr>
                  </w:pPr>
                  <w:r>
                    <w:rPr>
                      <w:rFonts w:eastAsia="Times New Roman"/>
                    </w:rPr>
                    <w:t>66</w:t>
                  </w:r>
                </w:p>
              </w:tc>
              <w:tc>
                <w:tcPr>
                  <w:tcW w:w="566" w:type="pct"/>
                  <w:vAlign w:val="center"/>
                </w:tcPr>
                <w:p w14:paraId="35D65CA3">
                  <w:pPr>
                    <w:pStyle w:val="149"/>
                    <w:rPr>
                      <w:rFonts w:eastAsia="Times New Roman"/>
                    </w:rPr>
                  </w:pPr>
                  <w:r>
                    <w:rPr>
                      <w:rFonts w:eastAsia="Times New Roman"/>
                    </w:rPr>
                    <w:t>63</w:t>
                  </w:r>
                </w:p>
              </w:tc>
              <w:tc>
                <w:tcPr>
                  <w:tcW w:w="629" w:type="pct"/>
                  <w:vAlign w:val="center"/>
                </w:tcPr>
                <w:p w14:paraId="4F1FDF4F">
                  <w:pPr>
                    <w:pStyle w:val="149"/>
                    <w:rPr>
                      <w:rFonts w:eastAsia="Times New Roman"/>
                    </w:rPr>
                  </w:pPr>
                  <w:r>
                    <w:rPr>
                      <w:rFonts w:eastAsia="Times New Roman"/>
                    </w:rPr>
                    <w:t>62</w:t>
                  </w:r>
                </w:p>
              </w:tc>
            </w:tr>
            <w:bookmarkEnd w:id="59"/>
            <w:tr w14:paraId="097AEB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738" w:type="pct"/>
                  <w:vAlign w:val="center"/>
                </w:tcPr>
                <w:p w14:paraId="30C10F0B">
                  <w:pPr>
                    <w:pStyle w:val="149"/>
                    <w:rPr>
                      <w:rFonts w:eastAsia="Times New Roman"/>
                    </w:rPr>
                  </w:pPr>
                  <w:r>
                    <w:rPr>
                      <w:rFonts w:hint="eastAsia" w:ascii="宋体" w:hAnsi="宋体" w:eastAsia="宋体" w:cs="宋体"/>
                    </w:rPr>
                    <w:t>土建施工</w:t>
                  </w:r>
                </w:p>
              </w:tc>
              <w:tc>
                <w:tcPr>
                  <w:tcW w:w="354" w:type="pct"/>
                  <w:vAlign w:val="center"/>
                </w:tcPr>
                <w:p w14:paraId="6FFCDD87">
                  <w:pPr>
                    <w:pStyle w:val="149"/>
                    <w:rPr>
                      <w:rFonts w:eastAsia="Times New Roman"/>
                    </w:rPr>
                  </w:pPr>
                  <w:r>
                    <w:rPr>
                      <w:rFonts w:eastAsia="Times New Roman"/>
                    </w:rPr>
                    <w:t>100</w:t>
                  </w:r>
                </w:p>
              </w:tc>
              <w:tc>
                <w:tcPr>
                  <w:tcW w:w="362" w:type="pct"/>
                  <w:vAlign w:val="center"/>
                </w:tcPr>
                <w:p w14:paraId="7BD89F87">
                  <w:pPr>
                    <w:pStyle w:val="149"/>
                    <w:rPr>
                      <w:rFonts w:eastAsia="Times New Roman"/>
                    </w:rPr>
                  </w:pPr>
                  <w:r>
                    <w:rPr>
                      <w:rFonts w:eastAsia="Times New Roman"/>
                    </w:rPr>
                    <w:t>94</w:t>
                  </w:r>
                </w:p>
              </w:tc>
              <w:tc>
                <w:tcPr>
                  <w:tcW w:w="311" w:type="pct"/>
                  <w:vAlign w:val="center"/>
                </w:tcPr>
                <w:p w14:paraId="155B54C3">
                  <w:pPr>
                    <w:pStyle w:val="149"/>
                    <w:rPr>
                      <w:rFonts w:eastAsia="Times New Roman"/>
                    </w:rPr>
                  </w:pPr>
                  <w:r>
                    <w:rPr>
                      <w:rFonts w:eastAsia="Times New Roman"/>
                    </w:rPr>
                    <w:t>90</w:t>
                  </w:r>
                </w:p>
              </w:tc>
              <w:tc>
                <w:tcPr>
                  <w:tcW w:w="311" w:type="pct"/>
                  <w:vAlign w:val="center"/>
                </w:tcPr>
                <w:p w14:paraId="65B90ACC">
                  <w:pPr>
                    <w:pStyle w:val="149"/>
                    <w:rPr>
                      <w:rFonts w:eastAsia="Times New Roman"/>
                    </w:rPr>
                  </w:pPr>
                  <w:r>
                    <w:rPr>
                      <w:rFonts w:eastAsia="Times New Roman"/>
                    </w:rPr>
                    <w:t>88</w:t>
                  </w:r>
                </w:p>
              </w:tc>
              <w:tc>
                <w:tcPr>
                  <w:tcW w:w="439" w:type="pct"/>
                  <w:vAlign w:val="center"/>
                </w:tcPr>
                <w:p w14:paraId="36E45C56">
                  <w:pPr>
                    <w:pStyle w:val="149"/>
                    <w:rPr>
                      <w:rFonts w:eastAsia="Times New Roman"/>
                    </w:rPr>
                  </w:pPr>
                  <w:r>
                    <w:rPr>
                      <w:rFonts w:eastAsia="Times New Roman"/>
                    </w:rPr>
                    <w:t>82</w:t>
                  </w:r>
                </w:p>
              </w:tc>
              <w:tc>
                <w:tcPr>
                  <w:tcW w:w="403" w:type="pct"/>
                  <w:vAlign w:val="center"/>
                </w:tcPr>
                <w:p w14:paraId="6238537A">
                  <w:pPr>
                    <w:pStyle w:val="149"/>
                    <w:rPr>
                      <w:rFonts w:eastAsia="Times New Roman"/>
                    </w:rPr>
                  </w:pPr>
                  <w:r>
                    <w:rPr>
                      <w:rFonts w:eastAsia="Times New Roman"/>
                    </w:rPr>
                    <w:t>77</w:t>
                  </w:r>
                </w:p>
              </w:tc>
              <w:tc>
                <w:tcPr>
                  <w:tcW w:w="403" w:type="pct"/>
                  <w:vAlign w:val="center"/>
                </w:tcPr>
                <w:p w14:paraId="6E1131AD">
                  <w:pPr>
                    <w:pStyle w:val="149"/>
                    <w:rPr>
                      <w:rFonts w:eastAsia="Times New Roman"/>
                    </w:rPr>
                  </w:pPr>
                  <w:r>
                    <w:rPr>
                      <w:rFonts w:eastAsia="Times New Roman"/>
                    </w:rPr>
                    <w:t>74</w:t>
                  </w:r>
                </w:p>
              </w:tc>
              <w:tc>
                <w:tcPr>
                  <w:tcW w:w="484" w:type="pct"/>
                  <w:vAlign w:val="center"/>
                </w:tcPr>
                <w:p w14:paraId="52935E75">
                  <w:pPr>
                    <w:pStyle w:val="149"/>
                    <w:rPr>
                      <w:rFonts w:eastAsia="Times New Roman"/>
                    </w:rPr>
                  </w:pPr>
                  <w:r>
                    <w:rPr>
                      <w:rFonts w:eastAsia="Times New Roman"/>
                    </w:rPr>
                    <w:t>72</w:t>
                  </w:r>
                </w:p>
              </w:tc>
              <w:tc>
                <w:tcPr>
                  <w:tcW w:w="566" w:type="pct"/>
                  <w:vAlign w:val="center"/>
                </w:tcPr>
                <w:p w14:paraId="3A0D6958">
                  <w:pPr>
                    <w:pStyle w:val="149"/>
                    <w:rPr>
                      <w:rFonts w:eastAsia="Times New Roman"/>
                    </w:rPr>
                  </w:pPr>
                  <w:r>
                    <w:rPr>
                      <w:rFonts w:eastAsia="Times New Roman"/>
                    </w:rPr>
                    <w:t>69</w:t>
                  </w:r>
                </w:p>
              </w:tc>
              <w:tc>
                <w:tcPr>
                  <w:tcW w:w="629" w:type="pct"/>
                  <w:vAlign w:val="center"/>
                </w:tcPr>
                <w:p w14:paraId="416D26A7">
                  <w:pPr>
                    <w:pStyle w:val="149"/>
                    <w:rPr>
                      <w:rFonts w:eastAsia="Times New Roman"/>
                    </w:rPr>
                  </w:pPr>
                  <w:r>
                    <w:rPr>
                      <w:rFonts w:eastAsia="Times New Roman"/>
                    </w:rPr>
                    <w:t>68</w:t>
                  </w:r>
                </w:p>
              </w:tc>
            </w:tr>
            <w:tr w14:paraId="1EC6D9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38" w:type="pct"/>
                  <w:vAlign w:val="center"/>
                </w:tcPr>
                <w:p w14:paraId="6324514E">
                  <w:pPr>
                    <w:pStyle w:val="149"/>
                    <w:rPr>
                      <w:rFonts w:eastAsia="Times New Roman"/>
                    </w:rPr>
                  </w:pPr>
                  <w:r>
                    <w:rPr>
                      <w:rFonts w:hint="eastAsia" w:ascii="宋体" w:hAnsi="宋体" w:eastAsia="宋体" w:cs="宋体"/>
                    </w:rPr>
                    <w:t>设备安装</w:t>
                  </w:r>
                </w:p>
              </w:tc>
              <w:tc>
                <w:tcPr>
                  <w:tcW w:w="354" w:type="pct"/>
                  <w:vAlign w:val="center"/>
                </w:tcPr>
                <w:p w14:paraId="1ED82AEF">
                  <w:pPr>
                    <w:pStyle w:val="149"/>
                    <w:rPr>
                      <w:rFonts w:eastAsia="Times New Roman"/>
                    </w:rPr>
                  </w:pPr>
                  <w:r>
                    <w:rPr>
                      <w:rFonts w:eastAsia="Times New Roman"/>
                    </w:rPr>
                    <w:t>93</w:t>
                  </w:r>
                </w:p>
              </w:tc>
              <w:tc>
                <w:tcPr>
                  <w:tcW w:w="362" w:type="pct"/>
                  <w:vAlign w:val="center"/>
                </w:tcPr>
                <w:p w14:paraId="312A723F">
                  <w:pPr>
                    <w:pStyle w:val="149"/>
                    <w:rPr>
                      <w:rFonts w:eastAsia="Times New Roman"/>
                    </w:rPr>
                  </w:pPr>
                  <w:r>
                    <w:rPr>
                      <w:rFonts w:eastAsia="Times New Roman"/>
                    </w:rPr>
                    <w:t>87</w:t>
                  </w:r>
                </w:p>
              </w:tc>
              <w:tc>
                <w:tcPr>
                  <w:tcW w:w="311" w:type="pct"/>
                  <w:vAlign w:val="center"/>
                </w:tcPr>
                <w:p w14:paraId="0E94B4A7">
                  <w:pPr>
                    <w:pStyle w:val="149"/>
                    <w:rPr>
                      <w:rFonts w:eastAsia="Times New Roman"/>
                    </w:rPr>
                  </w:pPr>
                  <w:r>
                    <w:rPr>
                      <w:rFonts w:eastAsia="Times New Roman"/>
                    </w:rPr>
                    <w:t>83</w:t>
                  </w:r>
                </w:p>
              </w:tc>
              <w:tc>
                <w:tcPr>
                  <w:tcW w:w="311" w:type="pct"/>
                  <w:vAlign w:val="center"/>
                </w:tcPr>
                <w:p w14:paraId="301403FE">
                  <w:pPr>
                    <w:pStyle w:val="149"/>
                    <w:rPr>
                      <w:rFonts w:eastAsia="Times New Roman"/>
                    </w:rPr>
                  </w:pPr>
                  <w:r>
                    <w:rPr>
                      <w:rFonts w:eastAsia="Times New Roman"/>
                    </w:rPr>
                    <w:t>81</w:t>
                  </w:r>
                </w:p>
              </w:tc>
              <w:tc>
                <w:tcPr>
                  <w:tcW w:w="439" w:type="pct"/>
                  <w:vAlign w:val="center"/>
                </w:tcPr>
                <w:p w14:paraId="2386F6B4">
                  <w:pPr>
                    <w:pStyle w:val="149"/>
                    <w:rPr>
                      <w:rFonts w:eastAsia="Times New Roman"/>
                    </w:rPr>
                  </w:pPr>
                  <w:r>
                    <w:rPr>
                      <w:rFonts w:eastAsia="Times New Roman"/>
                    </w:rPr>
                    <w:t>75</w:t>
                  </w:r>
                </w:p>
              </w:tc>
              <w:tc>
                <w:tcPr>
                  <w:tcW w:w="403" w:type="pct"/>
                  <w:vAlign w:val="center"/>
                </w:tcPr>
                <w:p w14:paraId="428E2C21">
                  <w:pPr>
                    <w:pStyle w:val="149"/>
                    <w:rPr>
                      <w:rFonts w:eastAsia="Times New Roman"/>
                    </w:rPr>
                  </w:pPr>
                  <w:r>
                    <w:rPr>
                      <w:rFonts w:eastAsia="Times New Roman"/>
                    </w:rPr>
                    <w:t>70</w:t>
                  </w:r>
                </w:p>
              </w:tc>
              <w:tc>
                <w:tcPr>
                  <w:tcW w:w="403" w:type="pct"/>
                  <w:vAlign w:val="center"/>
                </w:tcPr>
                <w:p w14:paraId="494A1751">
                  <w:pPr>
                    <w:pStyle w:val="149"/>
                    <w:rPr>
                      <w:rFonts w:eastAsia="Times New Roman"/>
                    </w:rPr>
                  </w:pPr>
                  <w:r>
                    <w:rPr>
                      <w:rFonts w:eastAsia="Times New Roman"/>
                    </w:rPr>
                    <w:t>67</w:t>
                  </w:r>
                </w:p>
              </w:tc>
              <w:tc>
                <w:tcPr>
                  <w:tcW w:w="484" w:type="pct"/>
                  <w:vAlign w:val="center"/>
                </w:tcPr>
                <w:p w14:paraId="2B34E371">
                  <w:pPr>
                    <w:pStyle w:val="149"/>
                    <w:rPr>
                      <w:rFonts w:eastAsia="Times New Roman"/>
                    </w:rPr>
                  </w:pPr>
                  <w:r>
                    <w:rPr>
                      <w:rFonts w:eastAsia="Times New Roman"/>
                    </w:rPr>
                    <w:t>65</w:t>
                  </w:r>
                </w:p>
              </w:tc>
              <w:tc>
                <w:tcPr>
                  <w:tcW w:w="566" w:type="pct"/>
                  <w:vAlign w:val="center"/>
                </w:tcPr>
                <w:p w14:paraId="67766ABD">
                  <w:pPr>
                    <w:pStyle w:val="149"/>
                    <w:rPr>
                      <w:rFonts w:eastAsia="Times New Roman"/>
                    </w:rPr>
                  </w:pPr>
                  <w:r>
                    <w:rPr>
                      <w:rFonts w:eastAsia="Times New Roman"/>
                    </w:rPr>
                    <w:t>62</w:t>
                  </w:r>
                </w:p>
              </w:tc>
              <w:tc>
                <w:tcPr>
                  <w:tcW w:w="629" w:type="pct"/>
                  <w:vAlign w:val="center"/>
                </w:tcPr>
                <w:p w14:paraId="4123EAFE">
                  <w:pPr>
                    <w:pStyle w:val="149"/>
                    <w:rPr>
                      <w:rFonts w:eastAsia="Times New Roman"/>
                    </w:rPr>
                  </w:pPr>
                  <w:r>
                    <w:rPr>
                      <w:rFonts w:eastAsia="Times New Roman"/>
                    </w:rPr>
                    <w:t>61</w:t>
                  </w:r>
                </w:p>
              </w:tc>
            </w:tr>
          </w:tbl>
          <w:p w14:paraId="2BA1CB6F">
            <w:pPr>
              <w:spacing w:before="120" w:beforeLines="50" w:line="360" w:lineRule="auto"/>
              <w:ind w:firstLine="420" w:firstLineChars="200"/>
              <w:rPr>
                <w:szCs w:val="21"/>
              </w:rPr>
            </w:pPr>
            <w:r>
              <w:rPr>
                <w:rFonts w:hint="eastAsia"/>
                <w:szCs w:val="21"/>
              </w:rPr>
              <w:t>备注：项目夜间不施工。</w:t>
            </w:r>
          </w:p>
          <w:p w14:paraId="754589C3">
            <w:pPr>
              <w:spacing w:line="360" w:lineRule="auto"/>
              <w:ind w:firstLine="480" w:firstLineChars="200"/>
              <w:rPr>
                <w:bCs/>
                <w:sz w:val="24"/>
              </w:rPr>
            </w:pPr>
            <w:r>
              <w:rPr>
                <w:rFonts w:hint="eastAsia"/>
                <w:sz w:val="24"/>
              </w:rPr>
              <w:t>从表</w:t>
            </w:r>
            <w:r>
              <w:rPr>
                <w:sz w:val="24"/>
              </w:rPr>
              <w:t>4-4</w:t>
            </w:r>
            <w:r>
              <w:rPr>
                <w:rFonts w:hint="eastAsia"/>
                <w:sz w:val="24"/>
              </w:rPr>
              <w:t>可知，施工准备期和设备安装期场界外</w:t>
            </w:r>
            <w:r>
              <w:rPr>
                <w:sz w:val="24"/>
              </w:rPr>
              <w:t>100</w:t>
            </w:r>
            <w:r>
              <w:rPr>
                <w:rFonts w:hint="eastAsia"/>
                <w:sz w:val="24"/>
              </w:rPr>
              <w:t>处昼间噪声满足《</w:t>
            </w:r>
            <w:r>
              <w:rPr>
                <w:rFonts w:hint="eastAsia"/>
                <w:bCs/>
                <w:sz w:val="24"/>
              </w:rPr>
              <w:t>建筑施工场界环境噪声排放标准》（</w:t>
            </w:r>
            <w:r>
              <w:rPr>
                <w:bCs/>
                <w:sz w:val="24"/>
              </w:rPr>
              <w:t>GB12523-2011</w:t>
            </w:r>
            <w:r>
              <w:rPr>
                <w:rFonts w:hint="eastAsia"/>
                <w:bCs/>
                <w:sz w:val="24"/>
              </w:rPr>
              <w:t>）中昼间</w:t>
            </w:r>
            <w:r>
              <w:rPr>
                <w:bCs/>
                <w:sz w:val="24"/>
              </w:rPr>
              <w:t>70</w:t>
            </w:r>
            <w:r>
              <w:rPr>
                <w:sz w:val="24"/>
              </w:rPr>
              <w:t>dB(A)</w:t>
            </w:r>
            <w:r>
              <w:rPr>
                <w:rFonts w:hint="eastAsia"/>
                <w:sz w:val="24"/>
              </w:rPr>
              <w:t>的限值要求；土建施工期场界外</w:t>
            </w:r>
            <w:r>
              <w:rPr>
                <w:sz w:val="24"/>
              </w:rPr>
              <w:t>170m</w:t>
            </w:r>
            <w:r>
              <w:rPr>
                <w:rFonts w:hint="eastAsia"/>
                <w:sz w:val="24"/>
              </w:rPr>
              <w:t>处昼间噪声满足</w:t>
            </w:r>
            <w:r>
              <w:rPr>
                <w:rFonts w:hint="eastAsia"/>
                <w:bCs/>
                <w:sz w:val="24"/>
              </w:rPr>
              <w:t>《建筑施工场界环境噪声排放标准》（</w:t>
            </w:r>
            <w:r>
              <w:rPr>
                <w:bCs/>
                <w:sz w:val="24"/>
              </w:rPr>
              <w:t>GB12523-2011</w:t>
            </w:r>
            <w:r>
              <w:rPr>
                <w:rFonts w:hint="eastAsia"/>
                <w:bCs/>
                <w:sz w:val="24"/>
              </w:rPr>
              <w:t>）中昼间</w:t>
            </w:r>
            <w:r>
              <w:rPr>
                <w:bCs/>
                <w:sz w:val="24"/>
              </w:rPr>
              <w:t>70</w:t>
            </w:r>
            <w:r>
              <w:rPr>
                <w:sz w:val="24"/>
              </w:rPr>
              <w:t>dB(A)</w:t>
            </w:r>
            <w:r>
              <w:rPr>
                <w:rFonts w:hint="eastAsia"/>
                <w:sz w:val="24"/>
              </w:rPr>
              <w:t>的限值要求</w:t>
            </w:r>
            <w:r>
              <w:rPr>
                <w:rFonts w:hint="eastAsia"/>
                <w:bCs/>
                <w:sz w:val="24"/>
              </w:rPr>
              <w:t>。</w:t>
            </w:r>
          </w:p>
          <w:p w14:paraId="5E440C1C">
            <w:pPr>
              <w:spacing w:line="360" w:lineRule="auto"/>
              <w:ind w:firstLine="480" w:firstLineChars="200"/>
              <w:rPr>
                <w:bCs/>
                <w:sz w:val="24"/>
              </w:rPr>
            </w:pPr>
            <w:r>
              <w:rPr>
                <w:rFonts w:hint="eastAsia"/>
                <w:bCs/>
                <w:sz w:val="24"/>
              </w:rPr>
              <w:t>本项目储能电站周边</w:t>
            </w:r>
            <w:r>
              <w:rPr>
                <w:bCs/>
                <w:sz w:val="24"/>
              </w:rPr>
              <w:t>50</w:t>
            </w:r>
            <w:r>
              <w:rPr>
                <w:rFonts w:hint="eastAsia"/>
                <w:bCs/>
                <w:sz w:val="24"/>
              </w:rPr>
              <w:t>米范围内无声环境保护目标。工程施工前，需先行修建实体围墙</w:t>
            </w:r>
            <w:r>
              <w:rPr>
                <w:bCs/>
                <w:sz w:val="24"/>
              </w:rPr>
              <w:t>/</w:t>
            </w:r>
            <w:r>
              <w:rPr>
                <w:rFonts w:hint="eastAsia"/>
                <w:bCs/>
                <w:sz w:val="24"/>
              </w:rPr>
              <w:t>围栏，并且采用低噪设备</w:t>
            </w:r>
            <w:r>
              <w:rPr>
                <w:bCs/>
                <w:sz w:val="24"/>
              </w:rPr>
              <w:t>(</w:t>
            </w:r>
            <w:r>
              <w:rPr>
                <w:rFonts w:hint="eastAsia"/>
                <w:bCs/>
                <w:sz w:val="24"/>
              </w:rPr>
              <w:t>如打桩机</w:t>
            </w:r>
            <w:r>
              <w:rPr>
                <w:bCs/>
                <w:sz w:val="24"/>
              </w:rPr>
              <w:t>)</w:t>
            </w:r>
            <w:r>
              <w:rPr>
                <w:rFonts w:hint="eastAsia"/>
                <w:bCs/>
                <w:sz w:val="24"/>
              </w:rPr>
              <w:t>进行施工，若多台设备同时施工，需在施工设备周围增加降噪量不小于</w:t>
            </w:r>
            <w:r>
              <w:rPr>
                <w:bCs/>
                <w:sz w:val="24"/>
              </w:rPr>
              <w:t>15dB(A)</w:t>
            </w:r>
            <w:r>
              <w:rPr>
                <w:rFonts w:hint="eastAsia"/>
                <w:bCs/>
                <w:sz w:val="24"/>
              </w:rPr>
              <w:t>的移动式隔声屏障，确保施工场界达标。</w:t>
            </w:r>
          </w:p>
          <w:p w14:paraId="2F704630">
            <w:pPr>
              <w:spacing w:line="360" w:lineRule="auto"/>
              <w:ind w:firstLine="480" w:firstLineChars="200"/>
              <w:rPr>
                <w:bCs/>
                <w:sz w:val="24"/>
              </w:rPr>
            </w:pPr>
            <w:r>
              <w:rPr>
                <w:rFonts w:hint="eastAsia"/>
                <w:bCs/>
                <w:sz w:val="24"/>
              </w:rPr>
              <w:t>为减轻噪声对环境产生的影响，本项目禁止夜间施工，建设单位和施工单位应严格执行《中华人民共和国噪声污染防治法》和广东省噪声污染的相关规定，本环评要求只在昼间进行施工和交通运输，如因工艺要求必须夜间施工，则应取得相关部门证明并公告附近公众。</w:t>
            </w:r>
          </w:p>
          <w:p w14:paraId="45D31723">
            <w:pPr>
              <w:spacing w:line="360" w:lineRule="auto"/>
              <w:ind w:firstLine="480" w:firstLineChars="200"/>
              <w:rPr>
                <w:sz w:val="24"/>
              </w:rPr>
            </w:pPr>
            <w:r>
              <w:rPr>
                <w:rFonts w:hint="eastAsia"/>
                <w:bCs/>
                <w:sz w:val="24"/>
              </w:rPr>
              <w:t>本工程施工可通过控制施工时间、控制施工机械等方式减少对周围环境的影响，经过对施工噪声源的贡献值预测计算，昼间本工程施工期的噪声影响能控制在标准范围之内，不会构成噪声扰民问题，并且施工结束后噪声影响即可消失。</w:t>
            </w:r>
          </w:p>
          <w:p w14:paraId="4BD5A3DE">
            <w:pPr>
              <w:spacing w:line="360" w:lineRule="auto"/>
              <w:ind w:firstLine="482" w:firstLineChars="200"/>
              <w:rPr>
                <w:b/>
                <w:bCs/>
                <w:sz w:val="24"/>
              </w:rPr>
            </w:pPr>
            <w:r>
              <w:rPr>
                <w:rFonts w:hint="eastAsia"/>
                <w:b/>
                <w:bCs/>
                <w:sz w:val="24"/>
              </w:rPr>
              <w:t>（2）施工期水环境影响分析</w:t>
            </w:r>
          </w:p>
          <w:p w14:paraId="36AD4303">
            <w:pPr>
              <w:spacing w:line="360" w:lineRule="auto"/>
              <w:ind w:firstLine="480" w:firstLineChars="200"/>
              <w:rPr>
                <w:sz w:val="24"/>
              </w:rPr>
            </w:pPr>
            <w:r>
              <w:rPr>
                <w:sz w:val="24"/>
              </w:rPr>
              <w:t>1</w:t>
            </w:r>
            <w:r>
              <w:rPr>
                <w:rFonts w:hint="eastAsia"/>
                <w:sz w:val="24"/>
              </w:rPr>
              <w:t>）水污染源</w:t>
            </w:r>
          </w:p>
          <w:p w14:paraId="1165F41B">
            <w:pPr>
              <w:spacing w:line="360" w:lineRule="auto"/>
              <w:ind w:firstLine="480" w:firstLineChars="200"/>
              <w:rPr>
                <w:sz w:val="24"/>
              </w:rPr>
            </w:pPr>
            <w:r>
              <w:rPr>
                <w:rFonts w:hint="eastAsia"/>
                <w:sz w:val="24"/>
              </w:rPr>
              <w:t>施工期废水主要来自施工人员的生活污水和施工废水。生活污水：施工期生活污水为施工人员的生活污水；施工废水：施工废水主要包括雨水冲刷开挖土方及裸露场地产生的溺水，施工机械和进出车辆的冲洗水等。</w:t>
            </w:r>
          </w:p>
          <w:p w14:paraId="0B73303B">
            <w:pPr>
              <w:pStyle w:val="10"/>
            </w:pPr>
            <w:r>
              <w:t>2</w:t>
            </w:r>
            <w:r>
              <w:rPr>
                <w:rFonts w:hint="eastAsia"/>
              </w:rPr>
              <w:t>）水污染影响分析</w:t>
            </w:r>
          </w:p>
          <w:p w14:paraId="6565E417">
            <w:pPr>
              <w:pStyle w:val="10"/>
            </w:pPr>
            <w:r>
              <w:rPr>
                <w:rFonts w:hint="eastAsia"/>
              </w:rPr>
              <w:t>施工期平均每天设施工人员</w:t>
            </w:r>
            <w:r>
              <w:t>30</w:t>
            </w:r>
            <w:r>
              <w:rPr>
                <w:rFonts w:hint="eastAsia"/>
              </w:rPr>
              <w:t>人，根据广东省《用水定额第</w:t>
            </w:r>
            <w:r>
              <w:t>3</w:t>
            </w:r>
            <w:r>
              <w:rPr>
                <w:rFonts w:hint="eastAsia"/>
              </w:rPr>
              <w:t>部分：生活》（</w:t>
            </w:r>
            <w:r>
              <w:t>DB44/T1461.3-2021</w:t>
            </w:r>
            <w:r>
              <w:rPr>
                <w:rFonts w:hint="eastAsia"/>
              </w:rPr>
              <w:t>），惠州市生活用水定额取中等城镇</w:t>
            </w:r>
            <w:r>
              <w:t>150L/(</w:t>
            </w:r>
            <w:r>
              <w:rPr>
                <w:rFonts w:hint="eastAsia"/>
              </w:rPr>
              <w:t>人</w:t>
            </w:r>
            <w:r>
              <w:t>.</w:t>
            </w:r>
            <w:r>
              <w:rPr>
                <w:rFonts w:hint="eastAsia"/>
              </w:rPr>
              <w:t>日</w:t>
            </w:r>
            <w:r>
              <w:t>)</w:t>
            </w:r>
            <w:r>
              <w:rPr>
                <w:rFonts w:hint="eastAsia"/>
              </w:rPr>
              <w:t>，废水排放系数取</w:t>
            </w:r>
            <w:r>
              <w:t>0.8</w:t>
            </w:r>
            <w:r>
              <w:rPr>
                <w:rFonts w:hint="eastAsia"/>
              </w:rPr>
              <w:t>，则产生生活污水</w:t>
            </w:r>
            <w:r>
              <w:t>3.6t/d</w:t>
            </w:r>
            <w:r>
              <w:rPr>
                <w:rFonts w:hint="eastAsia"/>
              </w:rPr>
              <w:t>。项目施工期人员不在施工场地内食宿，施工人员的食宿依托附近出租房解决，生活污水经三级化粪池预处理达到广东省《水污染物排放限值》</w:t>
            </w:r>
            <w:r>
              <w:t>(DB44/26-2001)</w:t>
            </w:r>
            <w:r>
              <w:rPr>
                <w:rFonts w:hint="eastAsia"/>
              </w:rPr>
              <w:t>第二时段三级标准后排入市政污水管网，排入博罗县石湾镇大牛垒生活污水处理厂处理后达标排放。</w:t>
            </w:r>
          </w:p>
          <w:p w14:paraId="0253797E">
            <w:pPr>
              <w:spacing w:line="360" w:lineRule="auto"/>
              <w:ind w:firstLine="480"/>
              <w:rPr>
                <w:sz w:val="24"/>
              </w:rPr>
            </w:pPr>
            <w:r>
              <w:rPr>
                <w:rFonts w:hint="eastAsia"/>
                <w:sz w:val="24"/>
              </w:rPr>
              <w:t>施工废水的产生与工程施工期具有很大关系，施工前期由于基础的开挖，施工机械使用较多，施工废水产生较多。根据经验估算，施工废水产生量一天最多不超过</w:t>
            </w:r>
            <w:r>
              <w:rPr>
                <w:sz w:val="24"/>
              </w:rPr>
              <w:t>10t/d</w:t>
            </w:r>
            <w:r>
              <w:rPr>
                <w:rFonts w:hint="eastAsia"/>
                <w:sz w:val="24"/>
              </w:rPr>
              <w:t>。通过设置简易隔油沉砂池澄清处理后，上清液用于喷洒降尘，沉淀物应及时固化，用于基坑回填，并及时绿化。</w:t>
            </w:r>
          </w:p>
          <w:p w14:paraId="63FA2A50">
            <w:pPr>
              <w:spacing w:line="360" w:lineRule="auto"/>
              <w:ind w:firstLine="480"/>
              <w:rPr>
                <w:sz w:val="24"/>
              </w:rPr>
            </w:pPr>
            <w:r>
              <w:rPr>
                <w:rFonts w:hint="eastAsia"/>
                <w:sz w:val="24"/>
              </w:rPr>
              <w:t>故本项目施工期对地表水环境影响较小。</w:t>
            </w:r>
          </w:p>
          <w:p w14:paraId="52904BBE">
            <w:pPr>
              <w:spacing w:line="360" w:lineRule="auto"/>
              <w:ind w:firstLine="482" w:firstLineChars="200"/>
              <w:rPr>
                <w:b/>
                <w:bCs/>
                <w:sz w:val="24"/>
              </w:rPr>
            </w:pPr>
            <w:r>
              <w:rPr>
                <w:rFonts w:hint="eastAsia"/>
                <w:b/>
                <w:bCs/>
                <w:sz w:val="24"/>
              </w:rPr>
              <w:t>（3）施工期大气环境影响分析</w:t>
            </w:r>
          </w:p>
          <w:p w14:paraId="475B7EE8">
            <w:pPr>
              <w:spacing w:line="360" w:lineRule="auto"/>
              <w:ind w:firstLine="480"/>
              <w:rPr>
                <w:sz w:val="24"/>
              </w:rPr>
            </w:pPr>
            <w:bookmarkStart w:id="60" w:name="OLE_LINK32"/>
            <w:bookmarkStart w:id="61" w:name="OLE_LINK31"/>
            <w:r>
              <w:rPr>
                <w:rFonts w:hint="eastAsia"/>
                <w:sz w:val="24"/>
              </w:rPr>
              <w:t>施工过程中对大气环境的影响主要为施工场地扬尘、施工机械和运输车辆产生的尾气。</w:t>
            </w:r>
          </w:p>
          <w:p w14:paraId="3A01ABD4">
            <w:pPr>
              <w:spacing w:line="360" w:lineRule="auto"/>
              <w:ind w:firstLine="480"/>
              <w:rPr>
                <w:b/>
                <w:bCs/>
                <w:sz w:val="24"/>
              </w:rPr>
            </w:pPr>
            <w:r>
              <w:rPr>
                <w:b/>
                <w:bCs/>
                <w:sz w:val="24"/>
              </w:rPr>
              <w:t>1</w:t>
            </w:r>
            <w:r>
              <w:rPr>
                <w:rFonts w:hint="eastAsia"/>
                <w:b/>
                <w:bCs/>
                <w:sz w:val="24"/>
              </w:rPr>
              <w:t>）施工扬尘</w:t>
            </w:r>
          </w:p>
          <w:p w14:paraId="6B4A6584">
            <w:pPr>
              <w:spacing w:line="360" w:lineRule="auto"/>
              <w:ind w:firstLine="480"/>
              <w:rPr>
                <w:sz w:val="24"/>
              </w:rPr>
            </w:pPr>
            <w:r>
              <w:rPr>
                <w:rFonts w:hint="eastAsia"/>
                <w:b/>
                <w:sz w:val="24"/>
              </w:rPr>
              <w:t>施工场地扬尘：</w:t>
            </w:r>
            <w:bookmarkEnd w:id="60"/>
            <w:bookmarkEnd w:id="61"/>
            <w:r>
              <w:rPr>
                <w:rFonts w:hint="eastAsia"/>
                <w:sz w:val="24"/>
              </w:rPr>
              <w:t>本项目施工期间产生的扬尘主要集中在土建施工阶段，按扬尘产生的原因可分为风力扬尘和动力扬尘。风力扬尘主要是建筑材料、土方、施工垃圾露天堆放而产生的尘粒;而动力扬尘主要是在建材的装卸、搅拌、土方的挖掘过程中产生及人来车往所造成的现场道路扬尘，由于外力作用的尘粒悬浮，其中施工（如平地、打桩、挖掘、道路浇灌）及装卸、搅拌造成的扬尘最为严重。如遇到干旱无雨季节，加上大风、扬尘将更为严重。</w:t>
            </w:r>
          </w:p>
          <w:p w14:paraId="7687EDE8">
            <w:pPr>
              <w:spacing w:line="360" w:lineRule="auto"/>
              <w:ind w:firstLine="480"/>
              <w:rPr>
                <w:sz w:val="24"/>
              </w:rPr>
            </w:pPr>
            <w:r>
              <w:rPr>
                <w:rFonts w:hint="eastAsia"/>
                <w:sz w:val="24"/>
              </w:rPr>
              <w:t>由于扬尘源多且分散，属无组织排放。受施工方式、设备、气候等因素制约，产生的随机性和波动性较大。升压站和线路在土建施工时，由于填方和基础的开挖造成土地裸露，产生局部二次扬尘，可能对周围50m以内的局部地区产生暂时影响，但土建工程结束后即可恢复。此外，在建设期间，大件设备及其他设备材料的运输，可能会使所经道路产生扬尘问题，但该扬尘问题只是暂时的和流动的，当建设期结束，此问题亦会消失。</w:t>
            </w:r>
          </w:p>
          <w:p w14:paraId="3E94A091">
            <w:pPr>
              <w:spacing w:line="360" w:lineRule="auto"/>
              <w:ind w:firstLine="480"/>
              <w:rPr>
                <w:sz w:val="24"/>
              </w:rPr>
            </w:pPr>
            <w:r>
              <w:rPr>
                <w:rFonts w:hint="eastAsia"/>
                <w:sz w:val="24"/>
              </w:rPr>
              <w:t>综上，为进一步降低扬尘对周围环境空气的影响，控制施工期扬尘的主要措施可采用的方式：设置密闭围挡,对裸露地面进行酒水，超过四十八小时不作业的，采取覆盖等扬尘污染防治措施，加强管理，规范装卸操作，避免大风作业，及时清运建筑土方、渣土等。</w:t>
            </w:r>
          </w:p>
          <w:p w14:paraId="6F2D76AA">
            <w:pPr>
              <w:spacing w:line="360" w:lineRule="auto"/>
              <w:ind w:firstLine="480"/>
              <w:rPr>
                <w:sz w:val="24"/>
              </w:rPr>
            </w:pPr>
            <w:r>
              <w:rPr>
                <w:rFonts w:hint="eastAsia"/>
                <w:sz w:val="24"/>
              </w:rPr>
              <w:t>根据调查工场地洒水抑尘的实验效果，施工期间对车辆行驶的路面每天洒水4~5次，可使扬尘减少70%左右，并可将其污染距离缩小到20~50m范围，具体结果如下表：</w:t>
            </w:r>
          </w:p>
          <w:p w14:paraId="437E9AC2">
            <w:pPr>
              <w:pStyle w:val="2"/>
              <w:spacing w:before="0" w:after="0" w:line="240" w:lineRule="auto"/>
              <w:ind w:left="0" w:firstLine="0"/>
              <w:jc w:val="center"/>
              <w:rPr>
                <w:rFonts w:eastAsia="宋体"/>
                <w:bCs w:val="0"/>
                <w:color w:val="auto"/>
                <w:kern w:val="0"/>
                <w:sz w:val="24"/>
              </w:rPr>
            </w:pPr>
            <w:r>
              <w:rPr>
                <w:rFonts w:eastAsia="宋体"/>
                <w:bCs w:val="0"/>
                <w:color w:val="auto"/>
                <w:kern w:val="0"/>
                <w:sz w:val="24"/>
              </w:rPr>
              <w:t>表4-5不同车速和地面清洁程度时的汽车扬尘单位:1g/公里·辆</w:t>
            </w:r>
          </w:p>
          <w:tbl>
            <w:tblPr>
              <w:tblStyle w:val="15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1215"/>
              <w:gridCol w:w="1215"/>
              <w:gridCol w:w="1216"/>
              <w:gridCol w:w="1216"/>
              <w:gridCol w:w="1216"/>
              <w:gridCol w:w="1216"/>
            </w:tblGrid>
            <w:tr w14:paraId="17EDF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pct"/>
                  <w:tcBorders>
                    <w:top w:val="single" w:color="auto" w:sz="12" w:space="0"/>
                    <w:bottom w:val="single" w:color="auto" w:sz="4" w:space="0"/>
                    <w:tl2br w:val="single" w:color="auto" w:sz="4" w:space="0"/>
                  </w:tcBorders>
                  <w:vAlign w:val="center"/>
                </w:tcPr>
                <w:p w14:paraId="6712408A">
                  <w:pPr>
                    <w:pStyle w:val="149"/>
                    <w:jc w:val="distribute"/>
                    <w:rPr>
                      <w:rFonts w:hint="default" w:ascii="Times New Roman" w:hAnsi="Times New Roman" w:eastAsia="宋体" w:cs="Times New Roman"/>
                      <w:b/>
                      <w:i w:val="0"/>
                    </w:rPr>
                  </w:pPr>
                  <w:r>
                    <w:rPr>
                      <w:rFonts w:hint="eastAsia" w:ascii="Times New Roman" w:hAnsi="Times New Roman" w:eastAsia="宋体" w:cs="Times New Roman"/>
                      <w:b/>
                      <w:i w:val="0"/>
                    </w:rPr>
                    <w:t>V</w:t>
                  </w:r>
                  <w:r>
                    <w:rPr>
                      <w:rFonts w:hint="default" w:ascii="Times New Roman" w:hAnsi="Times New Roman" w:eastAsia="宋体" w:cs="Times New Roman"/>
                      <w:b/>
                      <w:i w:val="0"/>
                    </w:rPr>
                    <w:t>P</w:t>
                  </w:r>
                </w:p>
              </w:tc>
              <w:tc>
                <w:tcPr>
                  <w:tcW w:w="714" w:type="pct"/>
                  <w:vAlign w:val="center"/>
                </w:tcPr>
                <w:p w14:paraId="026B4C4E">
                  <w:pPr>
                    <w:pStyle w:val="149"/>
                    <w:rPr>
                      <w:rFonts w:hint="default" w:ascii="Times New Roman" w:hAnsi="Times New Roman" w:eastAsia="宋体" w:cs="Times New Roman"/>
                      <w:b/>
                      <w:i w:val="0"/>
                    </w:rPr>
                  </w:pPr>
                  <w:r>
                    <w:rPr>
                      <w:rFonts w:hint="default" w:ascii="Times New Roman" w:hAnsi="Times New Roman" w:eastAsia="宋体" w:cs="Times New Roman"/>
                      <w:b/>
                      <w:i w:val="0"/>
                    </w:rPr>
                    <w:t>0.1kg/</w:t>
                  </w:r>
                  <w:r>
                    <w:rPr>
                      <w:rFonts w:hint="eastAsia" w:ascii="Times New Roman" w:hAnsi="Times New Roman" w:eastAsia="宋体" w:cs="Times New Roman"/>
                      <w:b/>
                      <w:i w:val="0"/>
                    </w:rPr>
                    <w:t>m</w:t>
                  </w:r>
                  <w:r>
                    <w:rPr>
                      <w:rFonts w:hint="default" w:ascii="Times New Roman" w:hAnsi="Times New Roman" w:eastAsia="宋体" w:cs="Times New Roman"/>
                      <w:b/>
                      <w:i w:val="0"/>
                      <w:vertAlign w:val="superscript"/>
                    </w:rPr>
                    <w:t>2</w:t>
                  </w:r>
                </w:p>
              </w:tc>
              <w:tc>
                <w:tcPr>
                  <w:tcW w:w="714" w:type="pct"/>
                  <w:vAlign w:val="center"/>
                </w:tcPr>
                <w:p w14:paraId="460402CA">
                  <w:pPr>
                    <w:pStyle w:val="149"/>
                    <w:rPr>
                      <w:rFonts w:hint="default" w:ascii="Times New Roman" w:hAnsi="Times New Roman" w:eastAsia="宋体" w:cs="Times New Roman"/>
                      <w:b/>
                      <w:i w:val="0"/>
                    </w:rPr>
                  </w:pPr>
                  <w:r>
                    <w:rPr>
                      <w:rFonts w:hint="eastAsia" w:ascii="Times New Roman" w:hAnsi="Times New Roman" w:eastAsia="宋体" w:cs="Times New Roman"/>
                      <w:b/>
                      <w:i w:val="0"/>
                    </w:rPr>
                    <w:t>0</w:t>
                  </w:r>
                  <w:r>
                    <w:rPr>
                      <w:rFonts w:hint="default" w:ascii="Times New Roman" w:hAnsi="Times New Roman" w:eastAsia="宋体" w:cs="Times New Roman"/>
                      <w:b/>
                      <w:i w:val="0"/>
                    </w:rPr>
                    <w:t>.2kg/</w:t>
                  </w:r>
                  <w:r>
                    <w:rPr>
                      <w:rFonts w:hint="eastAsia" w:ascii="Times New Roman" w:hAnsi="Times New Roman" w:eastAsia="宋体" w:cs="Times New Roman"/>
                      <w:b/>
                      <w:i w:val="0"/>
                    </w:rPr>
                    <w:t>m</w:t>
                  </w:r>
                  <w:r>
                    <w:rPr>
                      <w:rFonts w:hint="default" w:ascii="Times New Roman" w:hAnsi="Times New Roman" w:eastAsia="宋体" w:cs="Times New Roman"/>
                      <w:b/>
                      <w:i w:val="0"/>
                      <w:vertAlign w:val="superscript"/>
                    </w:rPr>
                    <w:t>2</w:t>
                  </w:r>
                </w:p>
              </w:tc>
              <w:tc>
                <w:tcPr>
                  <w:tcW w:w="714" w:type="pct"/>
                  <w:vAlign w:val="center"/>
                </w:tcPr>
                <w:p w14:paraId="7D9F57D0">
                  <w:pPr>
                    <w:pStyle w:val="149"/>
                    <w:rPr>
                      <w:rFonts w:hint="default" w:ascii="Times New Roman" w:hAnsi="Times New Roman" w:eastAsia="宋体" w:cs="Times New Roman"/>
                      <w:b/>
                      <w:i w:val="0"/>
                    </w:rPr>
                  </w:pPr>
                  <w:r>
                    <w:rPr>
                      <w:rFonts w:hint="eastAsia" w:ascii="Times New Roman" w:hAnsi="Times New Roman" w:eastAsia="宋体" w:cs="Times New Roman"/>
                      <w:b/>
                      <w:i w:val="0"/>
                    </w:rPr>
                    <w:t>0</w:t>
                  </w:r>
                  <w:r>
                    <w:rPr>
                      <w:rFonts w:hint="default" w:ascii="Times New Roman" w:hAnsi="Times New Roman" w:eastAsia="宋体" w:cs="Times New Roman"/>
                      <w:b/>
                      <w:i w:val="0"/>
                    </w:rPr>
                    <w:t>.3kg/</w:t>
                  </w:r>
                  <w:r>
                    <w:rPr>
                      <w:rFonts w:hint="eastAsia" w:ascii="Times New Roman" w:hAnsi="Times New Roman" w:eastAsia="宋体" w:cs="Times New Roman"/>
                      <w:b/>
                      <w:i w:val="0"/>
                    </w:rPr>
                    <w:t>m</w:t>
                  </w:r>
                  <w:r>
                    <w:rPr>
                      <w:rFonts w:hint="default" w:ascii="Times New Roman" w:hAnsi="Times New Roman" w:eastAsia="宋体" w:cs="Times New Roman"/>
                      <w:b/>
                      <w:i w:val="0"/>
                      <w:vertAlign w:val="superscript"/>
                    </w:rPr>
                    <w:t>2</w:t>
                  </w:r>
                </w:p>
              </w:tc>
              <w:tc>
                <w:tcPr>
                  <w:tcW w:w="714" w:type="pct"/>
                  <w:vAlign w:val="center"/>
                </w:tcPr>
                <w:p w14:paraId="6907D2C8">
                  <w:pPr>
                    <w:pStyle w:val="149"/>
                    <w:rPr>
                      <w:rFonts w:hint="default" w:ascii="Times New Roman" w:hAnsi="Times New Roman" w:eastAsia="宋体" w:cs="Times New Roman"/>
                      <w:b/>
                      <w:i w:val="0"/>
                    </w:rPr>
                  </w:pPr>
                  <w:r>
                    <w:rPr>
                      <w:rFonts w:hint="eastAsia" w:ascii="Times New Roman" w:hAnsi="Times New Roman" w:eastAsia="宋体" w:cs="Times New Roman"/>
                      <w:b/>
                      <w:i w:val="0"/>
                    </w:rPr>
                    <w:t>0</w:t>
                  </w:r>
                  <w:r>
                    <w:rPr>
                      <w:rFonts w:hint="default" w:ascii="Times New Roman" w:hAnsi="Times New Roman" w:eastAsia="宋体" w:cs="Times New Roman"/>
                      <w:b/>
                      <w:i w:val="0"/>
                    </w:rPr>
                    <w:t>.4kg/</w:t>
                  </w:r>
                  <w:r>
                    <w:rPr>
                      <w:rFonts w:hint="eastAsia" w:ascii="Times New Roman" w:hAnsi="Times New Roman" w:eastAsia="宋体" w:cs="Times New Roman"/>
                      <w:b/>
                      <w:i w:val="0"/>
                    </w:rPr>
                    <w:t>m</w:t>
                  </w:r>
                  <w:r>
                    <w:rPr>
                      <w:rFonts w:hint="default" w:ascii="Times New Roman" w:hAnsi="Times New Roman" w:eastAsia="宋体" w:cs="Times New Roman"/>
                      <w:b/>
                      <w:i w:val="0"/>
                      <w:vertAlign w:val="superscript"/>
                    </w:rPr>
                    <w:t>2</w:t>
                  </w:r>
                </w:p>
              </w:tc>
              <w:tc>
                <w:tcPr>
                  <w:tcW w:w="714" w:type="pct"/>
                  <w:vAlign w:val="center"/>
                </w:tcPr>
                <w:p w14:paraId="412E6AA0">
                  <w:pPr>
                    <w:pStyle w:val="149"/>
                    <w:rPr>
                      <w:rFonts w:hint="default" w:ascii="Times New Roman" w:hAnsi="Times New Roman" w:eastAsia="宋体" w:cs="Times New Roman"/>
                      <w:b/>
                      <w:i w:val="0"/>
                    </w:rPr>
                  </w:pPr>
                  <w:r>
                    <w:rPr>
                      <w:rFonts w:hint="eastAsia" w:ascii="Times New Roman" w:hAnsi="Times New Roman" w:eastAsia="宋体" w:cs="Times New Roman"/>
                      <w:b/>
                      <w:i w:val="0"/>
                    </w:rPr>
                    <w:t>0</w:t>
                  </w:r>
                  <w:r>
                    <w:rPr>
                      <w:rFonts w:hint="default" w:ascii="Times New Roman" w:hAnsi="Times New Roman" w:eastAsia="宋体" w:cs="Times New Roman"/>
                      <w:b/>
                      <w:i w:val="0"/>
                    </w:rPr>
                    <w:t>.5kg/</w:t>
                  </w:r>
                  <w:r>
                    <w:rPr>
                      <w:rFonts w:hint="eastAsia" w:ascii="Times New Roman" w:hAnsi="Times New Roman" w:eastAsia="宋体" w:cs="Times New Roman"/>
                      <w:b/>
                      <w:i w:val="0"/>
                    </w:rPr>
                    <w:t>m</w:t>
                  </w:r>
                  <w:r>
                    <w:rPr>
                      <w:rFonts w:hint="default" w:ascii="Times New Roman" w:hAnsi="Times New Roman" w:eastAsia="宋体" w:cs="Times New Roman"/>
                      <w:b/>
                      <w:i w:val="0"/>
                      <w:vertAlign w:val="superscript"/>
                    </w:rPr>
                    <w:t>2</w:t>
                  </w:r>
                </w:p>
              </w:tc>
              <w:tc>
                <w:tcPr>
                  <w:tcW w:w="714" w:type="pct"/>
                  <w:vAlign w:val="center"/>
                </w:tcPr>
                <w:p w14:paraId="7A549166">
                  <w:pPr>
                    <w:pStyle w:val="149"/>
                    <w:rPr>
                      <w:rFonts w:hint="default" w:ascii="Times New Roman" w:hAnsi="Times New Roman" w:eastAsia="宋体" w:cs="Times New Roman"/>
                      <w:b/>
                      <w:i w:val="0"/>
                    </w:rPr>
                  </w:pPr>
                  <w:r>
                    <w:rPr>
                      <w:rFonts w:hint="eastAsia" w:ascii="Times New Roman" w:hAnsi="Times New Roman" w:eastAsia="宋体" w:cs="Times New Roman"/>
                      <w:b/>
                      <w:i w:val="0"/>
                    </w:rPr>
                    <w:t>1</w:t>
                  </w:r>
                  <w:r>
                    <w:rPr>
                      <w:rFonts w:hint="default" w:ascii="Times New Roman" w:hAnsi="Times New Roman" w:eastAsia="宋体" w:cs="Times New Roman"/>
                      <w:b/>
                      <w:i w:val="0"/>
                    </w:rPr>
                    <w:t>kg/</w:t>
                  </w:r>
                  <w:r>
                    <w:rPr>
                      <w:rFonts w:hint="eastAsia" w:ascii="Times New Roman" w:hAnsi="Times New Roman" w:eastAsia="宋体" w:cs="Times New Roman"/>
                      <w:b/>
                      <w:i w:val="0"/>
                    </w:rPr>
                    <w:t>m</w:t>
                  </w:r>
                  <w:r>
                    <w:rPr>
                      <w:rFonts w:hint="default" w:ascii="Times New Roman" w:hAnsi="Times New Roman" w:eastAsia="宋体" w:cs="Times New Roman"/>
                      <w:b/>
                      <w:i w:val="0"/>
                      <w:vertAlign w:val="superscript"/>
                    </w:rPr>
                    <w:t>2</w:t>
                  </w:r>
                </w:p>
              </w:tc>
            </w:tr>
            <w:tr w14:paraId="74DAE5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pct"/>
                  <w:tcBorders>
                    <w:top w:val="single" w:color="auto" w:sz="4" w:space="0"/>
                  </w:tcBorders>
                  <w:vAlign w:val="center"/>
                </w:tcPr>
                <w:p w14:paraId="467D7FF6">
                  <w:pPr>
                    <w:pStyle w:val="149"/>
                    <w:rPr>
                      <w:rFonts w:eastAsia="Times New Roman"/>
                    </w:rPr>
                  </w:pPr>
                  <w:r>
                    <w:rPr>
                      <w:rFonts w:eastAsia="Times New Roman"/>
                    </w:rPr>
                    <w:t>5K</w:t>
                  </w:r>
                  <w:r>
                    <w:rPr>
                      <w:rFonts w:hint="eastAsia" w:eastAsia="Times New Roman"/>
                    </w:rPr>
                    <w:t>m</w:t>
                  </w:r>
                  <w:r>
                    <w:rPr>
                      <w:rFonts w:eastAsia="Times New Roman"/>
                    </w:rPr>
                    <w:t>/h</w:t>
                  </w:r>
                </w:p>
              </w:tc>
              <w:tc>
                <w:tcPr>
                  <w:tcW w:w="714" w:type="pct"/>
                  <w:vAlign w:val="center"/>
                </w:tcPr>
                <w:p w14:paraId="1D384513">
                  <w:pPr>
                    <w:pStyle w:val="149"/>
                    <w:rPr>
                      <w:rFonts w:eastAsia="Times New Roman"/>
                    </w:rPr>
                  </w:pPr>
                  <w:r>
                    <w:rPr>
                      <w:rFonts w:hint="eastAsia" w:eastAsia="Times New Roman"/>
                    </w:rPr>
                    <w:t>0</w:t>
                  </w:r>
                  <w:r>
                    <w:rPr>
                      <w:rFonts w:eastAsia="Times New Roman"/>
                    </w:rPr>
                    <w:t>.028</w:t>
                  </w:r>
                </w:p>
              </w:tc>
              <w:tc>
                <w:tcPr>
                  <w:tcW w:w="714" w:type="pct"/>
                  <w:vAlign w:val="center"/>
                </w:tcPr>
                <w:p w14:paraId="29436468">
                  <w:pPr>
                    <w:pStyle w:val="149"/>
                    <w:rPr>
                      <w:rFonts w:eastAsia="Times New Roman"/>
                    </w:rPr>
                  </w:pPr>
                  <w:r>
                    <w:rPr>
                      <w:rFonts w:hint="eastAsia" w:eastAsia="Times New Roman"/>
                    </w:rPr>
                    <w:t>0</w:t>
                  </w:r>
                  <w:r>
                    <w:rPr>
                      <w:rFonts w:eastAsia="Times New Roman"/>
                    </w:rPr>
                    <w:t>.048</w:t>
                  </w:r>
                </w:p>
              </w:tc>
              <w:tc>
                <w:tcPr>
                  <w:tcW w:w="714" w:type="pct"/>
                  <w:vAlign w:val="center"/>
                </w:tcPr>
                <w:p w14:paraId="52AF2B37">
                  <w:pPr>
                    <w:pStyle w:val="149"/>
                    <w:rPr>
                      <w:rFonts w:eastAsia="Times New Roman"/>
                    </w:rPr>
                  </w:pPr>
                  <w:r>
                    <w:rPr>
                      <w:rFonts w:hint="eastAsia" w:eastAsia="Times New Roman"/>
                    </w:rPr>
                    <w:t>0</w:t>
                  </w:r>
                  <w:r>
                    <w:rPr>
                      <w:rFonts w:eastAsia="Times New Roman"/>
                    </w:rPr>
                    <w:t>.065</w:t>
                  </w:r>
                </w:p>
              </w:tc>
              <w:tc>
                <w:tcPr>
                  <w:tcW w:w="714" w:type="pct"/>
                  <w:vAlign w:val="center"/>
                </w:tcPr>
                <w:p w14:paraId="26C12441">
                  <w:pPr>
                    <w:pStyle w:val="149"/>
                    <w:rPr>
                      <w:rFonts w:eastAsia="Times New Roman"/>
                    </w:rPr>
                  </w:pPr>
                  <w:r>
                    <w:rPr>
                      <w:rFonts w:hint="eastAsia" w:eastAsia="Times New Roman"/>
                    </w:rPr>
                    <w:t>0</w:t>
                  </w:r>
                  <w:r>
                    <w:rPr>
                      <w:rFonts w:eastAsia="Times New Roman"/>
                    </w:rPr>
                    <w:t>.080</w:t>
                  </w:r>
                </w:p>
              </w:tc>
              <w:tc>
                <w:tcPr>
                  <w:tcW w:w="714" w:type="pct"/>
                  <w:vAlign w:val="center"/>
                </w:tcPr>
                <w:p w14:paraId="6663F9C9">
                  <w:pPr>
                    <w:pStyle w:val="149"/>
                    <w:rPr>
                      <w:rFonts w:eastAsia="Times New Roman"/>
                    </w:rPr>
                  </w:pPr>
                  <w:r>
                    <w:rPr>
                      <w:rFonts w:hint="eastAsia" w:eastAsia="Times New Roman"/>
                    </w:rPr>
                    <w:t>0</w:t>
                  </w:r>
                  <w:r>
                    <w:rPr>
                      <w:rFonts w:eastAsia="Times New Roman"/>
                    </w:rPr>
                    <w:t>.095</w:t>
                  </w:r>
                </w:p>
              </w:tc>
              <w:tc>
                <w:tcPr>
                  <w:tcW w:w="714" w:type="pct"/>
                  <w:vAlign w:val="center"/>
                </w:tcPr>
                <w:p w14:paraId="2CBB328F">
                  <w:pPr>
                    <w:pStyle w:val="149"/>
                    <w:rPr>
                      <w:rFonts w:eastAsia="Times New Roman"/>
                    </w:rPr>
                  </w:pPr>
                  <w:r>
                    <w:rPr>
                      <w:rFonts w:hint="eastAsia" w:eastAsia="Times New Roman"/>
                    </w:rPr>
                    <w:t>0</w:t>
                  </w:r>
                  <w:r>
                    <w:rPr>
                      <w:rFonts w:eastAsia="Times New Roman"/>
                    </w:rPr>
                    <w:t>.16</w:t>
                  </w:r>
                </w:p>
              </w:tc>
            </w:tr>
            <w:tr w14:paraId="39D8E4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pct"/>
                  <w:vAlign w:val="center"/>
                </w:tcPr>
                <w:p w14:paraId="2D504462">
                  <w:pPr>
                    <w:pStyle w:val="149"/>
                    <w:rPr>
                      <w:rFonts w:eastAsia="Times New Roman"/>
                    </w:rPr>
                  </w:pPr>
                  <w:r>
                    <w:rPr>
                      <w:rFonts w:eastAsia="Times New Roman"/>
                    </w:rPr>
                    <w:t>10K</w:t>
                  </w:r>
                  <w:r>
                    <w:rPr>
                      <w:rFonts w:hint="eastAsia" w:eastAsia="Times New Roman"/>
                    </w:rPr>
                    <w:t>m</w:t>
                  </w:r>
                  <w:r>
                    <w:rPr>
                      <w:rFonts w:eastAsia="Times New Roman"/>
                    </w:rPr>
                    <w:t>/h</w:t>
                  </w:r>
                </w:p>
              </w:tc>
              <w:tc>
                <w:tcPr>
                  <w:tcW w:w="714" w:type="pct"/>
                  <w:vAlign w:val="center"/>
                </w:tcPr>
                <w:p w14:paraId="298ACC89">
                  <w:pPr>
                    <w:pStyle w:val="149"/>
                    <w:rPr>
                      <w:rFonts w:eastAsia="Times New Roman"/>
                    </w:rPr>
                  </w:pPr>
                  <w:r>
                    <w:rPr>
                      <w:rFonts w:hint="eastAsia" w:eastAsia="Times New Roman"/>
                    </w:rPr>
                    <w:t>0</w:t>
                  </w:r>
                  <w:r>
                    <w:rPr>
                      <w:rFonts w:eastAsia="Times New Roman"/>
                    </w:rPr>
                    <w:t>.057</w:t>
                  </w:r>
                </w:p>
              </w:tc>
              <w:tc>
                <w:tcPr>
                  <w:tcW w:w="714" w:type="pct"/>
                  <w:vAlign w:val="center"/>
                </w:tcPr>
                <w:p w14:paraId="6B82E464">
                  <w:pPr>
                    <w:pStyle w:val="149"/>
                    <w:rPr>
                      <w:rFonts w:eastAsia="Times New Roman"/>
                    </w:rPr>
                  </w:pPr>
                  <w:r>
                    <w:rPr>
                      <w:rFonts w:hint="eastAsia" w:eastAsia="Times New Roman"/>
                    </w:rPr>
                    <w:t>0</w:t>
                  </w:r>
                  <w:r>
                    <w:rPr>
                      <w:rFonts w:eastAsia="Times New Roman"/>
                    </w:rPr>
                    <w:t>.095</w:t>
                  </w:r>
                </w:p>
              </w:tc>
              <w:tc>
                <w:tcPr>
                  <w:tcW w:w="714" w:type="pct"/>
                  <w:vAlign w:val="center"/>
                </w:tcPr>
                <w:p w14:paraId="2A2D5127">
                  <w:pPr>
                    <w:pStyle w:val="149"/>
                    <w:rPr>
                      <w:rFonts w:eastAsia="Times New Roman"/>
                    </w:rPr>
                  </w:pPr>
                  <w:r>
                    <w:rPr>
                      <w:rFonts w:hint="eastAsia" w:eastAsia="Times New Roman"/>
                    </w:rPr>
                    <w:t>0</w:t>
                  </w:r>
                  <w:r>
                    <w:rPr>
                      <w:rFonts w:eastAsia="Times New Roman"/>
                    </w:rPr>
                    <w:t>.129</w:t>
                  </w:r>
                </w:p>
              </w:tc>
              <w:tc>
                <w:tcPr>
                  <w:tcW w:w="714" w:type="pct"/>
                  <w:vAlign w:val="center"/>
                </w:tcPr>
                <w:p w14:paraId="6DC0A479">
                  <w:pPr>
                    <w:pStyle w:val="149"/>
                    <w:rPr>
                      <w:rFonts w:eastAsia="Times New Roman"/>
                    </w:rPr>
                  </w:pPr>
                  <w:r>
                    <w:rPr>
                      <w:rFonts w:hint="eastAsia" w:eastAsia="Times New Roman"/>
                    </w:rPr>
                    <w:t>0</w:t>
                  </w:r>
                  <w:r>
                    <w:rPr>
                      <w:rFonts w:eastAsia="Times New Roman"/>
                    </w:rPr>
                    <w:t>.160</w:t>
                  </w:r>
                </w:p>
              </w:tc>
              <w:tc>
                <w:tcPr>
                  <w:tcW w:w="714" w:type="pct"/>
                  <w:vAlign w:val="center"/>
                </w:tcPr>
                <w:p w14:paraId="18A15AD7">
                  <w:pPr>
                    <w:pStyle w:val="149"/>
                    <w:rPr>
                      <w:rFonts w:eastAsia="Times New Roman"/>
                    </w:rPr>
                  </w:pPr>
                  <w:r>
                    <w:rPr>
                      <w:rFonts w:hint="eastAsia" w:eastAsia="Times New Roman"/>
                    </w:rPr>
                    <w:t>0</w:t>
                  </w:r>
                  <w:r>
                    <w:rPr>
                      <w:rFonts w:eastAsia="Times New Roman"/>
                    </w:rPr>
                    <w:t>.186</w:t>
                  </w:r>
                </w:p>
              </w:tc>
              <w:tc>
                <w:tcPr>
                  <w:tcW w:w="714" w:type="pct"/>
                  <w:vAlign w:val="center"/>
                </w:tcPr>
                <w:p w14:paraId="33430EFC">
                  <w:pPr>
                    <w:pStyle w:val="149"/>
                    <w:rPr>
                      <w:rFonts w:eastAsia="Times New Roman"/>
                    </w:rPr>
                  </w:pPr>
                  <w:r>
                    <w:rPr>
                      <w:rFonts w:hint="eastAsia" w:eastAsia="Times New Roman"/>
                    </w:rPr>
                    <w:t>0</w:t>
                  </w:r>
                  <w:r>
                    <w:rPr>
                      <w:rFonts w:eastAsia="Times New Roman"/>
                    </w:rPr>
                    <w:t>.32</w:t>
                  </w:r>
                </w:p>
              </w:tc>
            </w:tr>
            <w:tr w14:paraId="0D31E7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pct"/>
                  <w:vAlign w:val="center"/>
                </w:tcPr>
                <w:p w14:paraId="375AFB62">
                  <w:pPr>
                    <w:pStyle w:val="149"/>
                    <w:rPr>
                      <w:rFonts w:eastAsia="Times New Roman"/>
                    </w:rPr>
                  </w:pPr>
                  <w:r>
                    <w:rPr>
                      <w:rFonts w:eastAsia="Times New Roman"/>
                    </w:rPr>
                    <w:t>15K</w:t>
                  </w:r>
                  <w:r>
                    <w:rPr>
                      <w:rFonts w:hint="eastAsia" w:eastAsia="Times New Roman"/>
                    </w:rPr>
                    <w:t>m</w:t>
                  </w:r>
                  <w:r>
                    <w:rPr>
                      <w:rFonts w:eastAsia="Times New Roman"/>
                    </w:rPr>
                    <w:t>/h</w:t>
                  </w:r>
                </w:p>
              </w:tc>
              <w:tc>
                <w:tcPr>
                  <w:tcW w:w="714" w:type="pct"/>
                  <w:vAlign w:val="center"/>
                </w:tcPr>
                <w:p w14:paraId="5BA35786">
                  <w:pPr>
                    <w:pStyle w:val="149"/>
                    <w:rPr>
                      <w:rFonts w:eastAsia="Times New Roman"/>
                    </w:rPr>
                  </w:pPr>
                  <w:r>
                    <w:rPr>
                      <w:rFonts w:hint="eastAsia" w:eastAsia="Times New Roman"/>
                    </w:rPr>
                    <w:t>0</w:t>
                  </w:r>
                  <w:r>
                    <w:rPr>
                      <w:rFonts w:eastAsia="Times New Roman"/>
                    </w:rPr>
                    <w:t>.085</w:t>
                  </w:r>
                </w:p>
              </w:tc>
              <w:tc>
                <w:tcPr>
                  <w:tcW w:w="714" w:type="pct"/>
                  <w:vAlign w:val="center"/>
                </w:tcPr>
                <w:p w14:paraId="44E5DA14">
                  <w:pPr>
                    <w:pStyle w:val="149"/>
                    <w:rPr>
                      <w:rFonts w:eastAsia="Times New Roman"/>
                    </w:rPr>
                  </w:pPr>
                  <w:r>
                    <w:rPr>
                      <w:rFonts w:hint="eastAsia" w:eastAsia="Times New Roman"/>
                    </w:rPr>
                    <w:t>0</w:t>
                  </w:r>
                  <w:r>
                    <w:rPr>
                      <w:rFonts w:eastAsia="Times New Roman"/>
                    </w:rPr>
                    <w:t>.14</w:t>
                  </w:r>
                </w:p>
              </w:tc>
              <w:tc>
                <w:tcPr>
                  <w:tcW w:w="714" w:type="pct"/>
                  <w:vAlign w:val="center"/>
                </w:tcPr>
                <w:p w14:paraId="46F8E275">
                  <w:pPr>
                    <w:pStyle w:val="149"/>
                    <w:rPr>
                      <w:rFonts w:eastAsia="Times New Roman"/>
                    </w:rPr>
                  </w:pPr>
                  <w:r>
                    <w:rPr>
                      <w:rFonts w:hint="eastAsia" w:eastAsia="Times New Roman"/>
                    </w:rPr>
                    <w:t>0</w:t>
                  </w:r>
                  <w:r>
                    <w:rPr>
                      <w:rFonts w:eastAsia="Times New Roman"/>
                    </w:rPr>
                    <w:t>.19</w:t>
                  </w:r>
                </w:p>
              </w:tc>
              <w:tc>
                <w:tcPr>
                  <w:tcW w:w="714" w:type="pct"/>
                  <w:vAlign w:val="center"/>
                </w:tcPr>
                <w:p w14:paraId="40313FA5">
                  <w:pPr>
                    <w:pStyle w:val="149"/>
                    <w:rPr>
                      <w:rFonts w:eastAsia="Times New Roman"/>
                    </w:rPr>
                  </w:pPr>
                  <w:r>
                    <w:rPr>
                      <w:rFonts w:hint="eastAsia" w:eastAsia="Times New Roman"/>
                    </w:rPr>
                    <w:t>0</w:t>
                  </w:r>
                  <w:r>
                    <w:rPr>
                      <w:rFonts w:eastAsia="Times New Roman"/>
                    </w:rPr>
                    <w:t>.24</w:t>
                  </w:r>
                </w:p>
              </w:tc>
              <w:tc>
                <w:tcPr>
                  <w:tcW w:w="714" w:type="pct"/>
                  <w:vAlign w:val="center"/>
                </w:tcPr>
                <w:p w14:paraId="2E3BAEF7">
                  <w:pPr>
                    <w:pStyle w:val="149"/>
                    <w:rPr>
                      <w:rFonts w:eastAsia="Times New Roman"/>
                    </w:rPr>
                  </w:pPr>
                  <w:r>
                    <w:rPr>
                      <w:rFonts w:hint="eastAsia" w:eastAsia="Times New Roman"/>
                    </w:rPr>
                    <w:t>0</w:t>
                  </w:r>
                  <w:r>
                    <w:rPr>
                      <w:rFonts w:eastAsia="Times New Roman"/>
                    </w:rPr>
                    <w:t>.28</w:t>
                  </w:r>
                </w:p>
              </w:tc>
              <w:tc>
                <w:tcPr>
                  <w:tcW w:w="714" w:type="pct"/>
                  <w:vAlign w:val="center"/>
                </w:tcPr>
                <w:p w14:paraId="4979184D">
                  <w:pPr>
                    <w:pStyle w:val="149"/>
                    <w:rPr>
                      <w:rFonts w:eastAsia="Times New Roman"/>
                    </w:rPr>
                  </w:pPr>
                  <w:r>
                    <w:rPr>
                      <w:rFonts w:hint="eastAsia" w:eastAsia="Times New Roman"/>
                    </w:rPr>
                    <w:t>0</w:t>
                  </w:r>
                  <w:r>
                    <w:rPr>
                      <w:rFonts w:eastAsia="Times New Roman"/>
                    </w:rPr>
                    <w:t>.48</w:t>
                  </w:r>
                </w:p>
              </w:tc>
            </w:tr>
            <w:tr w14:paraId="30FBB3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pct"/>
                  <w:vAlign w:val="center"/>
                </w:tcPr>
                <w:p w14:paraId="5555311B">
                  <w:pPr>
                    <w:pStyle w:val="149"/>
                    <w:rPr>
                      <w:rFonts w:eastAsia="Times New Roman"/>
                    </w:rPr>
                  </w:pPr>
                  <w:r>
                    <w:rPr>
                      <w:rFonts w:eastAsia="Times New Roman"/>
                    </w:rPr>
                    <w:t>20K</w:t>
                  </w:r>
                  <w:r>
                    <w:rPr>
                      <w:rFonts w:hint="eastAsia" w:eastAsia="Times New Roman"/>
                    </w:rPr>
                    <w:t>m</w:t>
                  </w:r>
                  <w:r>
                    <w:rPr>
                      <w:rFonts w:eastAsia="Times New Roman"/>
                    </w:rPr>
                    <w:t>/h</w:t>
                  </w:r>
                </w:p>
              </w:tc>
              <w:tc>
                <w:tcPr>
                  <w:tcW w:w="714" w:type="pct"/>
                  <w:vAlign w:val="center"/>
                </w:tcPr>
                <w:p w14:paraId="6FFE0135">
                  <w:pPr>
                    <w:pStyle w:val="149"/>
                    <w:rPr>
                      <w:rFonts w:eastAsia="Times New Roman"/>
                    </w:rPr>
                  </w:pPr>
                  <w:r>
                    <w:rPr>
                      <w:rFonts w:hint="eastAsia" w:eastAsia="Times New Roman"/>
                    </w:rPr>
                    <w:t>0</w:t>
                  </w:r>
                  <w:r>
                    <w:rPr>
                      <w:rFonts w:eastAsia="Times New Roman"/>
                    </w:rPr>
                    <w:t>.11</w:t>
                  </w:r>
                </w:p>
              </w:tc>
              <w:tc>
                <w:tcPr>
                  <w:tcW w:w="714" w:type="pct"/>
                  <w:vAlign w:val="center"/>
                </w:tcPr>
                <w:p w14:paraId="36601786">
                  <w:pPr>
                    <w:pStyle w:val="149"/>
                    <w:rPr>
                      <w:rFonts w:eastAsia="Times New Roman"/>
                    </w:rPr>
                  </w:pPr>
                  <w:r>
                    <w:rPr>
                      <w:rFonts w:hint="eastAsia" w:eastAsia="Times New Roman"/>
                    </w:rPr>
                    <w:t>0</w:t>
                  </w:r>
                  <w:r>
                    <w:rPr>
                      <w:rFonts w:eastAsia="Times New Roman"/>
                    </w:rPr>
                    <w:t>.19</w:t>
                  </w:r>
                </w:p>
              </w:tc>
              <w:tc>
                <w:tcPr>
                  <w:tcW w:w="714" w:type="pct"/>
                  <w:vAlign w:val="center"/>
                </w:tcPr>
                <w:p w14:paraId="3F38E6B1">
                  <w:pPr>
                    <w:pStyle w:val="149"/>
                    <w:rPr>
                      <w:rFonts w:eastAsia="Times New Roman"/>
                    </w:rPr>
                  </w:pPr>
                  <w:r>
                    <w:rPr>
                      <w:rFonts w:hint="eastAsia" w:eastAsia="Times New Roman"/>
                    </w:rPr>
                    <w:t>0</w:t>
                  </w:r>
                  <w:r>
                    <w:rPr>
                      <w:rFonts w:eastAsia="Times New Roman"/>
                    </w:rPr>
                    <w:t>.26</w:t>
                  </w:r>
                </w:p>
              </w:tc>
              <w:tc>
                <w:tcPr>
                  <w:tcW w:w="714" w:type="pct"/>
                  <w:vAlign w:val="center"/>
                </w:tcPr>
                <w:p w14:paraId="2AD8DD7F">
                  <w:pPr>
                    <w:pStyle w:val="149"/>
                    <w:rPr>
                      <w:rFonts w:eastAsia="Times New Roman"/>
                    </w:rPr>
                  </w:pPr>
                  <w:r>
                    <w:rPr>
                      <w:rFonts w:hint="eastAsia" w:eastAsia="Times New Roman"/>
                    </w:rPr>
                    <w:t>0</w:t>
                  </w:r>
                  <w:r>
                    <w:rPr>
                      <w:rFonts w:eastAsia="Times New Roman"/>
                    </w:rPr>
                    <w:t>.32</w:t>
                  </w:r>
                </w:p>
              </w:tc>
              <w:tc>
                <w:tcPr>
                  <w:tcW w:w="714" w:type="pct"/>
                  <w:vAlign w:val="center"/>
                </w:tcPr>
                <w:p w14:paraId="7DCFECB9">
                  <w:pPr>
                    <w:pStyle w:val="149"/>
                    <w:rPr>
                      <w:rFonts w:eastAsia="Times New Roman"/>
                    </w:rPr>
                  </w:pPr>
                  <w:r>
                    <w:rPr>
                      <w:rFonts w:hint="eastAsia" w:eastAsia="Times New Roman"/>
                    </w:rPr>
                    <w:t>0</w:t>
                  </w:r>
                  <w:r>
                    <w:rPr>
                      <w:rFonts w:eastAsia="Times New Roman"/>
                    </w:rPr>
                    <w:t>.38</w:t>
                  </w:r>
                </w:p>
              </w:tc>
              <w:tc>
                <w:tcPr>
                  <w:tcW w:w="714" w:type="pct"/>
                  <w:vAlign w:val="center"/>
                </w:tcPr>
                <w:p w14:paraId="027CF4E6">
                  <w:pPr>
                    <w:pStyle w:val="149"/>
                    <w:rPr>
                      <w:rFonts w:eastAsia="Times New Roman"/>
                    </w:rPr>
                  </w:pPr>
                  <w:r>
                    <w:rPr>
                      <w:rFonts w:hint="eastAsia" w:eastAsia="Times New Roman"/>
                    </w:rPr>
                    <w:t>0</w:t>
                  </w:r>
                  <w:r>
                    <w:rPr>
                      <w:rFonts w:eastAsia="Times New Roman"/>
                    </w:rPr>
                    <w:t>.63</w:t>
                  </w:r>
                </w:p>
              </w:tc>
            </w:tr>
          </w:tbl>
          <w:p w14:paraId="17D3958C">
            <w:pPr>
              <w:pStyle w:val="2"/>
              <w:spacing w:before="0" w:after="0" w:line="240" w:lineRule="auto"/>
              <w:ind w:left="0" w:firstLine="0"/>
              <w:jc w:val="center"/>
              <w:rPr>
                <w:rFonts w:eastAsia="宋体"/>
                <w:bCs w:val="0"/>
                <w:color w:val="auto"/>
                <w:kern w:val="0"/>
                <w:sz w:val="24"/>
              </w:rPr>
            </w:pPr>
            <w:r>
              <w:rPr>
                <w:rFonts w:eastAsia="宋体"/>
                <w:bCs w:val="0"/>
                <w:color w:val="auto"/>
                <w:kern w:val="0"/>
                <w:sz w:val="24"/>
              </w:rPr>
              <w:t>表4-6</w:t>
            </w:r>
            <w:r>
              <w:rPr>
                <w:rFonts w:hint="eastAsia" w:eastAsia="宋体"/>
                <w:bCs w:val="0"/>
                <w:color w:val="auto"/>
                <w:kern w:val="0"/>
                <w:sz w:val="24"/>
              </w:rPr>
              <w:t>施工场地洒水抑尘实验效果</w:t>
            </w:r>
          </w:p>
          <w:tbl>
            <w:tblPr>
              <w:tblStyle w:val="15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93"/>
              <w:gridCol w:w="1966"/>
              <w:gridCol w:w="1407"/>
              <w:gridCol w:w="1266"/>
              <w:gridCol w:w="1125"/>
              <w:gridCol w:w="1052"/>
            </w:tblGrid>
            <w:tr w14:paraId="52011F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2150" w:type="pct"/>
                  <w:gridSpan w:val="2"/>
                  <w:vAlign w:val="center"/>
                </w:tcPr>
                <w:p w14:paraId="085B8961">
                  <w:pPr>
                    <w:pStyle w:val="149"/>
                    <w:rPr>
                      <w:rFonts w:hint="default" w:ascii="Times New Roman" w:hAnsi="Times New Roman" w:eastAsia="宋体" w:cs="Times New Roman"/>
                      <w:b/>
                      <w:i w:val="0"/>
                    </w:rPr>
                  </w:pPr>
                  <w:r>
                    <w:rPr>
                      <w:rFonts w:hint="eastAsia" w:ascii="Times New Roman" w:hAnsi="Times New Roman" w:eastAsia="宋体" w:cs="Times New Roman"/>
                      <w:b/>
                      <w:i w:val="0"/>
                    </w:rPr>
                    <w:t>距离</w:t>
                  </w:r>
                </w:p>
              </w:tc>
              <w:tc>
                <w:tcPr>
                  <w:tcW w:w="827" w:type="pct"/>
                  <w:vAlign w:val="center"/>
                </w:tcPr>
                <w:p w14:paraId="24CD16C9">
                  <w:pPr>
                    <w:pStyle w:val="149"/>
                    <w:rPr>
                      <w:rFonts w:hint="default" w:ascii="Times New Roman" w:hAnsi="Times New Roman" w:eastAsia="宋体" w:cs="Times New Roman"/>
                      <w:b/>
                      <w:i w:val="0"/>
                    </w:rPr>
                  </w:pPr>
                  <w:r>
                    <w:rPr>
                      <w:rFonts w:hint="eastAsia" w:ascii="Times New Roman" w:hAnsi="Times New Roman" w:eastAsia="宋体" w:cs="Times New Roman"/>
                      <w:b/>
                      <w:i w:val="0"/>
                    </w:rPr>
                    <w:t>5</w:t>
                  </w:r>
                  <w:r>
                    <w:rPr>
                      <w:rFonts w:hint="default" w:ascii="Times New Roman" w:hAnsi="Times New Roman" w:eastAsia="宋体" w:cs="Times New Roman"/>
                      <w:b/>
                      <w:i w:val="0"/>
                    </w:rPr>
                    <w:t>m</w:t>
                  </w:r>
                </w:p>
              </w:tc>
              <w:tc>
                <w:tcPr>
                  <w:tcW w:w="744" w:type="pct"/>
                  <w:vAlign w:val="center"/>
                </w:tcPr>
                <w:p w14:paraId="5DE15FE0">
                  <w:pPr>
                    <w:pStyle w:val="149"/>
                    <w:rPr>
                      <w:rFonts w:hint="default" w:ascii="Times New Roman" w:hAnsi="Times New Roman" w:eastAsia="宋体" w:cs="Times New Roman"/>
                      <w:b/>
                      <w:i w:val="0"/>
                    </w:rPr>
                  </w:pPr>
                  <w:r>
                    <w:rPr>
                      <w:rFonts w:hint="default" w:ascii="Times New Roman" w:hAnsi="Times New Roman" w:eastAsia="宋体" w:cs="Times New Roman"/>
                      <w:b/>
                      <w:i w:val="0"/>
                    </w:rPr>
                    <w:t>20m</w:t>
                  </w:r>
                </w:p>
              </w:tc>
              <w:tc>
                <w:tcPr>
                  <w:tcW w:w="661" w:type="pct"/>
                  <w:vAlign w:val="center"/>
                </w:tcPr>
                <w:p w14:paraId="3B00D8C6">
                  <w:pPr>
                    <w:pStyle w:val="149"/>
                    <w:rPr>
                      <w:rFonts w:hint="default" w:ascii="Times New Roman" w:hAnsi="Times New Roman" w:eastAsia="宋体" w:cs="Times New Roman"/>
                      <w:b/>
                      <w:i w:val="0"/>
                    </w:rPr>
                  </w:pPr>
                  <w:r>
                    <w:rPr>
                      <w:rFonts w:hint="eastAsia" w:ascii="Times New Roman" w:hAnsi="Times New Roman" w:eastAsia="宋体" w:cs="Times New Roman"/>
                      <w:b/>
                      <w:i w:val="0"/>
                    </w:rPr>
                    <w:t>5</w:t>
                  </w:r>
                  <w:r>
                    <w:rPr>
                      <w:rFonts w:hint="default" w:ascii="Times New Roman" w:hAnsi="Times New Roman" w:eastAsia="宋体" w:cs="Times New Roman"/>
                      <w:b/>
                      <w:i w:val="0"/>
                    </w:rPr>
                    <w:t>0m</w:t>
                  </w:r>
                </w:p>
              </w:tc>
              <w:tc>
                <w:tcPr>
                  <w:tcW w:w="618" w:type="pct"/>
                  <w:vAlign w:val="center"/>
                </w:tcPr>
                <w:p w14:paraId="2620BC08">
                  <w:pPr>
                    <w:pStyle w:val="149"/>
                    <w:rPr>
                      <w:rFonts w:hint="default" w:ascii="Times New Roman" w:hAnsi="Times New Roman" w:eastAsia="宋体" w:cs="Times New Roman"/>
                      <w:b/>
                      <w:i w:val="0"/>
                    </w:rPr>
                  </w:pPr>
                  <w:r>
                    <w:rPr>
                      <w:rFonts w:hint="default" w:ascii="Times New Roman" w:hAnsi="Times New Roman" w:eastAsia="宋体" w:cs="Times New Roman"/>
                      <w:b/>
                      <w:i w:val="0"/>
                    </w:rPr>
                    <w:t>100m</w:t>
                  </w:r>
                </w:p>
              </w:tc>
            </w:tr>
            <w:tr w14:paraId="6C2357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5" w:type="pct"/>
                  <w:vMerge w:val="restart"/>
                  <w:vAlign w:val="center"/>
                </w:tcPr>
                <w:p w14:paraId="0311A286">
                  <w:pPr>
                    <w:pStyle w:val="149"/>
                    <w:rPr>
                      <w:rFonts w:eastAsia="Times New Roman"/>
                    </w:rPr>
                  </w:pPr>
                  <w:r>
                    <w:rPr>
                      <w:rFonts w:hint="eastAsia" w:eastAsia="Times New Roman"/>
                    </w:rPr>
                    <w:t>TSP</w:t>
                  </w:r>
                  <w:r>
                    <w:rPr>
                      <w:rFonts w:hint="eastAsia" w:ascii="宋体" w:hAnsi="宋体" w:eastAsia="宋体" w:cs="宋体"/>
                    </w:rPr>
                    <w:t>小时平均浓度</w:t>
                  </w:r>
                  <w:r>
                    <w:rPr>
                      <w:rFonts w:eastAsia="Times New Roman"/>
                    </w:rPr>
                    <w:t>(mg/m</w:t>
                  </w:r>
                  <w:r>
                    <w:rPr>
                      <w:rFonts w:eastAsia="Times New Roman"/>
                      <w:vertAlign w:val="superscript"/>
                    </w:rPr>
                    <w:t>3</w:t>
                  </w:r>
                  <w:r>
                    <w:rPr>
                      <w:rFonts w:eastAsia="Times New Roman"/>
                    </w:rPr>
                    <w:t>)</w:t>
                  </w:r>
                </w:p>
              </w:tc>
              <w:tc>
                <w:tcPr>
                  <w:tcW w:w="1155" w:type="pct"/>
                  <w:vAlign w:val="center"/>
                </w:tcPr>
                <w:p w14:paraId="5CCFA352">
                  <w:pPr>
                    <w:pStyle w:val="149"/>
                    <w:rPr>
                      <w:rFonts w:eastAsia="Times New Roman"/>
                    </w:rPr>
                  </w:pPr>
                  <w:r>
                    <w:rPr>
                      <w:rFonts w:hint="eastAsia" w:ascii="宋体" w:hAnsi="宋体" w:eastAsia="宋体" w:cs="宋体"/>
                    </w:rPr>
                    <w:t>不洒水</w:t>
                  </w:r>
                </w:p>
              </w:tc>
              <w:tc>
                <w:tcPr>
                  <w:tcW w:w="827" w:type="pct"/>
                  <w:vAlign w:val="center"/>
                </w:tcPr>
                <w:p w14:paraId="3BDDF5D0">
                  <w:pPr>
                    <w:pStyle w:val="149"/>
                    <w:rPr>
                      <w:rFonts w:eastAsia="Times New Roman"/>
                    </w:rPr>
                  </w:pPr>
                  <w:r>
                    <w:rPr>
                      <w:rFonts w:hint="eastAsia" w:eastAsia="Times New Roman"/>
                    </w:rPr>
                    <w:t>1</w:t>
                  </w:r>
                  <w:r>
                    <w:rPr>
                      <w:rFonts w:eastAsia="Times New Roman"/>
                    </w:rPr>
                    <w:t>0.14</w:t>
                  </w:r>
                </w:p>
              </w:tc>
              <w:tc>
                <w:tcPr>
                  <w:tcW w:w="744" w:type="pct"/>
                  <w:vAlign w:val="center"/>
                </w:tcPr>
                <w:p w14:paraId="6A0E4620">
                  <w:pPr>
                    <w:pStyle w:val="149"/>
                    <w:rPr>
                      <w:rFonts w:eastAsia="Times New Roman"/>
                    </w:rPr>
                  </w:pPr>
                  <w:r>
                    <w:rPr>
                      <w:rFonts w:hint="eastAsia" w:eastAsia="Times New Roman"/>
                    </w:rPr>
                    <w:t>2</w:t>
                  </w:r>
                  <w:r>
                    <w:rPr>
                      <w:rFonts w:eastAsia="Times New Roman"/>
                    </w:rPr>
                    <w:t>.89</w:t>
                  </w:r>
                </w:p>
              </w:tc>
              <w:tc>
                <w:tcPr>
                  <w:tcW w:w="661" w:type="pct"/>
                  <w:vAlign w:val="center"/>
                </w:tcPr>
                <w:p w14:paraId="3A7514BA">
                  <w:pPr>
                    <w:pStyle w:val="149"/>
                    <w:rPr>
                      <w:rFonts w:eastAsia="Times New Roman"/>
                    </w:rPr>
                  </w:pPr>
                  <w:r>
                    <w:rPr>
                      <w:rFonts w:hint="eastAsia" w:eastAsia="Times New Roman"/>
                    </w:rPr>
                    <w:t>1</w:t>
                  </w:r>
                  <w:r>
                    <w:rPr>
                      <w:rFonts w:eastAsia="Times New Roman"/>
                    </w:rPr>
                    <w:t>.15</w:t>
                  </w:r>
                </w:p>
              </w:tc>
              <w:tc>
                <w:tcPr>
                  <w:tcW w:w="618" w:type="pct"/>
                  <w:vAlign w:val="center"/>
                </w:tcPr>
                <w:p w14:paraId="55443C2E">
                  <w:pPr>
                    <w:pStyle w:val="149"/>
                    <w:rPr>
                      <w:rFonts w:eastAsia="Times New Roman"/>
                    </w:rPr>
                  </w:pPr>
                  <w:r>
                    <w:rPr>
                      <w:rFonts w:hint="eastAsia" w:eastAsia="Times New Roman"/>
                    </w:rPr>
                    <w:t>0</w:t>
                  </w:r>
                  <w:r>
                    <w:rPr>
                      <w:rFonts w:eastAsia="Times New Roman"/>
                    </w:rPr>
                    <w:t>.86</w:t>
                  </w:r>
                </w:p>
              </w:tc>
            </w:tr>
            <w:tr w14:paraId="528E99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5" w:type="pct"/>
                  <w:vMerge w:val="continue"/>
                  <w:vAlign w:val="center"/>
                </w:tcPr>
                <w:p w14:paraId="2D1E20C4">
                  <w:pPr>
                    <w:pStyle w:val="149"/>
                    <w:rPr>
                      <w:rFonts w:eastAsia="Times New Roman"/>
                    </w:rPr>
                  </w:pPr>
                </w:p>
              </w:tc>
              <w:tc>
                <w:tcPr>
                  <w:tcW w:w="1155" w:type="pct"/>
                  <w:vAlign w:val="center"/>
                </w:tcPr>
                <w:p w14:paraId="58F24619">
                  <w:pPr>
                    <w:pStyle w:val="149"/>
                    <w:rPr>
                      <w:rFonts w:eastAsia="Times New Roman"/>
                    </w:rPr>
                  </w:pPr>
                  <w:r>
                    <w:rPr>
                      <w:rFonts w:hint="eastAsia" w:ascii="宋体" w:hAnsi="宋体" w:eastAsia="宋体" w:cs="宋体"/>
                    </w:rPr>
                    <w:t>洒水</w:t>
                  </w:r>
                </w:p>
              </w:tc>
              <w:tc>
                <w:tcPr>
                  <w:tcW w:w="827" w:type="pct"/>
                  <w:vAlign w:val="center"/>
                </w:tcPr>
                <w:p w14:paraId="5D342BC9">
                  <w:pPr>
                    <w:pStyle w:val="149"/>
                    <w:rPr>
                      <w:rFonts w:eastAsia="Times New Roman"/>
                    </w:rPr>
                  </w:pPr>
                  <w:r>
                    <w:rPr>
                      <w:rFonts w:hint="eastAsia" w:eastAsia="Times New Roman"/>
                    </w:rPr>
                    <w:t>2</w:t>
                  </w:r>
                  <w:r>
                    <w:rPr>
                      <w:rFonts w:eastAsia="Times New Roman"/>
                    </w:rPr>
                    <w:t>.0</w:t>
                  </w:r>
                </w:p>
              </w:tc>
              <w:tc>
                <w:tcPr>
                  <w:tcW w:w="744" w:type="pct"/>
                  <w:vAlign w:val="center"/>
                </w:tcPr>
                <w:p w14:paraId="16083D0C">
                  <w:pPr>
                    <w:pStyle w:val="149"/>
                    <w:rPr>
                      <w:rFonts w:eastAsia="Times New Roman"/>
                    </w:rPr>
                  </w:pPr>
                  <w:r>
                    <w:rPr>
                      <w:rFonts w:hint="eastAsia" w:eastAsia="Times New Roman"/>
                    </w:rPr>
                    <w:t>1</w:t>
                  </w:r>
                  <w:r>
                    <w:rPr>
                      <w:rFonts w:eastAsia="Times New Roman"/>
                    </w:rPr>
                    <w:t>.4</w:t>
                  </w:r>
                </w:p>
              </w:tc>
              <w:tc>
                <w:tcPr>
                  <w:tcW w:w="661" w:type="pct"/>
                  <w:vAlign w:val="center"/>
                </w:tcPr>
                <w:p w14:paraId="7B2955E7">
                  <w:pPr>
                    <w:pStyle w:val="149"/>
                    <w:rPr>
                      <w:rFonts w:eastAsia="Times New Roman"/>
                    </w:rPr>
                  </w:pPr>
                  <w:r>
                    <w:rPr>
                      <w:rFonts w:hint="eastAsia" w:eastAsia="Times New Roman"/>
                    </w:rPr>
                    <w:t>0</w:t>
                  </w:r>
                  <w:r>
                    <w:rPr>
                      <w:rFonts w:eastAsia="Times New Roman"/>
                    </w:rPr>
                    <w:t>.67</w:t>
                  </w:r>
                </w:p>
              </w:tc>
              <w:tc>
                <w:tcPr>
                  <w:tcW w:w="618" w:type="pct"/>
                  <w:vAlign w:val="center"/>
                </w:tcPr>
                <w:p w14:paraId="32F8756F">
                  <w:pPr>
                    <w:pStyle w:val="149"/>
                    <w:rPr>
                      <w:rFonts w:eastAsia="Times New Roman"/>
                    </w:rPr>
                  </w:pPr>
                  <w:r>
                    <w:rPr>
                      <w:rFonts w:hint="eastAsia" w:eastAsia="Times New Roman"/>
                    </w:rPr>
                    <w:t>0</w:t>
                  </w:r>
                  <w:r>
                    <w:rPr>
                      <w:rFonts w:eastAsia="Times New Roman"/>
                    </w:rPr>
                    <w:t>.60</w:t>
                  </w:r>
                </w:p>
              </w:tc>
            </w:tr>
          </w:tbl>
          <w:p w14:paraId="758CD343">
            <w:pPr>
              <w:spacing w:line="360" w:lineRule="auto"/>
              <w:ind w:firstLine="480" w:firstLineChars="200"/>
              <w:rPr>
                <w:sz w:val="24"/>
              </w:rPr>
            </w:pPr>
            <w:r>
              <w:rPr>
                <w:rFonts w:hint="eastAsia"/>
                <w:sz w:val="24"/>
              </w:rPr>
              <w:t>采取以上一系列措施后，施工期产生的扬尘对周边大气环境的影响较小。</w:t>
            </w:r>
          </w:p>
          <w:p w14:paraId="31677C84">
            <w:pPr>
              <w:spacing w:line="360" w:lineRule="auto"/>
              <w:ind w:firstLine="482" w:firstLineChars="200"/>
              <w:rPr>
                <w:sz w:val="24"/>
              </w:rPr>
            </w:pPr>
            <w:r>
              <w:rPr>
                <w:b/>
                <w:bCs/>
                <w:sz w:val="24"/>
              </w:rPr>
              <w:t>2</w:t>
            </w:r>
            <w:r>
              <w:rPr>
                <w:rFonts w:hint="eastAsia"/>
                <w:b/>
                <w:bCs/>
                <w:sz w:val="24"/>
              </w:rPr>
              <w:t>）施工机械、运输车辆产生的尾气</w:t>
            </w:r>
          </w:p>
          <w:p w14:paraId="62FB6F60">
            <w:pPr>
              <w:spacing w:line="360" w:lineRule="auto"/>
              <w:ind w:firstLine="480" w:firstLineChars="200"/>
              <w:rPr>
                <w:sz w:val="24"/>
              </w:rPr>
            </w:pPr>
            <w:r>
              <w:rPr>
                <w:rFonts w:hint="eastAsia"/>
                <w:sz w:val="24"/>
              </w:rPr>
              <w:t>主要来自于施工期施工机械和车辆排放的尾气，主要是挖掘机和运输汽车等，它们以柴油、汽油为燃料，使用过程产生一定量废气，包括THC、</w:t>
            </w:r>
            <w:r>
              <w:rPr>
                <w:sz w:val="24"/>
              </w:rPr>
              <w:t>NOx</w:t>
            </w:r>
            <w:r>
              <w:rPr>
                <w:rFonts w:hint="eastAsia"/>
                <w:sz w:val="24"/>
              </w:rPr>
              <w:t>、</w:t>
            </w:r>
            <w:r>
              <w:rPr>
                <w:sz w:val="24"/>
              </w:rPr>
              <w:t>SO</w:t>
            </w:r>
            <w:r>
              <w:rPr>
                <w:sz w:val="24"/>
                <w:vertAlign w:val="subscript"/>
              </w:rPr>
              <w:t>2</w:t>
            </w:r>
            <w:r>
              <w:rPr>
                <w:rFonts w:hint="eastAsia"/>
                <w:sz w:val="24"/>
              </w:rPr>
              <w:t>、烟尘等污染物。</w:t>
            </w:r>
          </w:p>
          <w:p w14:paraId="23E74688">
            <w:pPr>
              <w:spacing w:line="360" w:lineRule="auto"/>
              <w:ind w:firstLine="480" w:firstLineChars="200"/>
              <w:rPr>
                <w:sz w:val="24"/>
              </w:rPr>
            </w:pPr>
            <w:r>
              <w:rPr>
                <w:rFonts w:hint="eastAsia"/>
                <w:sz w:val="24"/>
              </w:rPr>
              <w:t>施工的燃油机械为间断作业，且使用数量不多，因此所排的燃油废气污染物仅对施工点的空气质量产生间断的较小的不利影响。</w:t>
            </w:r>
          </w:p>
          <w:p w14:paraId="7516B226">
            <w:pPr>
              <w:spacing w:line="360" w:lineRule="auto"/>
              <w:ind w:firstLine="482" w:firstLineChars="200"/>
              <w:rPr>
                <w:b/>
                <w:bCs/>
                <w:sz w:val="24"/>
              </w:rPr>
            </w:pPr>
            <w:r>
              <w:rPr>
                <w:rFonts w:hint="eastAsia"/>
                <w:b/>
                <w:bCs/>
                <w:sz w:val="24"/>
              </w:rPr>
              <w:t>（4）施工期固体废物影响分析</w:t>
            </w:r>
          </w:p>
          <w:p w14:paraId="7FDCD4DF">
            <w:pPr>
              <w:spacing w:line="360" w:lineRule="auto"/>
              <w:ind w:firstLine="480" w:firstLineChars="200"/>
              <w:rPr>
                <w:sz w:val="24"/>
              </w:rPr>
            </w:pPr>
            <w:r>
              <w:rPr>
                <w:rFonts w:hint="eastAsia"/>
                <w:sz w:val="24"/>
              </w:rPr>
              <w:t>施工期产生固废主要为施工人员的生活垃圾、土石方、建筑垃圾与废弃材料。</w:t>
            </w:r>
          </w:p>
          <w:p w14:paraId="7957E701">
            <w:pPr>
              <w:spacing w:line="360" w:lineRule="auto"/>
              <w:ind w:firstLine="482" w:firstLineChars="200"/>
              <w:rPr>
                <w:b/>
                <w:sz w:val="24"/>
              </w:rPr>
            </w:pPr>
            <w:r>
              <w:rPr>
                <w:b/>
                <w:sz w:val="24"/>
              </w:rPr>
              <w:t>1</w:t>
            </w:r>
            <w:r>
              <w:rPr>
                <w:rFonts w:hint="eastAsia"/>
                <w:b/>
                <w:sz w:val="24"/>
              </w:rPr>
              <w:t>）土石方</w:t>
            </w:r>
          </w:p>
          <w:p w14:paraId="2F0FB430">
            <w:pPr>
              <w:spacing w:line="360" w:lineRule="auto"/>
              <w:ind w:firstLine="480" w:firstLineChars="200"/>
              <w:rPr>
                <w:sz w:val="24"/>
              </w:rPr>
            </w:pPr>
            <w:r>
              <w:rPr>
                <w:rFonts w:hint="eastAsia"/>
                <w:sz w:val="24"/>
              </w:rPr>
              <w:t>储能电站施工总挖方量为</w:t>
            </w:r>
            <w:r>
              <w:rPr>
                <w:sz w:val="24"/>
              </w:rPr>
              <w:t>0.46</w:t>
            </w:r>
            <w:r>
              <w:rPr>
                <w:rFonts w:hint="eastAsia"/>
                <w:sz w:val="24"/>
              </w:rPr>
              <w:t>万</w:t>
            </w:r>
            <w:r>
              <w:rPr>
                <w:sz w:val="24"/>
              </w:rPr>
              <w:t>m</w:t>
            </w:r>
            <w:r>
              <w:rPr>
                <w:sz w:val="24"/>
                <w:vertAlign w:val="superscript"/>
              </w:rPr>
              <w:t>3</w:t>
            </w:r>
            <w:r>
              <w:rPr>
                <w:rFonts w:hint="eastAsia"/>
                <w:sz w:val="24"/>
              </w:rPr>
              <w:t>，总填方量为</w:t>
            </w:r>
            <w:r>
              <w:rPr>
                <w:sz w:val="24"/>
              </w:rPr>
              <w:t>1.22</w:t>
            </w:r>
            <w:r>
              <w:rPr>
                <w:rFonts w:hint="eastAsia"/>
                <w:sz w:val="24"/>
              </w:rPr>
              <w:t>万</w:t>
            </w:r>
            <w:r>
              <w:rPr>
                <w:sz w:val="24"/>
              </w:rPr>
              <w:t>m</w:t>
            </w:r>
            <w:r>
              <w:rPr>
                <w:sz w:val="24"/>
                <w:vertAlign w:val="superscript"/>
              </w:rPr>
              <w:t>3</w:t>
            </w:r>
            <w:r>
              <w:rPr>
                <w:rFonts w:hint="eastAsia"/>
                <w:sz w:val="24"/>
              </w:rPr>
              <w:t>，借方量</w:t>
            </w:r>
            <w:r>
              <w:rPr>
                <w:sz w:val="24"/>
              </w:rPr>
              <w:t>0.76</w:t>
            </w:r>
            <w:r>
              <w:rPr>
                <w:rFonts w:hint="eastAsia"/>
                <w:sz w:val="24"/>
              </w:rPr>
              <w:t>万</w:t>
            </w:r>
            <w:r>
              <w:rPr>
                <w:sz w:val="24"/>
              </w:rPr>
              <w:t>m</w:t>
            </w:r>
            <w:r>
              <w:rPr>
                <w:sz w:val="24"/>
                <w:vertAlign w:val="superscript"/>
              </w:rPr>
              <w:t>3</w:t>
            </w:r>
            <w:r>
              <w:rPr>
                <w:rFonts w:hint="eastAsia"/>
                <w:sz w:val="24"/>
              </w:rPr>
              <w:t>，采用合法外购形式，无弃方，弃方量</w:t>
            </w:r>
            <w:r>
              <w:rPr>
                <w:sz w:val="24"/>
              </w:rPr>
              <w:t>0m</w:t>
            </w:r>
            <w:r>
              <w:rPr>
                <w:sz w:val="24"/>
                <w:vertAlign w:val="superscript"/>
              </w:rPr>
              <w:t>3</w:t>
            </w:r>
            <w:r>
              <w:rPr>
                <w:rFonts w:hint="eastAsia"/>
                <w:sz w:val="24"/>
              </w:rPr>
              <w:t>。</w:t>
            </w:r>
          </w:p>
          <w:p w14:paraId="47146F95">
            <w:pPr>
              <w:spacing w:line="360" w:lineRule="auto"/>
              <w:ind w:firstLine="480"/>
              <w:rPr>
                <w:b/>
                <w:sz w:val="24"/>
              </w:rPr>
            </w:pPr>
            <w:r>
              <w:rPr>
                <w:b/>
                <w:sz w:val="24"/>
              </w:rPr>
              <w:t>2</w:t>
            </w:r>
            <w:r>
              <w:rPr>
                <w:rFonts w:hint="eastAsia"/>
                <w:b/>
                <w:sz w:val="24"/>
              </w:rPr>
              <w:t>）施工人员生活垃圾</w:t>
            </w:r>
          </w:p>
          <w:p w14:paraId="07A19E7E">
            <w:pPr>
              <w:spacing w:line="360" w:lineRule="auto"/>
              <w:ind w:firstLine="480"/>
              <w:rPr>
                <w:sz w:val="24"/>
              </w:rPr>
            </w:pPr>
            <w:r>
              <w:rPr>
                <w:rFonts w:hint="eastAsia"/>
                <w:sz w:val="24"/>
              </w:rPr>
              <w:t>储能电站平均每天安排施工人员约</w:t>
            </w:r>
            <w:r>
              <w:rPr>
                <w:sz w:val="24"/>
              </w:rPr>
              <w:t>30</w:t>
            </w:r>
            <w:r>
              <w:rPr>
                <w:rFonts w:hint="eastAsia"/>
                <w:sz w:val="24"/>
              </w:rPr>
              <w:t>人左右，生活垃圾产生量约</w:t>
            </w:r>
            <w:r>
              <w:rPr>
                <w:sz w:val="24"/>
              </w:rPr>
              <w:t>15kg/d</w:t>
            </w:r>
            <w:r>
              <w:rPr>
                <w:rFonts w:hint="eastAsia"/>
                <w:sz w:val="24"/>
              </w:rPr>
              <w:t>，在施工场地收集后由市政环卫统一清运。</w:t>
            </w:r>
          </w:p>
          <w:p w14:paraId="3C78EC48">
            <w:pPr>
              <w:spacing w:line="360" w:lineRule="auto"/>
              <w:ind w:firstLine="480"/>
              <w:rPr>
                <w:b/>
                <w:sz w:val="24"/>
              </w:rPr>
            </w:pPr>
            <w:r>
              <w:rPr>
                <w:b/>
                <w:sz w:val="24"/>
              </w:rPr>
              <w:t>3</w:t>
            </w:r>
            <w:r>
              <w:rPr>
                <w:rFonts w:hint="eastAsia"/>
                <w:b/>
                <w:sz w:val="24"/>
              </w:rPr>
              <w:t>）建筑垃圾与废弃材料</w:t>
            </w:r>
          </w:p>
          <w:p w14:paraId="34D3428D">
            <w:pPr>
              <w:spacing w:line="360" w:lineRule="auto"/>
              <w:ind w:firstLine="480"/>
              <w:rPr>
                <w:sz w:val="24"/>
              </w:rPr>
            </w:pPr>
            <w:r>
              <w:rPr>
                <w:rFonts w:hint="eastAsia"/>
                <w:sz w:val="24"/>
              </w:rPr>
              <w:t>储能电站施工过程中可能产生的建筑垃圾、废弃材料，若不妥善处理，可能会污染当地水环境以及土壤环境，且容易产生安全隐患。</w:t>
            </w:r>
          </w:p>
          <w:p w14:paraId="705DED31">
            <w:pPr>
              <w:spacing w:line="360" w:lineRule="auto"/>
              <w:ind w:firstLine="480"/>
              <w:rPr>
                <w:sz w:val="24"/>
              </w:rPr>
            </w:pPr>
            <w:r>
              <w:rPr>
                <w:rFonts w:hint="eastAsia"/>
                <w:sz w:val="24"/>
              </w:rPr>
              <w:t>在施工现场设置建筑废物临时堆场并树立标示牌，采取进行防雨、防泄漏处理。</w:t>
            </w:r>
            <w:r>
              <w:rPr>
                <w:sz w:val="24"/>
              </w:rPr>
              <w:t xml:space="preserve"> </w:t>
            </w:r>
            <w:r>
              <w:rPr>
                <w:rFonts w:hint="eastAsia"/>
                <w:sz w:val="24"/>
              </w:rPr>
              <w:t>对于施工期间产生的可回收利用的废料通过分类存放后由施工单位统一回收；对不能回收的建筑垃圾（如混凝土废料、含砖、石、砂的杂土等）应及时清运至政府部门指定的建筑垃圾堆放场所。</w:t>
            </w:r>
          </w:p>
          <w:p w14:paraId="5F2BD04E">
            <w:pPr>
              <w:spacing w:line="360" w:lineRule="auto"/>
              <w:ind w:firstLine="480"/>
              <w:rPr>
                <w:sz w:val="24"/>
              </w:rPr>
            </w:pPr>
            <w:r>
              <w:rPr>
                <w:rFonts w:hint="eastAsia"/>
                <w:sz w:val="24"/>
              </w:rPr>
              <w:t>项目施工期产生固废均妥善处置，对环境影响较小。</w:t>
            </w:r>
          </w:p>
          <w:p w14:paraId="1BEC4CA0">
            <w:pPr>
              <w:spacing w:line="360" w:lineRule="auto"/>
              <w:ind w:firstLine="482" w:firstLineChars="200"/>
              <w:rPr>
                <w:b/>
                <w:bCs/>
                <w:sz w:val="24"/>
              </w:rPr>
            </w:pPr>
            <w:r>
              <w:rPr>
                <w:rFonts w:hint="eastAsia"/>
                <w:b/>
                <w:bCs/>
                <w:sz w:val="24"/>
              </w:rPr>
              <w:t>（5）施工期生态环境影响分析</w:t>
            </w:r>
          </w:p>
          <w:p w14:paraId="24774E50">
            <w:pPr>
              <w:spacing w:line="360" w:lineRule="auto"/>
              <w:ind w:firstLine="480"/>
              <w:rPr>
                <w:sz w:val="24"/>
              </w:rPr>
            </w:pPr>
            <w:r>
              <w:rPr>
                <w:rFonts w:hint="eastAsia"/>
                <w:sz w:val="24"/>
              </w:rPr>
              <w:t>本工程建设期对生态环境的影响主要表现在储能电站场地、施工临时占地对土地的扰动、植被的破坏造成的影响。</w:t>
            </w:r>
          </w:p>
          <w:p w14:paraId="152D13AF">
            <w:pPr>
              <w:spacing w:line="360" w:lineRule="auto"/>
              <w:ind w:firstLine="482" w:firstLineChars="200"/>
              <w:rPr>
                <w:b/>
                <w:bCs/>
                <w:sz w:val="24"/>
              </w:rPr>
            </w:pPr>
            <w:r>
              <w:rPr>
                <w:rFonts w:hint="eastAsia"/>
                <w:b/>
                <w:bCs/>
                <w:sz w:val="24"/>
              </w:rPr>
              <w:t>1）土地利用影响分析</w:t>
            </w:r>
          </w:p>
          <w:p w14:paraId="2066289B">
            <w:pPr>
              <w:pStyle w:val="2"/>
              <w:spacing w:before="0" w:after="0" w:line="360" w:lineRule="auto"/>
              <w:ind w:left="0" w:firstLine="480" w:firstLineChars="200"/>
              <w:rPr>
                <w:rFonts w:eastAsia="宋体"/>
                <w:b w:val="0"/>
                <w:color w:val="auto"/>
                <w:sz w:val="24"/>
                <w:szCs w:val="24"/>
              </w:rPr>
            </w:pPr>
            <w:r>
              <w:rPr>
                <w:rFonts w:ascii="宋体" w:hAnsi="宋体" w:eastAsia="宋体"/>
                <w:b w:val="0"/>
                <w:color w:val="auto"/>
                <w:sz w:val="24"/>
                <w:szCs w:val="24"/>
              </w:rPr>
              <w:t>本项目占地总面积</w:t>
            </w:r>
            <w:r>
              <w:rPr>
                <w:rFonts w:eastAsia="宋体"/>
                <w:b w:val="0"/>
                <w:color w:val="auto"/>
                <w:sz w:val="24"/>
                <w:szCs w:val="24"/>
              </w:rPr>
              <w:t>18406m</w:t>
            </w:r>
            <w:r>
              <w:rPr>
                <w:rFonts w:eastAsia="宋体"/>
                <w:b w:val="0"/>
                <w:color w:val="auto"/>
                <w:sz w:val="24"/>
                <w:szCs w:val="24"/>
                <w:vertAlign w:val="superscript"/>
              </w:rPr>
              <w:t>2</w:t>
            </w:r>
            <w:r>
              <w:rPr>
                <w:rFonts w:ascii="宋体" w:hAnsi="宋体" w:eastAsia="宋体"/>
                <w:b w:val="0"/>
                <w:color w:val="auto"/>
                <w:sz w:val="24"/>
                <w:szCs w:val="24"/>
              </w:rPr>
              <w:t>，</w:t>
            </w:r>
            <w:r>
              <w:rPr>
                <w:rFonts w:hint="eastAsia" w:ascii="宋体" w:hAnsi="宋体" w:eastAsia="宋体"/>
                <w:b w:val="0"/>
                <w:color w:val="auto"/>
                <w:sz w:val="24"/>
                <w:szCs w:val="24"/>
              </w:rPr>
              <w:t>全部为</w:t>
            </w:r>
            <w:r>
              <w:rPr>
                <w:rFonts w:ascii="宋体" w:hAnsi="宋体" w:eastAsia="宋体"/>
                <w:b w:val="0"/>
                <w:color w:val="auto"/>
                <w:sz w:val="24"/>
                <w:szCs w:val="24"/>
              </w:rPr>
              <w:t>永久占地，</w:t>
            </w:r>
            <w:r>
              <w:rPr>
                <w:rFonts w:hint="eastAsia" w:ascii="宋体" w:hAnsi="宋体" w:eastAsia="宋体"/>
                <w:b w:val="0"/>
                <w:color w:val="auto"/>
                <w:sz w:val="24"/>
                <w:szCs w:val="24"/>
              </w:rPr>
              <w:t>施工期场地占地类型为草地及其他土地（裸土地）等，涉及生态红线、永久基本农田、水源保护区等，本项目储能电站施工布置均在站区征地范围内进行，生活用地租用周边民房不新增临时占地，储能电站永久占地面积较小，不改变区域内土地利用现状。项目施工过程合理布置施工材料，尽量控制施工开挖量，减少对基底土层的干扰，施工结束后及时恢复现场，尽可能恢复原状地貌。</w:t>
            </w:r>
          </w:p>
          <w:p w14:paraId="2B6EF838">
            <w:pPr>
              <w:spacing w:line="360" w:lineRule="auto"/>
              <w:ind w:firstLine="480"/>
              <w:rPr>
                <w:sz w:val="24"/>
              </w:rPr>
            </w:pPr>
            <w:r>
              <w:rPr>
                <w:b/>
                <w:bCs/>
                <w:sz w:val="24"/>
              </w:rPr>
              <w:t>2</w:t>
            </w:r>
            <w:r>
              <w:rPr>
                <w:rFonts w:hint="eastAsia"/>
                <w:b/>
                <w:bCs/>
                <w:sz w:val="24"/>
              </w:rPr>
              <w:t>）植被影响分析</w:t>
            </w:r>
          </w:p>
          <w:p w14:paraId="18876B6D">
            <w:pPr>
              <w:spacing w:line="360" w:lineRule="auto"/>
              <w:ind w:firstLine="480"/>
              <w:rPr>
                <w:sz w:val="24"/>
              </w:rPr>
            </w:pPr>
            <w:r>
              <w:rPr>
                <w:rFonts w:hint="eastAsia"/>
                <w:sz w:val="24"/>
              </w:rPr>
              <w:t>本项目储能电站现状主要为</w:t>
            </w:r>
            <w:r>
              <w:rPr>
                <w:rFonts w:hint="eastAsia" w:ascii="宋体" w:hAnsi="宋体"/>
                <w:sz w:val="24"/>
              </w:rPr>
              <w:t>草地及其他土地（裸土地）等</w:t>
            </w:r>
            <w:r>
              <w:rPr>
                <w:rFonts w:hint="eastAsia"/>
                <w:sz w:val="24"/>
              </w:rPr>
              <w:t>，项目工程占地和施工扰动将导致这些植物被破坏。但由于储能电站占地面积不大，且评价区内无国家重点保护动植物或古树名木大树分布，受影响的是常见野生杂类草，施工结束后项目及时对场地进行绿化和植被恢复，因此项目建成后对植被影响较小。</w:t>
            </w:r>
          </w:p>
          <w:p w14:paraId="3E38DB89">
            <w:pPr>
              <w:spacing w:line="360" w:lineRule="auto"/>
              <w:ind w:firstLine="480"/>
              <w:rPr>
                <w:sz w:val="24"/>
              </w:rPr>
            </w:pPr>
            <w:r>
              <w:rPr>
                <w:b/>
                <w:bCs/>
                <w:sz w:val="24"/>
              </w:rPr>
              <w:t>3</w:t>
            </w:r>
            <w:r>
              <w:rPr>
                <w:rFonts w:hint="eastAsia"/>
                <w:b/>
                <w:bCs/>
                <w:sz w:val="24"/>
              </w:rPr>
              <w:t>）动物影响分析</w:t>
            </w:r>
          </w:p>
          <w:p w14:paraId="18FAD1AC">
            <w:pPr>
              <w:pStyle w:val="151"/>
              <w:spacing w:line="360" w:lineRule="auto"/>
              <w:ind w:firstLine="480" w:firstLineChars="200"/>
            </w:pPr>
            <w:r>
              <w:rPr>
                <w:rFonts w:hint="eastAsia" w:ascii="宋体" w:hAnsi="宋体"/>
                <w:sz w:val="24"/>
                <w:szCs w:val="24"/>
              </w:rPr>
              <w:t>项目施工期，由于基础开挖等施工活动和各种施工机械，如运输汽车、挖掘机等均可产生较强烈的噪声会对项目区域动物生存环境产生一定影响。根据现场勘察，场址内没有大型野生动物出没，主要为鼠类、鸟类等。项目局部施工期较短，施工占地面积有限，项目北侧有未被扰动植被（草地）相互连通，因此施工期不会影响项目区域的连通性。同时施工区的环境与施工区以外的环境十分相似，施工区内的野生动物较容易找到新的栖息地，对区内野动物的种群数量不会有大的变化。</w:t>
            </w:r>
          </w:p>
        </w:tc>
      </w:tr>
      <w:tr w14:paraId="3944A9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1" w:hRule="atLeast"/>
          <w:jc w:val="center"/>
        </w:trPr>
        <w:tc>
          <w:tcPr>
            <w:tcW w:w="137" w:type="pct"/>
            <w:tcMar>
              <w:left w:w="28" w:type="dxa"/>
              <w:right w:w="28" w:type="dxa"/>
            </w:tcMar>
            <w:vAlign w:val="center"/>
          </w:tcPr>
          <w:p w14:paraId="36A64A8C">
            <w:pPr>
              <w:pStyle w:val="29"/>
              <w:ind w:firstLine="0" w:firstLineChars="0"/>
            </w:pPr>
            <w:r>
              <w:rPr>
                <w:rFonts w:hint="eastAsia"/>
              </w:rPr>
              <w:t>运营期生态环境影响分析</w:t>
            </w:r>
          </w:p>
        </w:tc>
        <w:tc>
          <w:tcPr>
            <w:tcW w:w="4863" w:type="pct"/>
          </w:tcPr>
          <w:p w14:paraId="76FFD048">
            <w:pPr>
              <w:spacing w:before="120" w:beforeLines="50" w:line="360" w:lineRule="auto"/>
              <w:ind w:firstLine="482" w:firstLineChars="200"/>
              <w:rPr>
                <w:sz w:val="24"/>
              </w:rPr>
            </w:pPr>
            <w:r>
              <w:rPr>
                <w:b/>
                <w:bCs/>
                <w:sz w:val="24"/>
              </w:rPr>
              <w:t>1</w:t>
            </w:r>
            <w:r>
              <w:rPr>
                <w:rFonts w:hint="eastAsia"/>
                <w:b/>
                <w:bCs/>
                <w:sz w:val="24"/>
              </w:rPr>
              <w:t>、运营期产生生态破坏、环境污染的主要环节、因素</w:t>
            </w:r>
          </w:p>
          <w:p w14:paraId="7A577D9D">
            <w:pPr>
              <w:spacing w:line="360" w:lineRule="auto"/>
              <w:ind w:firstLine="480"/>
              <w:rPr>
                <w:sz w:val="24"/>
              </w:rPr>
            </w:pPr>
            <w:r>
              <w:rPr>
                <w:rFonts w:hint="eastAsia"/>
                <w:sz w:val="24"/>
              </w:rPr>
              <w:t>本项目投运后，储能电站主要环境影响因子为工频电磁场、噪声、生活污水及固体废物。</w:t>
            </w:r>
          </w:p>
          <w:p w14:paraId="542878E8">
            <w:pPr>
              <w:pStyle w:val="132"/>
              <w:rPr>
                <w:b/>
              </w:rPr>
            </w:pPr>
            <w:r>
              <w:rPr>
                <w:rFonts w:hint="eastAsia"/>
                <w:b/>
              </w:rPr>
              <w:t>表</w:t>
            </w:r>
            <w:r>
              <w:rPr>
                <w:b/>
              </w:rPr>
              <w:t>4-7</w:t>
            </w:r>
            <w:r>
              <w:rPr>
                <w:rFonts w:hint="eastAsia"/>
                <w:b/>
              </w:rPr>
              <w:t>本工程运营期环境影响因子及其主要污染工序</w:t>
            </w:r>
          </w:p>
          <w:tbl>
            <w:tblPr>
              <w:tblStyle w:val="15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1704"/>
              <w:gridCol w:w="6041"/>
            </w:tblGrid>
            <w:tr w14:paraId="421F91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9" w:type="pct"/>
                  <w:vAlign w:val="center"/>
                </w:tcPr>
                <w:p w14:paraId="172E1E6E">
                  <w:pPr>
                    <w:jc w:val="center"/>
                    <w:rPr>
                      <w:rFonts w:hint="default" w:ascii="Times New Roman" w:hAnsi="Times New Roman" w:eastAsia="宋体" w:cs="Times New Roman"/>
                      <w:b/>
                      <w:i w:val="0"/>
                      <w:szCs w:val="21"/>
                    </w:rPr>
                  </w:pPr>
                  <w:r>
                    <w:rPr>
                      <w:rFonts w:hint="eastAsia" w:ascii="Times New Roman" w:hAnsi="Times New Roman" w:eastAsia="宋体" w:cs="Times New Roman"/>
                      <w:b/>
                      <w:i w:val="0"/>
                      <w:szCs w:val="21"/>
                    </w:rPr>
                    <w:t>序号</w:t>
                  </w:r>
                </w:p>
              </w:tc>
              <w:tc>
                <w:tcPr>
                  <w:tcW w:w="1001" w:type="pct"/>
                  <w:vAlign w:val="center"/>
                </w:tcPr>
                <w:p w14:paraId="222F7A4F">
                  <w:pPr>
                    <w:jc w:val="center"/>
                    <w:rPr>
                      <w:rFonts w:hint="default" w:ascii="Times New Roman" w:hAnsi="Times New Roman" w:eastAsia="宋体" w:cs="Times New Roman"/>
                      <w:b/>
                      <w:i w:val="0"/>
                      <w:szCs w:val="21"/>
                    </w:rPr>
                  </w:pPr>
                  <w:r>
                    <w:rPr>
                      <w:rFonts w:hint="eastAsia" w:ascii="Times New Roman" w:hAnsi="Times New Roman" w:eastAsia="宋体" w:cs="Times New Roman"/>
                      <w:b/>
                      <w:i w:val="0"/>
                      <w:szCs w:val="21"/>
                    </w:rPr>
                    <w:t>影响因子</w:t>
                  </w:r>
                </w:p>
              </w:tc>
              <w:tc>
                <w:tcPr>
                  <w:tcW w:w="3550" w:type="pct"/>
                  <w:vAlign w:val="center"/>
                </w:tcPr>
                <w:p w14:paraId="0525BED3">
                  <w:pPr>
                    <w:jc w:val="center"/>
                    <w:rPr>
                      <w:rFonts w:hint="default" w:ascii="Times New Roman" w:hAnsi="Times New Roman" w:eastAsia="宋体" w:cs="Times New Roman"/>
                      <w:b/>
                      <w:i w:val="0"/>
                      <w:szCs w:val="21"/>
                    </w:rPr>
                  </w:pPr>
                  <w:r>
                    <w:rPr>
                      <w:rFonts w:hint="eastAsia" w:ascii="Times New Roman" w:hAnsi="Times New Roman" w:eastAsia="宋体" w:cs="Times New Roman"/>
                      <w:b/>
                      <w:i w:val="0"/>
                      <w:szCs w:val="21"/>
                    </w:rPr>
                    <w:t>主要污染工序</w:t>
                  </w:r>
                </w:p>
              </w:tc>
            </w:tr>
            <w:tr w14:paraId="665B9F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9" w:type="pct"/>
                  <w:vAlign w:val="center"/>
                </w:tcPr>
                <w:p w14:paraId="0D01CB45">
                  <w:pPr>
                    <w:jc w:val="center"/>
                    <w:rPr>
                      <w:rFonts w:eastAsia="Times New Roman"/>
                      <w:szCs w:val="21"/>
                    </w:rPr>
                  </w:pPr>
                  <w:r>
                    <w:rPr>
                      <w:rFonts w:eastAsia="Times New Roman"/>
                      <w:szCs w:val="21"/>
                    </w:rPr>
                    <w:t>1</w:t>
                  </w:r>
                </w:p>
              </w:tc>
              <w:tc>
                <w:tcPr>
                  <w:tcW w:w="1001" w:type="pct"/>
                  <w:vAlign w:val="center"/>
                </w:tcPr>
                <w:p w14:paraId="2749A5F8">
                  <w:pPr>
                    <w:jc w:val="center"/>
                    <w:rPr>
                      <w:rFonts w:eastAsia="Times New Roman"/>
                      <w:szCs w:val="21"/>
                    </w:rPr>
                  </w:pPr>
                  <w:r>
                    <w:rPr>
                      <w:rFonts w:hint="eastAsia" w:ascii="宋体" w:hAnsi="宋体" w:eastAsia="宋体" w:cs="宋体"/>
                      <w:szCs w:val="21"/>
                    </w:rPr>
                    <w:t>噪声</w:t>
                  </w:r>
                </w:p>
              </w:tc>
              <w:tc>
                <w:tcPr>
                  <w:tcW w:w="3550" w:type="pct"/>
                  <w:vAlign w:val="center"/>
                </w:tcPr>
                <w:p w14:paraId="5C25BD05">
                  <w:pPr>
                    <w:rPr>
                      <w:rFonts w:eastAsia="Times New Roman"/>
                      <w:szCs w:val="21"/>
                    </w:rPr>
                  </w:pPr>
                  <w:r>
                    <w:rPr>
                      <w:rFonts w:hint="eastAsia" w:ascii="宋体" w:hAnsi="宋体" w:eastAsia="宋体" w:cs="宋体"/>
                      <w:szCs w:val="21"/>
                    </w:rPr>
                    <w:t>储能电站内的变压器运行会产生电磁性或机械性噪声。</w:t>
                  </w:r>
                </w:p>
              </w:tc>
            </w:tr>
            <w:tr w14:paraId="580BC9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9" w:type="pct"/>
                  <w:vAlign w:val="center"/>
                </w:tcPr>
                <w:p w14:paraId="5EB9276B">
                  <w:pPr>
                    <w:jc w:val="center"/>
                    <w:rPr>
                      <w:rFonts w:eastAsia="Times New Roman"/>
                      <w:szCs w:val="21"/>
                    </w:rPr>
                  </w:pPr>
                  <w:r>
                    <w:rPr>
                      <w:rFonts w:eastAsia="Times New Roman"/>
                      <w:szCs w:val="21"/>
                    </w:rPr>
                    <w:t>2</w:t>
                  </w:r>
                </w:p>
              </w:tc>
              <w:tc>
                <w:tcPr>
                  <w:tcW w:w="1001" w:type="pct"/>
                  <w:vAlign w:val="center"/>
                </w:tcPr>
                <w:p w14:paraId="01D99414">
                  <w:pPr>
                    <w:jc w:val="center"/>
                    <w:rPr>
                      <w:rFonts w:eastAsia="Times New Roman"/>
                      <w:szCs w:val="21"/>
                    </w:rPr>
                  </w:pPr>
                  <w:r>
                    <w:rPr>
                      <w:rFonts w:hint="eastAsia" w:ascii="宋体" w:hAnsi="宋体" w:eastAsia="宋体" w:cs="宋体"/>
                      <w:szCs w:val="21"/>
                    </w:rPr>
                    <w:t>工频电场</w:t>
                  </w:r>
                </w:p>
                <w:p w14:paraId="3B4827FB">
                  <w:pPr>
                    <w:jc w:val="center"/>
                    <w:rPr>
                      <w:rFonts w:eastAsia="Times New Roman"/>
                      <w:szCs w:val="21"/>
                    </w:rPr>
                  </w:pPr>
                  <w:r>
                    <w:rPr>
                      <w:rFonts w:hint="eastAsia" w:ascii="宋体" w:hAnsi="宋体" w:eastAsia="宋体" w:cs="宋体"/>
                      <w:szCs w:val="21"/>
                    </w:rPr>
                    <w:t>工频磁场</w:t>
                  </w:r>
                </w:p>
              </w:tc>
              <w:tc>
                <w:tcPr>
                  <w:tcW w:w="3550" w:type="pct"/>
                  <w:vAlign w:val="center"/>
                </w:tcPr>
                <w:p w14:paraId="408FB63C">
                  <w:pPr>
                    <w:rPr>
                      <w:rFonts w:eastAsia="Times New Roman"/>
                      <w:szCs w:val="21"/>
                    </w:rPr>
                  </w:pPr>
                  <w:r>
                    <w:rPr>
                      <w:rFonts w:hint="eastAsia" w:ascii="宋体" w:hAnsi="宋体" w:eastAsia="宋体" w:cs="宋体"/>
                      <w:szCs w:val="21"/>
                    </w:rPr>
                    <w:t>由于稳定的电压、电流持续存在，储能电站电气设备附近会产生工频电场、工频磁场。</w:t>
                  </w:r>
                </w:p>
              </w:tc>
            </w:tr>
            <w:tr w14:paraId="048E22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9" w:type="pct"/>
                  <w:vAlign w:val="center"/>
                </w:tcPr>
                <w:p w14:paraId="293F19C3">
                  <w:pPr>
                    <w:jc w:val="center"/>
                    <w:rPr>
                      <w:rFonts w:eastAsia="Times New Roman"/>
                      <w:szCs w:val="21"/>
                    </w:rPr>
                  </w:pPr>
                  <w:r>
                    <w:rPr>
                      <w:rFonts w:eastAsia="Times New Roman"/>
                      <w:szCs w:val="21"/>
                    </w:rPr>
                    <w:t>3</w:t>
                  </w:r>
                </w:p>
              </w:tc>
              <w:tc>
                <w:tcPr>
                  <w:tcW w:w="1001" w:type="pct"/>
                  <w:vAlign w:val="center"/>
                </w:tcPr>
                <w:p w14:paraId="0C1D87AB">
                  <w:pPr>
                    <w:jc w:val="center"/>
                    <w:rPr>
                      <w:rFonts w:eastAsia="Times New Roman"/>
                      <w:szCs w:val="21"/>
                    </w:rPr>
                  </w:pPr>
                  <w:r>
                    <w:rPr>
                      <w:rFonts w:hint="eastAsia" w:ascii="宋体" w:hAnsi="宋体" w:eastAsia="宋体" w:cs="宋体"/>
                      <w:szCs w:val="21"/>
                    </w:rPr>
                    <w:t>大气</w:t>
                  </w:r>
                </w:p>
              </w:tc>
              <w:tc>
                <w:tcPr>
                  <w:tcW w:w="3550" w:type="pct"/>
                  <w:vAlign w:val="center"/>
                </w:tcPr>
                <w:p w14:paraId="560ACB7A">
                  <w:pPr>
                    <w:rPr>
                      <w:rFonts w:eastAsia="Times New Roman"/>
                      <w:szCs w:val="21"/>
                    </w:rPr>
                  </w:pPr>
                  <w:r>
                    <w:rPr>
                      <w:rFonts w:hint="eastAsia" w:ascii="宋体" w:hAnsi="宋体" w:eastAsia="宋体" w:cs="宋体"/>
                      <w:szCs w:val="21"/>
                    </w:rPr>
                    <w:t>运营期项目无废气产生。</w:t>
                  </w:r>
                </w:p>
              </w:tc>
            </w:tr>
            <w:tr w14:paraId="3EC3B2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9" w:type="pct"/>
                  <w:vAlign w:val="center"/>
                </w:tcPr>
                <w:p w14:paraId="26B3A5A3">
                  <w:pPr>
                    <w:jc w:val="center"/>
                    <w:rPr>
                      <w:rFonts w:eastAsia="Times New Roman"/>
                      <w:szCs w:val="21"/>
                    </w:rPr>
                  </w:pPr>
                  <w:r>
                    <w:rPr>
                      <w:rFonts w:eastAsia="Times New Roman"/>
                      <w:szCs w:val="21"/>
                    </w:rPr>
                    <w:t>4</w:t>
                  </w:r>
                </w:p>
              </w:tc>
              <w:tc>
                <w:tcPr>
                  <w:tcW w:w="1001" w:type="pct"/>
                  <w:vAlign w:val="center"/>
                </w:tcPr>
                <w:p w14:paraId="231C0970">
                  <w:pPr>
                    <w:jc w:val="center"/>
                    <w:rPr>
                      <w:rFonts w:eastAsia="Times New Roman"/>
                      <w:szCs w:val="21"/>
                    </w:rPr>
                  </w:pPr>
                  <w:r>
                    <w:rPr>
                      <w:rFonts w:hint="eastAsia" w:ascii="宋体" w:hAnsi="宋体" w:eastAsia="宋体" w:cs="宋体"/>
                      <w:szCs w:val="21"/>
                    </w:rPr>
                    <w:t>水环境</w:t>
                  </w:r>
                </w:p>
              </w:tc>
              <w:tc>
                <w:tcPr>
                  <w:tcW w:w="3550" w:type="pct"/>
                  <w:vAlign w:val="center"/>
                </w:tcPr>
                <w:p w14:paraId="30FAE174">
                  <w:pPr>
                    <w:rPr>
                      <w:rFonts w:eastAsia="Times New Roman"/>
                      <w:szCs w:val="21"/>
                    </w:rPr>
                  </w:pPr>
                  <w:r>
                    <w:rPr>
                      <w:rFonts w:hint="eastAsia" w:ascii="宋体" w:hAnsi="宋体" w:eastAsia="宋体" w:cs="宋体"/>
                      <w:szCs w:val="21"/>
                    </w:rPr>
                    <w:t>储能电站值守人员产生的生活污水。</w:t>
                  </w:r>
                </w:p>
              </w:tc>
            </w:tr>
            <w:tr w14:paraId="5C3B1C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9" w:type="pct"/>
                  <w:vAlign w:val="center"/>
                </w:tcPr>
                <w:p w14:paraId="564FD32B">
                  <w:pPr>
                    <w:jc w:val="center"/>
                    <w:rPr>
                      <w:rFonts w:eastAsia="Times New Roman"/>
                      <w:szCs w:val="21"/>
                    </w:rPr>
                  </w:pPr>
                  <w:r>
                    <w:rPr>
                      <w:rFonts w:eastAsia="Times New Roman"/>
                      <w:szCs w:val="21"/>
                    </w:rPr>
                    <w:t>5</w:t>
                  </w:r>
                </w:p>
              </w:tc>
              <w:tc>
                <w:tcPr>
                  <w:tcW w:w="1001" w:type="pct"/>
                  <w:vAlign w:val="center"/>
                </w:tcPr>
                <w:p w14:paraId="1F232448">
                  <w:pPr>
                    <w:jc w:val="center"/>
                    <w:rPr>
                      <w:rFonts w:eastAsia="Times New Roman"/>
                      <w:szCs w:val="21"/>
                    </w:rPr>
                  </w:pPr>
                  <w:r>
                    <w:rPr>
                      <w:rFonts w:hint="eastAsia" w:ascii="宋体" w:hAnsi="宋体" w:eastAsia="宋体" w:cs="宋体"/>
                      <w:szCs w:val="21"/>
                    </w:rPr>
                    <w:t>固体废物</w:t>
                  </w:r>
                </w:p>
              </w:tc>
              <w:tc>
                <w:tcPr>
                  <w:tcW w:w="3550" w:type="pct"/>
                  <w:vAlign w:val="center"/>
                </w:tcPr>
                <w:p w14:paraId="55465697">
                  <w:pPr>
                    <w:rPr>
                      <w:rFonts w:eastAsia="Times New Roman"/>
                      <w:szCs w:val="21"/>
                    </w:rPr>
                  </w:pPr>
                  <w:bookmarkStart w:id="62" w:name="OLE_LINK57"/>
                  <w:r>
                    <w:rPr>
                      <w:rFonts w:hint="eastAsia" w:ascii="宋体" w:hAnsi="宋体" w:eastAsia="宋体" w:cs="宋体"/>
                      <w:szCs w:val="21"/>
                    </w:rPr>
                    <w:t>储能电站值守人员产生的生活垃圾。</w:t>
                  </w:r>
                  <w:bookmarkEnd w:id="62"/>
                  <w:r>
                    <w:rPr>
                      <w:rFonts w:hint="eastAsia" w:ascii="宋体" w:hAnsi="宋体" w:eastAsia="宋体" w:cs="宋体"/>
                      <w:szCs w:val="21"/>
                    </w:rPr>
                    <w:t>储能电站内蓄电池寿命到期更换后，产生废蓄电池。</w:t>
                  </w:r>
                </w:p>
              </w:tc>
            </w:tr>
            <w:tr w14:paraId="18E470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9" w:type="pct"/>
                  <w:vAlign w:val="center"/>
                </w:tcPr>
                <w:p w14:paraId="3D1D87ED">
                  <w:pPr>
                    <w:jc w:val="center"/>
                    <w:rPr>
                      <w:rFonts w:eastAsia="Times New Roman"/>
                      <w:szCs w:val="21"/>
                    </w:rPr>
                  </w:pPr>
                  <w:r>
                    <w:rPr>
                      <w:rFonts w:hint="eastAsia" w:eastAsia="Times New Roman"/>
                      <w:szCs w:val="21"/>
                    </w:rPr>
                    <w:t>6</w:t>
                  </w:r>
                </w:p>
              </w:tc>
              <w:tc>
                <w:tcPr>
                  <w:tcW w:w="1001" w:type="pct"/>
                  <w:vAlign w:val="center"/>
                </w:tcPr>
                <w:p w14:paraId="54308E81">
                  <w:pPr>
                    <w:jc w:val="center"/>
                    <w:rPr>
                      <w:rFonts w:eastAsia="Times New Roman"/>
                      <w:szCs w:val="21"/>
                    </w:rPr>
                  </w:pPr>
                  <w:r>
                    <w:rPr>
                      <w:rFonts w:hint="eastAsia" w:ascii="宋体" w:hAnsi="宋体" w:eastAsia="宋体" w:cs="宋体"/>
                      <w:szCs w:val="21"/>
                    </w:rPr>
                    <w:t>环境风险</w:t>
                  </w:r>
                </w:p>
              </w:tc>
              <w:tc>
                <w:tcPr>
                  <w:tcW w:w="3550" w:type="pct"/>
                  <w:vAlign w:val="center"/>
                </w:tcPr>
                <w:p w14:paraId="57CD1593">
                  <w:pPr>
                    <w:rPr>
                      <w:rFonts w:eastAsia="Times New Roman"/>
                      <w:szCs w:val="21"/>
                    </w:rPr>
                  </w:pPr>
                  <w:r>
                    <w:rPr>
                      <w:rFonts w:hint="eastAsia" w:ascii="宋体" w:hAnsi="宋体" w:eastAsia="宋体" w:cs="宋体"/>
                      <w:szCs w:val="21"/>
                    </w:rPr>
                    <w:t>废变压器油：在事故或检修且失控状态下会产生废变压器油。</w:t>
                  </w:r>
                </w:p>
              </w:tc>
            </w:tr>
          </w:tbl>
          <w:p w14:paraId="3BDE7D17">
            <w:pPr>
              <w:spacing w:before="120" w:beforeLines="50" w:line="360" w:lineRule="auto"/>
              <w:ind w:left="482"/>
              <w:rPr>
                <w:b/>
              </w:rPr>
            </w:pPr>
            <w:r>
              <w:rPr>
                <w:b/>
                <w:bCs/>
                <w:sz w:val="24"/>
              </w:rPr>
              <w:t>2</w:t>
            </w:r>
            <w:r>
              <w:rPr>
                <w:rFonts w:hint="eastAsia"/>
                <w:b/>
                <w:bCs/>
                <w:sz w:val="24"/>
              </w:rPr>
              <w:t>、运营期工艺流程及产污环节</w:t>
            </w:r>
            <w:bookmarkStart w:id="63" w:name="_Hlk196753918"/>
          </w:p>
          <w:p w14:paraId="4B8C03CE">
            <w:pPr>
              <w:pStyle w:val="29"/>
            </w:pPr>
            <w:r>
              <w:rPr>
                <w:rFonts w:hint="eastAsia"/>
              </w:rPr>
              <w:t>本工程运营期工艺流程及产污环节如下图所示：</w:t>
            </w:r>
          </w:p>
          <w:p w14:paraId="304F26E3">
            <w:pPr>
              <w:pStyle w:val="149"/>
            </w:pPr>
            <w:r>
              <w:drawing>
                <wp:inline distT="0" distB="0" distL="0" distR="0">
                  <wp:extent cx="5615305" cy="3728085"/>
                  <wp:effectExtent l="0" t="0" r="4445"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6"/>
                          <a:stretch>
                            <a:fillRect/>
                          </a:stretch>
                        </pic:blipFill>
                        <pic:spPr>
                          <a:xfrm>
                            <a:off x="0" y="0"/>
                            <a:ext cx="5615305" cy="3728085"/>
                          </a:xfrm>
                          <a:prstGeom prst="rect">
                            <a:avLst/>
                          </a:prstGeom>
                        </pic:spPr>
                      </pic:pic>
                    </a:graphicData>
                  </a:graphic>
                </wp:inline>
              </w:drawing>
            </w:r>
          </w:p>
          <w:bookmarkEnd w:id="63"/>
          <w:p w14:paraId="1003BE53">
            <w:pPr>
              <w:pStyle w:val="132"/>
              <w:rPr>
                <w:b/>
              </w:rPr>
            </w:pPr>
            <w:r>
              <w:rPr>
                <w:rFonts w:hint="eastAsia"/>
                <w:b/>
              </w:rPr>
              <w:t>图</w:t>
            </w:r>
            <w:r>
              <w:rPr>
                <w:b/>
              </w:rPr>
              <w:t>4-2</w:t>
            </w:r>
            <w:r>
              <w:rPr>
                <w:rFonts w:hint="eastAsia"/>
                <w:b/>
              </w:rPr>
              <w:t>本工程运营期产污示意图</w:t>
            </w:r>
          </w:p>
          <w:p w14:paraId="16B62182">
            <w:pPr>
              <w:spacing w:line="360" w:lineRule="auto"/>
              <w:ind w:firstLine="482" w:firstLineChars="200"/>
              <w:rPr>
                <w:sz w:val="24"/>
              </w:rPr>
            </w:pPr>
            <w:r>
              <w:rPr>
                <w:rFonts w:hint="eastAsia"/>
                <w:b/>
                <w:bCs/>
                <w:sz w:val="24"/>
              </w:rPr>
              <w:t>工艺流程及产污环节说明：</w:t>
            </w:r>
            <w:r>
              <w:rPr>
                <w:rFonts w:hint="eastAsia"/>
                <w:sz w:val="24"/>
              </w:rPr>
              <w:t>在用电低谷期时，利用电网中冗余的电力对本项目储能系统进行充电，电流经本项目变压器转变成与储能系统适配的电压，再通过逆变器将交流电逆变成直流电，对储能系统中的锂电池进行充电；在用电高峰期时，储能系统的锂电池放出直流电，经逆变器逆变成交流电，再通过本项目变压器转变成与电网适配的电压，向电网进行供电。运营期的主要环境影响为储能电站的电磁环境影响、噪声影响、锂电池退役后产生的废旧电池、废变压器油以及值班人员的生活垃圾与生活污水。</w:t>
            </w:r>
          </w:p>
          <w:p w14:paraId="7EC7E9F1">
            <w:pPr>
              <w:spacing w:line="360" w:lineRule="auto"/>
              <w:ind w:firstLine="482" w:firstLineChars="200"/>
              <w:rPr>
                <w:b/>
                <w:bCs/>
                <w:sz w:val="24"/>
              </w:rPr>
            </w:pPr>
            <w:r>
              <w:rPr>
                <w:rFonts w:hint="eastAsia"/>
                <w:b/>
                <w:bCs/>
                <w:sz w:val="24"/>
              </w:rPr>
              <w:t>3、电磁环境影响分析（详见电磁环境影响专题评价）</w:t>
            </w:r>
          </w:p>
          <w:p w14:paraId="25B00674">
            <w:pPr>
              <w:spacing w:line="360" w:lineRule="auto"/>
              <w:ind w:firstLine="480" w:firstLineChars="200"/>
              <w:rPr>
                <w:sz w:val="24"/>
              </w:rPr>
            </w:pPr>
            <w:r>
              <w:rPr>
                <w:rFonts w:hint="eastAsia"/>
                <w:sz w:val="24"/>
              </w:rPr>
              <w:t>根据本报告表设置的“电磁环境影响专题评价”，可得出以下结论。</w:t>
            </w:r>
          </w:p>
          <w:p w14:paraId="3ED2D2A3">
            <w:pPr>
              <w:spacing w:line="360" w:lineRule="auto"/>
              <w:ind w:firstLine="480" w:firstLineChars="200"/>
              <w:rPr>
                <w:bCs/>
                <w:sz w:val="24"/>
              </w:rPr>
            </w:pPr>
            <w:r>
              <w:rPr>
                <w:rFonts w:hint="eastAsia"/>
                <w:sz w:val="24"/>
              </w:rPr>
              <w:t>以惠州220kV荣田变电站作为类比对象，惠州220kV荣田变电站项目站址四周的类比监测结果均能满足《电磁环境控制限值》（GB8702-2014）中表1公众曝露控制限值要求，</w:t>
            </w:r>
            <w:r>
              <w:rPr>
                <w:rFonts w:hint="eastAsia"/>
                <w:bCs/>
                <w:sz w:val="24"/>
              </w:rPr>
              <w:t>即电场强度</w:t>
            </w:r>
            <w:r>
              <w:rPr>
                <w:bCs/>
                <w:sz w:val="24"/>
              </w:rPr>
              <w:t>4000V/m</w:t>
            </w:r>
            <w:r>
              <w:rPr>
                <w:rFonts w:hint="eastAsia"/>
                <w:bCs/>
                <w:sz w:val="24"/>
              </w:rPr>
              <w:t>、磁感应强度</w:t>
            </w:r>
            <w:r>
              <w:rPr>
                <w:bCs/>
                <w:sz w:val="24"/>
              </w:rPr>
              <w:t>100μT</w:t>
            </w:r>
            <w:r>
              <w:rPr>
                <w:rFonts w:hint="eastAsia"/>
                <w:sz w:val="24"/>
              </w:rPr>
              <w:t>。</w:t>
            </w:r>
          </w:p>
          <w:p w14:paraId="23B959CA">
            <w:pPr>
              <w:spacing w:line="360" w:lineRule="auto"/>
              <w:ind w:firstLine="480" w:firstLineChars="200"/>
              <w:rPr>
                <w:bCs/>
                <w:sz w:val="24"/>
              </w:rPr>
            </w:pPr>
            <w:r>
              <w:rPr>
                <w:rFonts w:hint="eastAsia"/>
                <w:sz w:val="24"/>
              </w:rPr>
              <w:t>因此类比预测本项目投产后站址四周产生的工频电场、工频磁场环境影响均满足《电磁环境控制限值》（</w:t>
            </w:r>
            <w:r>
              <w:rPr>
                <w:sz w:val="24"/>
              </w:rPr>
              <w:t>GB8702-2014</w:t>
            </w:r>
            <w:r>
              <w:rPr>
                <w:rFonts w:hint="eastAsia"/>
                <w:sz w:val="24"/>
              </w:rPr>
              <w:t>）中表</w:t>
            </w:r>
            <w:r>
              <w:rPr>
                <w:sz w:val="24"/>
              </w:rPr>
              <w:t>1</w:t>
            </w:r>
            <w:r>
              <w:rPr>
                <w:rFonts w:hint="eastAsia"/>
                <w:sz w:val="24"/>
              </w:rPr>
              <w:t>公众曝露控制限值要求（</w:t>
            </w:r>
            <w:r>
              <w:rPr>
                <w:rFonts w:hint="eastAsia"/>
                <w:bCs/>
                <w:sz w:val="24"/>
              </w:rPr>
              <w:t>即电场强度</w:t>
            </w:r>
            <w:r>
              <w:rPr>
                <w:bCs/>
                <w:sz w:val="24"/>
              </w:rPr>
              <w:t>4000V/m</w:t>
            </w:r>
            <w:r>
              <w:rPr>
                <w:rFonts w:hint="eastAsia"/>
                <w:bCs/>
                <w:sz w:val="24"/>
              </w:rPr>
              <w:t>、磁感应强度</w:t>
            </w:r>
            <w:r>
              <w:rPr>
                <w:bCs/>
                <w:sz w:val="24"/>
              </w:rPr>
              <w:t>100μT</w:t>
            </w:r>
            <w:r>
              <w:rPr>
                <w:rFonts w:hint="eastAsia"/>
                <w:sz w:val="24"/>
              </w:rPr>
              <w:t>）。</w:t>
            </w:r>
          </w:p>
          <w:p w14:paraId="32BF8288">
            <w:pPr>
              <w:spacing w:line="360" w:lineRule="auto"/>
              <w:ind w:firstLine="482" w:firstLineChars="200"/>
              <w:rPr>
                <w:b/>
                <w:bCs/>
                <w:sz w:val="24"/>
              </w:rPr>
            </w:pPr>
            <w:r>
              <w:rPr>
                <w:b/>
                <w:bCs/>
                <w:sz w:val="24"/>
              </w:rPr>
              <w:t>4</w:t>
            </w:r>
            <w:r>
              <w:rPr>
                <w:rFonts w:hint="eastAsia"/>
                <w:b/>
                <w:bCs/>
                <w:sz w:val="24"/>
              </w:rPr>
              <w:t>、声环境影响分析</w:t>
            </w:r>
          </w:p>
          <w:p w14:paraId="023CABCB">
            <w:pPr>
              <w:spacing w:line="360" w:lineRule="auto"/>
              <w:ind w:firstLine="470" w:firstLineChars="196"/>
              <w:rPr>
                <w:sz w:val="24"/>
              </w:rPr>
            </w:pPr>
            <w:r>
              <w:rPr>
                <w:rFonts w:hint="eastAsia"/>
                <w:sz w:val="24"/>
              </w:rPr>
              <w:t>储能电站投入运行后，其内变压器本身及其冷却风扇运行会产生连续电磁性和机械性噪声，断路器等会产生暂态的机械性噪声和电磁性噪声，会对周围声环境产生影响。为了更好的了解本工程改建投运后对周围声环境的影响，以下对本项目进行声环境影响预测和评价。储能电站噪声环境影响分析采用理论计算进行预测评价。</w:t>
            </w:r>
          </w:p>
          <w:p w14:paraId="1D65BB23">
            <w:pPr>
              <w:spacing w:line="360" w:lineRule="auto"/>
              <w:ind w:firstLine="482" w:firstLineChars="200"/>
              <w:rPr>
                <w:b/>
                <w:bCs/>
                <w:sz w:val="24"/>
              </w:rPr>
            </w:pPr>
            <w:r>
              <w:rPr>
                <w:rFonts w:hint="eastAsia"/>
                <w:b/>
                <w:bCs/>
                <w:sz w:val="24"/>
              </w:rPr>
              <w:t>（</w:t>
            </w:r>
            <w:r>
              <w:rPr>
                <w:b/>
                <w:bCs/>
                <w:sz w:val="24"/>
              </w:rPr>
              <w:t>1</w:t>
            </w:r>
            <w:r>
              <w:rPr>
                <w:rFonts w:hint="eastAsia"/>
                <w:b/>
                <w:bCs/>
                <w:sz w:val="24"/>
              </w:rPr>
              <w:t>）储能电站声环境影响预测</w:t>
            </w:r>
          </w:p>
          <w:p w14:paraId="4DD2A6F5">
            <w:pPr>
              <w:spacing w:line="360" w:lineRule="auto"/>
              <w:ind w:firstLine="480" w:firstLineChars="200"/>
              <w:rPr>
                <w:sz w:val="24"/>
              </w:rPr>
            </w:pPr>
            <w:r>
              <w:rPr>
                <w:rFonts w:hint="eastAsia"/>
                <w:sz w:val="24"/>
              </w:rPr>
              <w:t>本次预测采用《环境影响评价技术导则声环境》（</w:t>
            </w:r>
            <w:r>
              <w:rPr>
                <w:sz w:val="24"/>
              </w:rPr>
              <w:t>HJ2.4-2021</w:t>
            </w:r>
            <w:r>
              <w:rPr>
                <w:rFonts w:hint="eastAsia"/>
                <w:sz w:val="24"/>
              </w:rPr>
              <w:t>）中工业噪声预测计算模式中单个室外的面声源在预测点产生的声级计算基本公式进行预测。</w:t>
            </w:r>
          </w:p>
          <w:p w14:paraId="031A6D35">
            <w:pPr>
              <w:spacing w:line="360" w:lineRule="auto"/>
              <w:ind w:firstLine="482" w:firstLineChars="200"/>
              <w:rPr>
                <w:b/>
                <w:sz w:val="24"/>
              </w:rPr>
            </w:pPr>
            <w:r>
              <w:rPr>
                <w:b/>
                <w:bCs/>
                <w:sz w:val="24"/>
              </w:rPr>
              <w:t>1</w:t>
            </w:r>
            <w:r>
              <w:rPr>
                <w:rFonts w:hint="eastAsia"/>
                <w:b/>
                <w:bCs/>
                <w:sz w:val="24"/>
              </w:rPr>
              <w:t>）</w:t>
            </w:r>
            <w:r>
              <w:rPr>
                <w:rFonts w:hint="eastAsia" w:ascii="宋体" w:hAnsi="宋体"/>
                <w:b/>
                <w:sz w:val="24"/>
              </w:rPr>
              <w:t>源强情况</w:t>
            </w:r>
          </w:p>
          <w:p w14:paraId="31B9183B">
            <w:pPr>
              <w:spacing w:line="360" w:lineRule="auto"/>
              <w:ind w:firstLine="480" w:firstLineChars="200"/>
              <w:rPr>
                <w:szCs w:val="21"/>
              </w:rPr>
            </w:pPr>
            <w:r>
              <w:rPr>
                <w:rFonts w:ascii="宋体" w:hAnsi="宋体"/>
                <w:sz w:val="24"/>
              </w:rPr>
              <w:t>本项目噪声源强设备主要包括：主变压器</w:t>
            </w:r>
            <w:r>
              <w:rPr>
                <w:sz w:val="24"/>
              </w:rPr>
              <w:t>1</w:t>
            </w:r>
            <w:r>
              <w:rPr>
                <w:rFonts w:ascii="宋体" w:hAnsi="宋体"/>
                <w:sz w:val="24"/>
              </w:rPr>
              <w:t>台、</w:t>
            </w:r>
            <w:r>
              <w:rPr>
                <w:sz w:val="24"/>
              </w:rPr>
              <w:t>PCS</w:t>
            </w:r>
            <w:r>
              <w:rPr>
                <w:rFonts w:ascii="宋体" w:hAnsi="宋体"/>
                <w:sz w:val="24"/>
              </w:rPr>
              <w:t>室的轴流式离心风机</w:t>
            </w:r>
            <w:r>
              <w:rPr>
                <w:sz w:val="24"/>
              </w:rPr>
              <w:t>40</w:t>
            </w:r>
            <w:r>
              <w:rPr>
                <w:rFonts w:ascii="宋体" w:hAnsi="宋体"/>
                <w:sz w:val="24"/>
              </w:rPr>
              <w:t>台、储能电池舱风机</w:t>
            </w:r>
            <w:r>
              <w:rPr>
                <w:sz w:val="24"/>
              </w:rPr>
              <w:t>80</w:t>
            </w:r>
            <w:r>
              <w:rPr>
                <w:rFonts w:ascii="宋体" w:hAnsi="宋体"/>
                <w:sz w:val="24"/>
              </w:rPr>
              <w:t>台，站内用变压器</w:t>
            </w:r>
            <w:r>
              <w:rPr>
                <w:sz w:val="24"/>
              </w:rPr>
              <w:t>1</w:t>
            </w:r>
            <w:r>
              <w:rPr>
                <w:rFonts w:ascii="宋体" w:hAnsi="宋体"/>
                <w:sz w:val="24"/>
              </w:rPr>
              <w:t>台，均为室外声源。本工程采用距主变压器声功率级声源强约</w:t>
            </w:r>
            <w:r>
              <w:rPr>
                <w:sz w:val="24"/>
              </w:rPr>
              <w:t>70dB</w:t>
            </w:r>
            <w:r>
              <w:rPr>
                <w:rFonts w:ascii="宋体" w:hAnsi="宋体"/>
                <w:sz w:val="24"/>
              </w:rPr>
              <w:t>（</w:t>
            </w:r>
            <w:r>
              <w:rPr>
                <w:sz w:val="24"/>
              </w:rPr>
              <w:t>A</w:t>
            </w:r>
            <w:r>
              <w:rPr>
                <w:rFonts w:ascii="宋体" w:hAnsi="宋体"/>
                <w:sz w:val="24"/>
              </w:rPr>
              <w:t>）、站内用变压器为</w:t>
            </w:r>
            <w:r>
              <w:rPr>
                <w:sz w:val="24"/>
              </w:rPr>
              <w:t>60dB</w:t>
            </w:r>
            <w:r>
              <w:rPr>
                <w:rFonts w:ascii="宋体" w:hAnsi="宋体"/>
                <w:sz w:val="24"/>
              </w:rPr>
              <w:t>（</w:t>
            </w:r>
            <w:r>
              <w:rPr>
                <w:sz w:val="24"/>
              </w:rPr>
              <w:t>A</w:t>
            </w:r>
            <w:r>
              <w:rPr>
                <w:rFonts w:ascii="宋体" w:hAnsi="宋体"/>
                <w:sz w:val="24"/>
              </w:rPr>
              <w:t>），变压器隔声量按</w:t>
            </w:r>
            <w:r>
              <w:rPr>
                <w:sz w:val="24"/>
              </w:rPr>
              <w:t>10dB</w:t>
            </w:r>
            <w:r>
              <w:rPr>
                <w:rFonts w:ascii="宋体" w:hAnsi="宋体"/>
                <w:sz w:val="24"/>
              </w:rPr>
              <w:t>（</w:t>
            </w:r>
            <w:r>
              <w:rPr>
                <w:sz w:val="24"/>
              </w:rPr>
              <w:t>A</w:t>
            </w:r>
            <w:r>
              <w:rPr>
                <w:rFonts w:ascii="宋体" w:hAnsi="宋体"/>
                <w:sz w:val="24"/>
              </w:rPr>
              <w:t>）考虑；</w:t>
            </w:r>
            <w:r>
              <w:rPr>
                <w:sz w:val="24"/>
              </w:rPr>
              <w:t>PCS</w:t>
            </w:r>
            <w:r>
              <w:rPr>
                <w:rFonts w:ascii="宋体" w:hAnsi="宋体"/>
                <w:sz w:val="24"/>
              </w:rPr>
              <w:t>室的轴流式离心风机、储能电池舱风机声功率级源强约为</w:t>
            </w:r>
            <w:r>
              <w:rPr>
                <w:sz w:val="24"/>
              </w:rPr>
              <w:t>75dB</w:t>
            </w:r>
            <w:r>
              <w:rPr>
                <w:rFonts w:ascii="宋体" w:hAnsi="宋体"/>
                <w:sz w:val="24"/>
              </w:rPr>
              <w:t>（</w:t>
            </w:r>
            <w:r>
              <w:rPr>
                <w:sz w:val="24"/>
              </w:rPr>
              <w:t>A</w:t>
            </w:r>
            <w:r>
              <w:rPr>
                <w:rFonts w:ascii="宋体" w:hAnsi="宋体"/>
                <w:sz w:val="24"/>
              </w:rPr>
              <w:t>），各风机均配备了消声罩，降噪量约为</w:t>
            </w:r>
            <w:r>
              <w:rPr>
                <w:sz w:val="24"/>
              </w:rPr>
              <w:t>10dB</w:t>
            </w:r>
            <w:r>
              <w:rPr>
                <w:rFonts w:ascii="宋体" w:hAnsi="宋体"/>
                <w:sz w:val="24"/>
              </w:rPr>
              <w:t>（</w:t>
            </w:r>
            <w:r>
              <w:rPr>
                <w:sz w:val="24"/>
              </w:rPr>
              <w:t>A</w:t>
            </w:r>
            <w:r>
              <w:rPr>
                <w:rFonts w:ascii="宋体" w:hAnsi="宋体"/>
                <w:sz w:val="24"/>
              </w:rPr>
              <w:t>）</w:t>
            </w:r>
            <w:r>
              <w:rPr>
                <w:rFonts w:hint="eastAsia" w:ascii="宋体" w:hAnsi="宋体"/>
                <w:sz w:val="24"/>
              </w:rPr>
              <w:t>；风机机组整体封装于集装箱结构内，除出风口外，其余三侧均为封闭式设计，集装箱通常采样聚氨酯夹芯板，并且每组储能单元之间均设有防火墙，集装箱与防火墙的隔声量为</w:t>
            </w:r>
            <w:r>
              <w:rPr>
                <w:rFonts w:hint="eastAsia"/>
                <w:sz w:val="24"/>
              </w:rPr>
              <w:t>1</w:t>
            </w:r>
            <w:r>
              <w:rPr>
                <w:sz w:val="24"/>
              </w:rPr>
              <w:t>5-20dB</w:t>
            </w:r>
            <w:r>
              <w:rPr>
                <w:rFonts w:ascii="宋体" w:hAnsi="宋体"/>
                <w:sz w:val="24"/>
              </w:rPr>
              <w:t>（</w:t>
            </w:r>
            <w:r>
              <w:rPr>
                <w:sz w:val="24"/>
              </w:rPr>
              <w:t>A</w:t>
            </w:r>
            <w:r>
              <w:rPr>
                <w:rFonts w:ascii="宋体" w:hAnsi="宋体"/>
                <w:sz w:val="24"/>
              </w:rPr>
              <w:t>）</w:t>
            </w:r>
            <w:r>
              <w:rPr>
                <w:rFonts w:hint="eastAsia" w:ascii="宋体" w:hAnsi="宋体"/>
                <w:sz w:val="24"/>
              </w:rPr>
              <w:t>，本项目取</w:t>
            </w:r>
            <w:r>
              <w:rPr>
                <w:rFonts w:hint="eastAsia"/>
                <w:sz w:val="24"/>
              </w:rPr>
              <w:t>1</w:t>
            </w:r>
            <w:r>
              <w:rPr>
                <w:sz w:val="24"/>
              </w:rPr>
              <w:t>5</w:t>
            </w:r>
            <w:r>
              <w:rPr>
                <w:rFonts w:hint="eastAsia" w:ascii="宋体" w:hAnsi="宋体"/>
                <w:sz w:val="24"/>
              </w:rPr>
              <w:t>分贝</w:t>
            </w:r>
            <w:r>
              <w:rPr>
                <w:rFonts w:ascii="宋体" w:hAnsi="宋体"/>
                <w:sz w:val="24"/>
              </w:rPr>
              <w:t>。项目以厂界西南侧作为原点（</w:t>
            </w:r>
            <w:r>
              <w:rPr>
                <w:sz w:val="24"/>
              </w:rPr>
              <w:t>0</w:t>
            </w:r>
            <w:r>
              <w:rPr>
                <w:rFonts w:hint="eastAsia"/>
                <w:sz w:val="24"/>
              </w:rPr>
              <w:t>，</w:t>
            </w:r>
            <w:r>
              <w:rPr>
                <w:sz w:val="24"/>
              </w:rPr>
              <w:t>0</w:t>
            </w:r>
            <w:r>
              <w:rPr>
                <w:rFonts w:ascii="宋体" w:hAnsi="宋体"/>
                <w:sz w:val="24"/>
              </w:rPr>
              <w:t>）厂区工业噪声声源调查清单如下</w:t>
            </w:r>
            <w:r>
              <w:rPr>
                <w:rFonts w:hint="eastAsia" w:ascii="宋体" w:hAnsi="宋体"/>
                <w:sz w:val="24"/>
              </w:rPr>
              <w:t>。</w:t>
            </w:r>
          </w:p>
          <w:p w14:paraId="615E5F4F">
            <w:pPr>
              <w:ind w:firstLine="482" w:firstLineChars="200"/>
              <w:jc w:val="center"/>
              <w:rPr>
                <w:b/>
                <w:kern w:val="0"/>
                <w:sz w:val="24"/>
              </w:rPr>
            </w:pPr>
            <w:r>
              <w:rPr>
                <w:rFonts w:hint="eastAsia"/>
                <w:b/>
                <w:sz w:val="24"/>
              </w:rPr>
              <w:t>表</w:t>
            </w:r>
            <w:r>
              <w:rPr>
                <w:b/>
                <w:sz w:val="24"/>
              </w:rPr>
              <w:t>4-8</w:t>
            </w:r>
            <w:r>
              <w:rPr>
                <w:rFonts w:hint="eastAsia"/>
                <w:b/>
                <w:kern w:val="0"/>
                <w:sz w:val="24"/>
              </w:rPr>
              <w:t>项目设备噪声源强调查清单</w:t>
            </w:r>
          </w:p>
          <w:tbl>
            <w:tblPr>
              <w:tblStyle w:val="15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515"/>
              <w:gridCol w:w="1443"/>
              <w:gridCol w:w="899"/>
              <w:gridCol w:w="749"/>
              <w:gridCol w:w="778"/>
              <w:gridCol w:w="1702"/>
              <w:gridCol w:w="1632"/>
              <w:gridCol w:w="791"/>
            </w:tblGrid>
            <w:tr w14:paraId="0B47E954">
              <w:tblPrEx>
                <w:tblCellMar>
                  <w:top w:w="0" w:type="dxa"/>
                  <w:left w:w="0" w:type="dxa"/>
                  <w:bottom w:w="0" w:type="dxa"/>
                  <w:right w:w="0" w:type="dxa"/>
                </w:tblCellMar>
              </w:tblPrEx>
              <w:trPr>
                <w:jc w:val="center"/>
              </w:trPr>
              <w:tc>
                <w:tcPr>
                  <w:tcW w:w="303" w:type="pct"/>
                  <w:vMerge w:val="restart"/>
                  <w:tcBorders>
                    <w:top w:val="single" w:color="auto" w:sz="12" w:space="0"/>
                    <w:left w:val="nil"/>
                    <w:bottom w:val="single" w:color="auto" w:sz="4" w:space="0"/>
                    <w:right w:val="single" w:color="auto" w:sz="4" w:space="0"/>
                  </w:tcBorders>
                  <w:vAlign w:val="center"/>
                </w:tcPr>
                <w:p w14:paraId="54DE31B1">
                  <w:pPr>
                    <w:pStyle w:val="149"/>
                    <w:rPr>
                      <w:rFonts w:hint="default" w:ascii="Times New Roman" w:hAnsi="Times New Roman" w:eastAsia="宋体" w:cs="Times New Roman"/>
                      <w:b/>
                      <w:i w:val="0"/>
                    </w:rPr>
                  </w:pPr>
                  <w:r>
                    <w:rPr>
                      <w:rFonts w:hint="eastAsia" w:ascii="Times New Roman" w:hAnsi="Times New Roman" w:eastAsia="宋体" w:cs="Times New Roman"/>
                      <w:b/>
                      <w:i w:val="0"/>
                    </w:rPr>
                    <w:t>序号</w:t>
                  </w:r>
                </w:p>
              </w:tc>
              <w:tc>
                <w:tcPr>
                  <w:tcW w:w="848" w:type="pct"/>
                  <w:vMerge w:val="restart"/>
                  <w:tcBorders>
                    <w:top w:val="single" w:color="auto" w:sz="12" w:space="0"/>
                    <w:left w:val="single" w:color="auto" w:sz="4" w:space="0"/>
                    <w:bottom w:val="single" w:color="auto" w:sz="4" w:space="0"/>
                    <w:right w:val="single" w:color="auto" w:sz="4" w:space="0"/>
                  </w:tcBorders>
                  <w:vAlign w:val="center"/>
                </w:tcPr>
                <w:p w14:paraId="699BD71D">
                  <w:pPr>
                    <w:pStyle w:val="149"/>
                    <w:rPr>
                      <w:rFonts w:hint="default" w:ascii="Times New Roman" w:hAnsi="Times New Roman" w:eastAsia="宋体" w:cs="Times New Roman"/>
                      <w:b/>
                      <w:i w:val="0"/>
                    </w:rPr>
                  </w:pPr>
                  <w:r>
                    <w:rPr>
                      <w:rFonts w:hint="eastAsia" w:ascii="Times New Roman" w:hAnsi="Times New Roman" w:eastAsia="宋体" w:cs="Times New Roman"/>
                      <w:b/>
                      <w:i w:val="0"/>
                    </w:rPr>
                    <w:t>声源名称</w:t>
                  </w:r>
                </w:p>
              </w:tc>
              <w:tc>
                <w:tcPr>
                  <w:tcW w:w="1424" w:type="pct"/>
                  <w:gridSpan w:val="3"/>
                  <w:tcBorders>
                    <w:top w:val="single" w:color="auto" w:sz="12" w:space="0"/>
                    <w:left w:val="single" w:color="auto" w:sz="4" w:space="0"/>
                    <w:bottom w:val="single" w:color="auto" w:sz="4" w:space="0"/>
                    <w:right w:val="single" w:color="auto" w:sz="4" w:space="0"/>
                  </w:tcBorders>
                  <w:vAlign w:val="center"/>
                </w:tcPr>
                <w:p w14:paraId="52E18332">
                  <w:pPr>
                    <w:pStyle w:val="149"/>
                    <w:rPr>
                      <w:rFonts w:hint="default" w:ascii="Times New Roman" w:hAnsi="Times New Roman" w:eastAsia="宋体" w:cs="Times New Roman"/>
                      <w:b/>
                      <w:i w:val="0"/>
                    </w:rPr>
                  </w:pPr>
                  <w:r>
                    <w:rPr>
                      <w:rFonts w:hint="eastAsia" w:ascii="Times New Roman" w:hAnsi="Times New Roman" w:eastAsia="宋体" w:cs="Times New Roman"/>
                      <w:b/>
                      <w:i w:val="0"/>
                    </w:rPr>
                    <w:t>空间位置</w:t>
                  </w:r>
                </w:p>
              </w:tc>
              <w:tc>
                <w:tcPr>
                  <w:tcW w:w="1000" w:type="pct"/>
                  <w:tcBorders>
                    <w:top w:val="single" w:color="auto" w:sz="12" w:space="0"/>
                    <w:left w:val="single" w:color="auto" w:sz="4" w:space="0"/>
                    <w:bottom w:val="single" w:color="auto" w:sz="4" w:space="0"/>
                    <w:right w:val="single" w:color="auto" w:sz="4" w:space="0"/>
                  </w:tcBorders>
                  <w:vAlign w:val="center"/>
                </w:tcPr>
                <w:p w14:paraId="2F308003">
                  <w:pPr>
                    <w:pStyle w:val="149"/>
                    <w:rPr>
                      <w:rFonts w:hint="default" w:ascii="Times New Roman" w:hAnsi="Times New Roman" w:eastAsia="宋体" w:cs="Times New Roman"/>
                      <w:b/>
                      <w:i w:val="0"/>
                    </w:rPr>
                  </w:pPr>
                  <w:r>
                    <w:rPr>
                      <w:rFonts w:hint="eastAsia" w:ascii="Times New Roman" w:hAnsi="Times New Roman" w:eastAsia="宋体" w:cs="Times New Roman"/>
                      <w:b/>
                      <w:i w:val="0"/>
                    </w:rPr>
                    <w:t>声源源强(任选一种)</w:t>
                  </w:r>
                </w:p>
              </w:tc>
              <w:tc>
                <w:tcPr>
                  <w:tcW w:w="959" w:type="pct"/>
                  <w:vMerge w:val="restart"/>
                  <w:tcBorders>
                    <w:top w:val="single" w:color="auto" w:sz="12" w:space="0"/>
                    <w:left w:val="single" w:color="auto" w:sz="4" w:space="0"/>
                    <w:right w:val="single" w:color="auto" w:sz="4" w:space="0"/>
                  </w:tcBorders>
                  <w:vAlign w:val="center"/>
                </w:tcPr>
                <w:p w14:paraId="3EA7C00D">
                  <w:pPr>
                    <w:pStyle w:val="149"/>
                    <w:rPr>
                      <w:rFonts w:hint="default" w:ascii="Times New Roman" w:hAnsi="Times New Roman" w:eastAsia="宋体" w:cs="Times New Roman"/>
                      <w:b/>
                      <w:i w:val="0"/>
                    </w:rPr>
                  </w:pPr>
                  <w:r>
                    <w:rPr>
                      <w:rFonts w:hint="eastAsia" w:ascii="Times New Roman" w:hAnsi="Times New Roman" w:eastAsia="宋体" w:cs="Times New Roman"/>
                      <w:b/>
                      <w:i w:val="0"/>
                    </w:rPr>
                    <w:t>声源控制措施</w:t>
                  </w:r>
                </w:p>
              </w:tc>
              <w:tc>
                <w:tcPr>
                  <w:tcW w:w="465" w:type="pct"/>
                  <w:vMerge w:val="restart"/>
                  <w:tcBorders>
                    <w:top w:val="single" w:color="auto" w:sz="12" w:space="0"/>
                    <w:left w:val="single" w:color="auto" w:sz="4" w:space="0"/>
                    <w:right w:val="nil"/>
                  </w:tcBorders>
                  <w:vAlign w:val="center"/>
                </w:tcPr>
                <w:p w14:paraId="6DC34B83">
                  <w:pPr>
                    <w:pStyle w:val="149"/>
                    <w:rPr>
                      <w:rFonts w:hint="default" w:ascii="Times New Roman" w:hAnsi="Times New Roman" w:eastAsia="宋体" w:cs="Times New Roman"/>
                      <w:b/>
                      <w:i w:val="0"/>
                    </w:rPr>
                  </w:pPr>
                  <w:r>
                    <w:rPr>
                      <w:rFonts w:hint="eastAsia" w:ascii="Times New Roman" w:hAnsi="Times New Roman" w:eastAsia="宋体" w:cs="Times New Roman"/>
                      <w:b/>
                      <w:i w:val="0"/>
                    </w:rPr>
                    <w:t>运行时段</w:t>
                  </w:r>
                </w:p>
              </w:tc>
            </w:tr>
            <w:tr w14:paraId="7D7C56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vMerge w:val="continue"/>
                  <w:tcBorders>
                    <w:top w:val="single" w:color="auto" w:sz="12" w:space="0"/>
                    <w:left w:val="nil"/>
                    <w:bottom w:val="single" w:color="auto" w:sz="4" w:space="0"/>
                    <w:right w:val="single" w:color="auto" w:sz="4" w:space="0"/>
                  </w:tcBorders>
                  <w:vAlign w:val="center"/>
                </w:tcPr>
                <w:p w14:paraId="385E5793">
                  <w:pPr>
                    <w:pStyle w:val="149"/>
                    <w:rPr>
                      <w:rFonts w:eastAsia="宋体"/>
                      <w:b/>
                    </w:rPr>
                  </w:pPr>
                </w:p>
              </w:tc>
              <w:tc>
                <w:tcPr>
                  <w:tcW w:w="848" w:type="pct"/>
                  <w:vMerge w:val="continue"/>
                  <w:tcBorders>
                    <w:top w:val="single" w:color="auto" w:sz="12" w:space="0"/>
                    <w:left w:val="single" w:color="auto" w:sz="4" w:space="0"/>
                    <w:bottom w:val="single" w:color="auto" w:sz="4" w:space="0"/>
                    <w:right w:val="single" w:color="auto" w:sz="4" w:space="0"/>
                  </w:tcBorders>
                  <w:vAlign w:val="center"/>
                </w:tcPr>
                <w:p w14:paraId="5647DD18">
                  <w:pPr>
                    <w:pStyle w:val="149"/>
                    <w:rPr>
                      <w:rFonts w:eastAsia="宋体"/>
                      <w:b/>
                    </w:rPr>
                  </w:pPr>
                </w:p>
              </w:tc>
              <w:tc>
                <w:tcPr>
                  <w:tcW w:w="528" w:type="pct"/>
                  <w:tcBorders>
                    <w:top w:val="single" w:color="auto" w:sz="4" w:space="0"/>
                    <w:left w:val="single" w:color="auto" w:sz="4" w:space="0"/>
                    <w:bottom w:val="single" w:color="auto" w:sz="4" w:space="0"/>
                    <w:right w:val="single" w:color="auto" w:sz="4" w:space="0"/>
                  </w:tcBorders>
                  <w:vAlign w:val="center"/>
                </w:tcPr>
                <w:p w14:paraId="44E92DC9">
                  <w:pPr>
                    <w:pStyle w:val="149"/>
                    <w:rPr>
                      <w:rFonts w:eastAsia="Times New Roman"/>
                    </w:rPr>
                  </w:pPr>
                  <w:r>
                    <w:rPr>
                      <w:rFonts w:eastAsia="Times New Roman"/>
                    </w:rPr>
                    <w:t>X</w:t>
                  </w:r>
                </w:p>
              </w:tc>
              <w:tc>
                <w:tcPr>
                  <w:tcW w:w="440" w:type="pct"/>
                  <w:tcBorders>
                    <w:top w:val="single" w:color="auto" w:sz="4" w:space="0"/>
                    <w:left w:val="single" w:color="auto" w:sz="4" w:space="0"/>
                    <w:bottom w:val="single" w:color="auto" w:sz="4" w:space="0"/>
                    <w:right w:val="single" w:color="auto" w:sz="4" w:space="0"/>
                  </w:tcBorders>
                  <w:vAlign w:val="center"/>
                </w:tcPr>
                <w:p w14:paraId="0146FE34">
                  <w:pPr>
                    <w:pStyle w:val="149"/>
                    <w:rPr>
                      <w:rFonts w:eastAsia="Times New Roman"/>
                    </w:rPr>
                  </w:pPr>
                  <w:r>
                    <w:rPr>
                      <w:rFonts w:eastAsia="Times New Roman"/>
                    </w:rPr>
                    <w:t>Y</w:t>
                  </w:r>
                </w:p>
              </w:tc>
              <w:tc>
                <w:tcPr>
                  <w:tcW w:w="457" w:type="pct"/>
                  <w:tcBorders>
                    <w:top w:val="single" w:color="auto" w:sz="4" w:space="0"/>
                    <w:left w:val="single" w:color="auto" w:sz="4" w:space="0"/>
                    <w:bottom w:val="single" w:color="auto" w:sz="4" w:space="0"/>
                    <w:right w:val="single" w:color="auto" w:sz="4" w:space="0"/>
                  </w:tcBorders>
                  <w:vAlign w:val="center"/>
                </w:tcPr>
                <w:p w14:paraId="67FD58E0">
                  <w:pPr>
                    <w:pStyle w:val="149"/>
                    <w:rPr>
                      <w:rFonts w:eastAsia="Times New Roman"/>
                    </w:rPr>
                  </w:pPr>
                  <w:r>
                    <w:rPr>
                      <w:rFonts w:eastAsia="Times New Roman"/>
                    </w:rPr>
                    <w:t>Z</w:t>
                  </w:r>
                </w:p>
              </w:tc>
              <w:tc>
                <w:tcPr>
                  <w:tcW w:w="1000" w:type="pct"/>
                  <w:tcBorders>
                    <w:top w:val="single" w:color="auto" w:sz="4" w:space="0"/>
                    <w:left w:val="single" w:color="auto" w:sz="4" w:space="0"/>
                    <w:bottom w:val="single" w:color="auto" w:sz="4" w:space="0"/>
                    <w:right w:val="single" w:color="auto" w:sz="4" w:space="0"/>
                  </w:tcBorders>
                  <w:vAlign w:val="center"/>
                </w:tcPr>
                <w:p w14:paraId="2559F229">
                  <w:pPr>
                    <w:pStyle w:val="149"/>
                    <w:rPr>
                      <w:rFonts w:eastAsia="宋体"/>
                    </w:rPr>
                  </w:pPr>
                  <w:r>
                    <w:rPr>
                      <w:rFonts w:hint="eastAsia" w:eastAsia="宋体" w:cs="宋体"/>
                      <w:kern w:val="0"/>
                    </w:rPr>
                    <w:t>声功率级</w:t>
                  </w:r>
                  <w:r>
                    <w:rPr>
                      <w:rFonts w:eastAsia="Times New Roman"/>
                      <w:kern w:val="0"/>
                    </w:rPr>
                    <w:t>/dB(A</w:t>
                  </w:r>
                </w:p>
              </w:tc>
              <w:tc>
                <w:tcPr>
                  <w:tcW w:w="959" w:type="pct"/>
                  <w:vMerge w:val="continue"/>
                  <w:tcBorders>
                    <w:left w:val="single" w:color="auto" w:sz="4" w:space="0"/>
                    <w:bottom w:val="single" w:color="auto" w:sz="4" w:space="0"/>
                    <w:right w:val="single" w:color="auto" w:sz="4" w:space="0"/>
                  </w:tcBorders>
                  <w:vAlign w:val="center"/>
                </w:tcPr>
                <w:p w14:paraId="6EB99979">
                  <w:pPr>
                    <w:pStyle w:val="149"/>
                    <w:rPr>
                      <w:rFonts w:eastAsia="宋体"/>
                      <w:b/>
                    </w:rPr>
                  </w:pPr>
                </w:p>
              </w:tc>
              <w:tc>
                <w:tcPr>
                  <w:tcW w:w="465" w:type="pct"/>
                  <w:vMerge w:val="continue"/>
                  <w:tcBorders>
                    <w:left w:val="single" w:color="auto" w:sz="4" w:space="0"/>
                    <w:bottom w:val="single" w:color="auto" w:sz="4" w:space="0"/>
                    <w:right w:val="nil"/>
                  </w:tcBorders>
                  <w:vAlign w:val="center"/>
                </w:tcPr>
                <w:p w14:paraId="600835DA">
                  <w:pPr>
                    <w:pStyle w:val="149"/>
                    <w:rPr>
                      <w:rFonts w:eastAsia="宋体"/>
                      <w:b/>
                    </w:rPr>
                  </w:pPr>
                </w:p>
              </w:tc>
            </w:tr>
            <w:tr w14:paraId="427C5B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C216A7C">
                  <w:pPr>
                    <w:pStyle w:val="149"/>
                    <w:rPr>
                      <w:rFonts w:eastAsia="Times New Roman"/>
                    </w:rPr>
                  </w:pPr>
                  <w:r>
                    <w:rPr>
                      <w:rFonts w:eastAsia="Times New Roman"/>
                    </w:rPr>
                    <w:t>1</w:t>
                  </w:r>
                </w:p>
              </w:tc>
              <w:tc>
                <w:tcPr>
                  <w:tcW w:w="848" w:type="pct"/>
                  <w:tcBorders>
                    <w:top w:val="single" w:color="auto" w:sz="4" w:space="0"/>
                    <w:left w:val="single" w:color="auto" w:sz="4" w:space="0"/>
                    <w:bottom w:val="single" w:color="auto" w:sz="4" w:space="0"/>
                    <w:right w:val="single" w:color="auto" w:sz="4" w:space="0"/>
                  </w:tcBorders>
                  <w:vAlign w:val="center"/>
                </w:tcPr>
                <w:p w14:paraId="4DC55758">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AD0FB20">
                  <w:pPr>
                    <w:pStyle w:val="149"/>
                    <w:rPr>
                      <w:rFonts w:eastAsia="Times New Roman"/>
                    </w:rPr>
                  </w:pPr>
                  <w:r>
                    <w:rPr>
                      <w:rFonts w:hint="eastAsia" w:eastAsia="Times New Roman"/>
                    </w:rPr>
                    <w:t>114.36</w:t>
                  </w:r>
                </w:p>
              </w:tc>
              <w:tc>
                <w:tcPr>
                  <w:tcW w:w="440" w:type="pct"/>
                  <w:tcBorders>
                    <w:top w:val="single" w:color="auto" w:sz="4" w:space="0"/>
                    <w:left w:val="single" w:color="auto" w:sz="4" w:space="0"/>
                    <w:bottom w:val="single" w:color="auto" w:sz="4" w:space="0"/>
                    <w:right w:val="single" w:color="auto" w:sz="4" w:space="0"/>
                  </w:tcBorders>
                  <w:vAlign w:val="center"/>
                </w:tcPr>
                <w:p w14:paraId="5E9E1C22">
                  <w:pPr>
                    <w:pStyle w:val="149"/>
                    <w:rPr>
                      <w:rFonts w:eastAsia="Times New Roman"/>
                    </w:rPr>
                  </w:pPr>
                  <w:r>
                    <w:rPr>
                      <w:rFonts w:hint="eastAsia" w:eastAsia="Times New Roman"/>
                    </w:rPr>
                    <w:t>0.35</w:t>
                  </w:r>
                </w:p>
              </w:tc>
              <w:tc>
                <w:tcPr>
                  <w:tcW w:w="457" w:type="pct"/>
                  <w:tcBorders>
                    <w:top w:val="single" w:color="auto" w:sz="4" w:space="0"/>
                    <w:left w:val="single" w:color="auto" w:sz="4" w:space="0"/>
                    <w:bottom w:val="single" w:color="auto" w:sz="4" w:space="0"/>
                    <w:right w:val="single" w:color="auto" w:sz="4" w:space="0"/>
                  </w:tcBorders>
                  <w:vAlign w:val="center"/>
                </w:tcPr>
                <w:p w14:paraId="1C265D7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center"/>
                </w:tcPr>
                <w:p w14:paraId="614D5F46">
                  <w:pPr>
                    <w:pStyle w:val="149"/>
                    <w:rPr>
                      <w:rFonts w:eastAsia="Times New Roman"/>
                    </w:rPr>
                  </w:pPr>
                  <w:r>
                    <w:rPr>
                      <w:rFonts w:eastAsia="Times New Roman"/>
                    </w:rPr>
                    <w:t>75</w:t>
                  </w:r>
                </w:p>
              </w:tc>
              <w:tc>
                <w:tcPr>
                  <w:tcW w:w="959" w:type="pct"/>
                  <w:vMerge w:val="restart"/>
                  <w:tcBorders>
                    <w:top w:val="single" w:color="auto" w:sz="4" w:space="0"/>
                    <w:left w:val="single" w:color="auto" w:sz="4" w:space="0"/>
                    <w:bottom w:val="single" w:color="auto" w:sz="4" w:space="0"/>
                    <w:right w:val="single" w:color="auto" w:sz="4" w:space="0"/>
                  </w:tcBorders>
                  <w:vAlign w:val="center"/>
                </w:tcPr>
                <w:p w14:paraId="075EEAC4">
                  <w:pPr>
                    <w:pStyle w:val="149"/>
                    <w:rPr>
                      <w:rFonts w:eastAsia="Times New Roman"/>
                    </w:rPr>
                  </w:pPr>
                  <w:r>
                    <w:rPr>
                      <w:rFonts w:hint="eastAsia" w:ascii="宋体" w:hAnsi="宋体" w:eastAsia="宋体" w:cs="宋体"/>
                    </w:rPr>
                    <w:t>消声罩</w:t>
                  </w:r>
                  <w:r>
                    <w:rPr>
                      <w:rFonts w:hint="eastAsia" w:eastAsia="Times New Roman"/>
                    </w:rPr>
                    <w:t>+</w:t>
                  </w:r>
                  <w:r>
                    <w:rPr>
                      <w:rFonts w:hint="eastAsia" w:asciiTheme="minorEastAsia" w:hAnsiTheme="minorEastAsia" w:eastAsiaTheme="minorEastAsia"/>
                    </w:rPr>
                    <w:t>减振</w:t>
                  </w:r>
                  <w:r>
                    <w:rPr>
                      <w:rFonts w:eastAsia="Times New Roman"/>
                    </w:rPr>
                    <w:t>+</w:t>
                  </w:r>
                  <w:r>
                    <w:rPr>
                      <w:rFonts w:hint="eastAsia" w:ascii="宋体" w:hAnsi="宋体" w:eastAsia="宋体" w:cs="宋体"/>
                    </w:rPr>
                    <w:t>集装箱隔声</w:t>
                  </w:r>
                </w:p>
              </w:tc>
              <w:tc>
                <w:tcPr>
                  <w:tcW w:w="465" w:type="pct"/>
                  <w:tcBorders>
                    <w:top w:val="single" w:color="auto" w:sz="4" w:space="0"/>
                    <w:left w:val="single" w:color="auto" w:sz="4" w:space="0"/>
                    <w:bottom w:val="single" w:color="auto" w:sz="4" w:space="0"/>
                    <w:right w:val="nil"/>
                  </w:tcBorders>
                  <w:vAlign w:val="center"/>
                </w:tcPr>
                <w:p w14:paraId="416F9F90">
                  <w:pPr>
                    <w:pStyle w:val="149"/>
                    <w:rPr>
                      <w:rFonts w:eastAsia="Times New Roman"/>
                    </w:rPr>
                  </w:pPr>
                  <w:r>
                    <w:rPr>
                      <w:rFonts w:hint="eastAsia" w:ascii="宋体" w:hAnsi="宋体" w:eastAsia="宋体" w:cs="宋体"/>
                    </w:rPr>
                    <w:t>昼间</w:t>
                  </w:r>
                </w:p>
              </w:tc>
            </w:tr>
            <w:tr w14:paraId="34F353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1071F11">
                  <w:pPr>
                    <w:pStyle w:val="149"/>
                    <w:rPr>
                      <w:rFonts w:eastAsia="Times New Roman"/>
                    </w:rPr>
                  </w:pPr>
                  <w:r>
                    <w:rPr>
                      <w:rFonts w:eastAsia="Times New Roman"/>
                    </w:rPr>
                    <w:t>2</w:t>
                  </w:r>
                </w:p>
              </w:tc>
              <w:tc>
                <w:tcPr>
                  <w:tcW w:w="848" w:type="pct"/>
                  <w:tcBorders>
                    <w:top w:val="single" w:color="auto" w:sz="4" w:space="0"/>
                    <w:left w:val="single" w:color="auto" w:sz="4" w:space="0"/>
                    <w:bottom w:val="single" w:color="auto" w:sz="4" w:space="0"/>
                    <w:right w:val="single" w:color="auto" w:sz="4" w:space="0"/>
                  </w:tcBorders>
                  <w:vAlign w:val="center"/>
                </w:tcPr>
                <w:p w14:paraId="1713ECE3">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5A385DE">
                  <w:pPr>
                    <w:pStyle w:val="149"/>
                    <w:rPr>
                      <w:rFonts w:eastAsia="Times New Roman"/>
                    </w:rPr>
                  </w:pPr>
                  <w:r>
                    <w:rPr>
                      <w:rFonts w:hint="eastAsia" w:eastAsia="Times New Roman"/>
                    </w:rPr>
                    <w:t>114.36</w:t>
                  </w:r>
                </w:p>
              </w:tc>
              <w:tc>
                <w:tcPr>
                  <w:tcW w:w="440" w:type="pct"/>
                  <w:tcBorders>
                    <w:top w:val="single" w:color="auto" w:sz="4" w:space="0"/>
                    <w:left w:val="single" w:color="auto" w:sz="4" w:space="0"/>
                    <w:bottom w:val="single" w:color="auto" w:sz="4" w:space="0"/>
                    <w:right w:val="single" w:color="auto" w:sz="4" w:space="0"/>
                  </w:tcBorders>
                  <w:vAlign w:val="center"/>
                </w:tcPr>
                <w:p w14:paraId="59ACB4AB">
                  <w:pPr>
                    <w:pStyle w:val="149"/>
                    <w:rPr>
                      <w:rFonts w:eastAsia="Times New Roman"/>
                    </w:rPr>
                  </w:pPr>
                  <w:r>
                    <w:rPr>
                      <w:rFonts w:hint="eastAsia" w:eastAsia="Times New Roman"/>
                    </w:rPr>
                    <w:t>0.35</w:t>
                  </w:r>
                </w:p>
              </w:tc>
              <w:tc>
                <w:tcPr>
                  <w:tcW w:w="457" w:type="pct"/>
                  <w:tcBorders>
                    <w:top w:val="single" w:color="auto" w:sz="4" w:space="0"/>
                    <w:left w:val="single" w:color="auto" w:sz="4" w:space="0"/>
                    <w:bottom w:val="single" w:color="auto" w:sz="4" w:space="0"/>
                    <w:right w:val="single" w:color="auto" w:sz="4" w:space="0"/>
                  </w:tcBorders>
                  <w:vAlign w:val="center"/>
                </w:tcPr>
                <w:p w14:paraId="377030F3">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F270148">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3F5F8B3">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48B0A51">
                  <w:pPr>
                    <w:pStyle w:val="149"/>
                    <w:rPr>
                      <w:rFonts w:eastAsia="Times New Roman"/>
                    </w:rPr>
                  </w:pPr>
                  <w:r>
                    <w:rPr>
                      <w:rFonts w:hint="eastAsia" w:ascii="宋体" w:hAnsi="宋体" w:eastAsia="宋体" w:cs="宋体"/>
                    </w:rPr>
                    <w:t>夜间</w:t>
                  </w:r>
                </w:p>
              </w:tc>
            </w:tr>
            <w:tr w14:paraId="28ADF0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D3FF912">
                  <w:pPr>
                    <w:pStyle w:val="149"/>
                    <w:rPr>
                      <w:rFonts w:eastAsia="Times New Roman"/>
                    </w:rPr>
                  </w:pPr>
                  <w:r>
                    <w:rPr>
                      <w:rFonts w:eastAsia="Times New Roman"/>
                    </w:rPr>
                    <w:t>3</w:t>
                  </w:r>
                </w:p>
              </w:tc>
              <w:tc>
                <w:tcPr>
                  <w:tcW w:w="848" w:type="pct"/>
                  <w:tcBorders>
                    <w:top w:val="single" w:color="auto" w:sz="4" w:space="0"/>
                    <w:left w:val="single" w:color="auto" w:sz="4" w:space="0"/>
                    <w:bottom w:val="single" w:color="auto" w:sz="4" w:space="0"/>
                    <w:right w:val="single" w:color="auto" w:sz="4" w:space="0"/>
                  </w:tcBorders>
                  <w:vAlign w:val="center"/>
                </w:tcPr>
                <w:p w14:paraId="5FF659FF">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1429DD3">
                  <w:pPr>
                    <w:pStyle w:val="149"/>
                    <w:rPr>
                      <w:rFonts w:eastAsia="Times New Roman"/>
                    </w:rPr>
                  </w:pPr>
                  <w:r>
                    <w:rPr>
                      <w:rFonts w:hint="eastAsia" w:eastAsia="Times New Roman"/>
                    </w:rPr>
                    <w:t>66.42</w:t>
                  </w:r>
                </w:p>
              </w:tc>
              <w:tc>
                <w:tcPr>
                  <w:tcW w:w="440" w:type="pct"/>
                  <w:tcBorders>
                    <w:top w:val="single" w:color="auto" w:sz="4" w:space="0"/>
                    <w:left w:val="single" w:color="auto" w:sz="4" w:space="0"/>
                    <w:bottom w:val="single" w:color="auto" w:sz="4" w:space="0"/>
                    <w:right w:val="single" w:color="auto" w:sz="4" w:space="0"/>
                  </w:tcBorders>
                  <w:vAlign w:val="center"/>
                </w:tcPr>
                <w:p w14:paraId="6E4215CC">
                  <w:pPr>
                    <w:pStyle w:val="149"/>
                    <w:rPr>
                      <w:rFonts w:eastAsia="Times New Roman"/>
                    </w:rPr>
                  </w:pPr>
                  <w:r>
                    <w:rPr>
                      <w:rFonts w:hint="eastAsia" w:eastAsia="Times New Roman"/>
                    </w:rPr>
                    <w:t>5.92</w:t>
                  </w:r>
                </w:p>
              </w:tc>
              <w:tc>
                <w:tcPr>
                  <w:tcW w:w="457" w:type="pct"/>
                  <w:tcBorders>
                    <w:top w:val="single" w:color="auto" w:sz="4" w:space="0"/>
                    <w:left w:val="single" w:color="auto" w:sz="4" w:space="0"/>
                    <w:bottom w:val="single" w:color="auto" w:sz="4" w:space="0"/>
                    <w:right w:val="single" w:color="auto" w:sz="4" w:space="0"/>
                  </w:tcBorders>
                  <w:vAlign w:val="center"/>
                </w:tcPr>
                <w:p w14:paraId="5A88D5D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29495A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13F382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882765E">
                  <w:pPr>
                    <w:pStyle w:val="149"/>
                    <w:rPr>
                      <w:rFonts w:eastAsia="Times New Roman"/>
                    </w:rPr>
                  </w:pPr>
                  <w:r>
                    <w:rPr>
                      <w:rFonts w:hint="eastAsia" w:ascii="宋体" w:hAnsi="宋体" w:eastAsia="宋体" w:cs="宋体"/>
                    </w:rPr>
                    <w:t>昼间</w:t>
                  </w:r>
                </w:p>
              </w:tc>
            </w:tr>
            <w:tr w14:paraId="2BBB34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9F90EBE">
                  <w:pPr>
                    <w:pStyle w:val="149"/>
                    <w:rPr>
                      <w:rFonts w:eastAsia="Times New Roman"/>
                    </w:rPr>
                  </w:pPr>
                  <w:r>
                    <w:rPr>
                      <w:rFonts w:eastAsia="Times New Roman"/>
                    </w:rPr>
                    <w:t>4</w:t>
                  </w:r>
                </w:p>
              </w:tc>
              <w:tc>
                <w:tcPr>
                  <w:tcW w:w="848" w:type="pct"/>
                  <w:tcBorders>
                    <w:top w:val="single" w:color="auto" w:sz="4" w:space="0"/>
                    <w:left w:val="single" w:color="auto" w:sz="4" w:space="0"/>
                    <w:bottom w:val="single" w:color="auto" w:sz="4" w:space="0"/>
                    <w:right w:val="single" w:color="auto" w:sz="4" w:space="0"/>
                  </w:tcBorders>
                  <w:vAlign w:val="center"/>
                </w:tcPr>
                <w:p w14:paraId="0A93B33B">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72F5F20">
                  <w:pPr>
                    <w:pStyle w:val="149"/>
                    <w:rPr>
                      <w:rFonts w:eastAsia="Times New Roman"/>
                    </w:rPr>
                  </w:pPr>
                  <w:r>
                    <w:rPr>
                      <w:rFonts w:hint="eastAsia" w:eastAsia="Times New Roman"/>
                    </w:rPr>
                    <w:t>66.42</w:t>
                  </w:r>
                </w:p>
              </w:tc>
              <w:tc>
                <w:tcPr>
                  <w:tcW w:w="440" w:type="pct"/>
                  <w:tcBorders>
                    <w:top w:val="single" w:color="auto" w:sz="4" w:space="0"/>
                    <w:left w:val="single" w:color="auto" w:sz="4" w:space="0"/>
                    <w:bottom w:val="single" w:color="auto" w:sz="4" w:space="0"/>
                    <w:right w:val="single" w:color="auto" w:sz="4" w:space="0"/>
                  </w:tcBorders>
                  <w:vAlign w:val="center"/>
                </w:tcPr>
                <w:p w14:paraId="2E88F2C1">
                  <w:pPr>
                    <w:pStyle w:val="149"/>
                    <w:rPr>
                      <w:rFonts w:eastAsia="Times New Roman"/>
                    </w:rPr>
                  </w:pPr>
                  <w:r>
                    <w:rPr>
                      <w:rFonts w:hint="eastAsia" w:eastAsia="Times New Roman"/>
                    </w:rPr>
                    <w:t>5.92</w:t>
                  </w:r>
                </w:p>
              </w:tc>
              <w:tc>
                <w:tcPr>
                  <w:tcW w:w="457" w:type="pct"/>
                  <w:tcBorders>
                    <w:top w:val="single" w:color="auto" w:sz="4" w:space="0"/>
                    <w:left w:val="single" w:color="auto" w:sz="4" w:space="0"/>
                    <w:bottom w:val="single" w:color="auto" w:sz="4" w:space="0"/>
                    <w:right w:val="single" w:color="auto" w:sz="4" w:space="0"/>
                  </w:tcBorders>
                  <w:vAlign w:val="center"/>
                </w:tcPr>
                <w:p w14:paraId="5017751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39BA59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D62873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D6A31A2">
                  <w:pPr>
                    <w:pStyle w:val="149"/>
                    <w:rPr>
                      <w:rFonts w:eastAsia="Times New Roman"/>
                    </w:rPr>
                  </w:pPr>
                  <w:r>
                    <w:rPr>
                      <w:rFonts w:hint="eastAsia" w:ascii="宋体" w:hAnsi="宋体" w:eastAsia="宋体" w:cs="宋体"/>
                    </w:rPr>
                    <w:t>夜间</w:t>
                  </w:r>
                </w:p>
              </w:tc>
            </w:tr>
            <w:tr w14:paraId="5A4B33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36AA3E4">
                  <w:pPr>
                    <w:pStyle w:val="149"/>
                    <w:rPr>
                      <w:rFonts w:eastAsia="Times New Roman"/>
                    </w:rPr>
                  </w:pPr>
                  <w:r>
                    <w:rPr>
                      <w:rFonts w:eastAsia="Times New Roman"/>
                    </w:rPr>
                    <w:t>5</w:t>
                  </w:r>
                </w:p>
              </w:tc>
              <w:tc>
                <w:tcPr>
                  <w:tcW w:w="848" w:type="pct"/>
                  <w:tcBorders>
                    <w:top w:val="single" w:color="auto" w:sz="4" w:space="0"/>
                    <w:left w:val="single" w:color="auto" w:sz="4" w:space="0"/>
                    <w:bottom w:val="single" w:color="auto" w:sz="4" w:space="0"/>
                    <w:right w:val="single" w:color="auto" w:sz="4" w:space="0"/>
                  </w:tcBorders>
                  <w:vAlign w:val="center"/>
                </w:tcPr>
                <w:p w14:paraId="19BD741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2FC3673">
                  <w:pPr>
                    <w:pStyle w:val="149"/>
                    <w:rPr>
                      <w:rFonts w:eastAsia="Times New Roman"/>
                    </w:rPr>
                  </w:pPr>
                  <w:r>
                    <w:rPr>
                      <w:rFonts w:hint="eastAsia" w:eastAsia="Times New Roman"/>
                    </w:rPr>
                    <w:t>76.44</w:t>
                  </w:r>
                </w:p>
              </w:tc>
              <w:tc>
                <w:tcPr>
                  <w:tcW w:w="440" w:type="pct"/>
                  <w:tcBorders>
                    <w:top w:val="single" w:color="auto" w:sz="4" w:space="0"/>
                    <w:left w:val="single" w:color="auto" w:sz="4" w:space="0"/>
                    <w:bottom w:val="single" w:color="auto" w:sz="4" w:space="0"/>
                    <w:right w:val="single" w:color="auto" w:sz="4" w:space="0"/>
                  </w:tcBorders>
                  <w:vAlign w:val="center"/>
                </w:tcPr>
                <w:p w14:paraId="3E33D4AC">
                  <w:pPr>
                    <w:pStyle w:val="149"/>
                    <w:rPr>
                      <w:rFonts w:eastAsia="Times New Roman"/>
                    </w:rPr>
                  </w:pPr>
                  <w:r>
                    <w:rPr>
                      <w:rFonts w:hint="eastAsia" w:eastAsia="Times New Roman"/>
                    </w:rPr>
                    <w:t>5.09</w:t>
                  </w:r>
                </w:p>
              </w:tc>
              <w:tc>
                <w:tcPr>
                  <w:tcW w:w="457" w:type="pct"/>
                  <w:tcBorders>
                    <w:top w:val="single" w:color="auto" w:sz="4" w:space="0"/>
                    <w:left w:val="single" w:color="auto" w:sz="4" w:space="0"/>
                    <w:bottom w:val="single" w:color="auto" w:sz="4" w:space="0"/>
                    <w:right w:val="single" w:color="auto" w:sz="4" w:space="0"/>
                  </w:tcBorders>
                  <w:vAlign w:val="center"/>
                </w:tcPr>
                <w:p w14:paraId="082BA5B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B3BE88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F770DA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E80FBF0">
                  <w:pPr>
                    <w:pStyle w:val="149"/>
                    <w:rPr>
                      <w:rFonts w:eastAsia="Times New Roman"/>
                    </w:rPr>
                  </w:pPr>
                  <w:r>
                    <w:rPr>
                      <w:rFonts w:hint="eastAsia" w:ascii="宋体" w:hAnsi="宋体" w:eastAsia="宋体" w:cs="宋体"/>
                    </w:rPr>
                    <w:t>昼间</w:t>
                  </w:r>
                </w:p>
              </w:tc>
            </w:tr>
            <w:tr w14:paraId="0E36F3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0BD6542">
                  <w:pPr>
                    <w:pStyle w:val="149"/>
                    <w:rPr>
                      <w:rFonts w:eastAsia="Times New Roman"/>
                    </w:rPr>
                  </w:pPr>
                  <w:r>
                    <w:rPr>
                      <w:rFonts w:eastAsia="Times New Roman"/>
                    </w:rPr>
                    <w:t>6</w:t>
                  </w:r>
                </w:p>
              </w:tc>
              <w:tc>
                <w:tcPr>
                  <w:tcW w:w="848" w:type="pct"/>
                  <w:tcBorders>
                    <w:top w:val="single" w:color="auto" w:sz="4" w:space="0"/>
                    <w:left w:val="single" w:color="auto" w:sz="4" w:space="0"/>
                    <w:bottom w:val="single" w:color="auto" w:sz="4" w:space="0"/>
                    <w:right w:val="single" w:color="auto" w:sz="4" w:space="0"/>
                  </w:tcBorders>
                  <w:vAlign w:val="center"/>
                </w:tcPr>
                <w:p w14:paraId="56A255D5">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537ABCA">
                  <w:pPr>
                    <w:pStyle w:val="149"/>
                    <w:rPr>
                      <w:rFonts w:eastAsia="Times New Roman"/>
                    </w:rPr>
                  </w:pPr>
                  <w:r>
                    <w:rPr>
                      <w:rFonts w:hint="eastAsia" w:eastAsia="Times New Roman"/>
                    </w:rPr>
                    <w:t>76.44</w:t>
                  </w:r>
                </w:p>
              </w:tc>
              <w:tc>
                <w:tcPr>
                  <w:tcW w:w="440" w:type="pct"/>
                  <w:tcBorders>
                    <w:top w:val="single" w:color="auto" w:sz="4" w:space="0"/>
                    <w:left w:val="single" w:color="auto" w:sz="4" w:space="0"/>
                    <w:bottom w:val="single" w:color="auto" w:sz="4" w:space="0"/>
                    <w:right w:val="single" w:color="auto" w:sz="4" w:space="0"/>
                  </w:tcBorders>
                  <w:vAlign w:val="center"/>
                </w:tcPr>
                <w:p w14:paraId="1D3CA419">
                  <w:pPr>
                    <w:pStyle w:val="149"/>
                    <w:rPr>
                      <w:rFonts w:eastAsia="Times New Roman"/>
                    </w:rPr>
                  </w:pPr>
                  <w:r>
                    <w:rPr>
                      <w:rFonts w:hint="eastAsia" w:eastAsia="Times New Roman"/>
                    </w:rPr>
                    <w:t>5.09</w:t>
                  </w:r>
                </w:p>
              </w:tc>
              <w:tc>
                <w:tcPr>
                  <w:tcW w:w="457" w:type="pct"/>
                  <w:tcBorders>
                    <w:top w:val="single" w:color="auto" w:sz="4" w:space="0"/>
                    <w:left w:val="single" w:color="auto" w:sz="4" w:space="0"/>
                    <w:bottom w:val="single" w:color="auto" w:sz="4" w:space="0"/>
                    <w:right w:val="single" w:color="auto" w:sz="4" w:space="0"/>
                  </w:tcBorders>
                  <w:vAlign w:val="center"/>
                </w:tcPr>
                <w:p w14:paraId="76527EA9">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3FF606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AE2CED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A9794CF">
                  <w:pPr>
                    <w:pStyle w:val="149"/>
                    <w:rPr>
                      <w:rFonts w:eastAsia="Times New Roman"/>
                    </w:rPr>
                  </w:pPr>
                  <w:r>
                    <w:rPr>
                      <w:rFonts w:hint="eastAsia" w:ascii="宋体" w:hAnsi="宋体" w:eastAsia="宋体" w:cs="宋体"/>
                    </w:rPr>
                    <w:t>夜间</w:t>
                  </w:r>
                </w:p>
              </w:tc>
            </w:tr>
            <w:tr w14:paraId="46C459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C24C924">
                  <w:pPr>
                    <w:pStyle w:val="149"/>
                    <w:rPr>
                      <w:rFonts w:eastAsia="Times New Roman"/>
                    </w:rPr>
                  </w:pPr>
                  <w:r>
                    <w:rPr>
                      <w:rFonts w:eastAsia="Times New Roman"/>
                    </w:rPr>
                    <w:t>7</w:t>
                  </w:r>
                </w:p>
              </w:tc>
              <w:tc>
                <w:tcPr>
                  <w:tcW w:w="848" w:type="pct"/>
                  <w:tcBorders>
                    <w:top w:val="single" w:color="auto" w:sz="4" w:space="0"/>
                    <w:left w:val="single" w:color="auto" w:sz="4" w:space="0"/>
                    <w:bottom w:val="single" w:color="auto" w:sz="4" w:space="0"/>
                    <w:right w:val="single" w:color="auto" w:sz="4" w:space="0"/>
                  </w:tcBorders>
                  <w:vAlign w:val="center"/>
                </w:tcPr>
                <w:p w14:paraId="2AB68F5F">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32E32F2">
                  <w:pPr>
                    <w:pStyle w:val="149"/>
                    <w:rPr>
                      <w:rFonts w:eastAsia="Times New Roman"/>
                    </w:rPr>
                  </w:pPr>
                  <w:r>
                    <w:rPr>
                      <w:rFonts w:hint="eastAsia" w:eastAsia="Times New Roman"/>
                    </w:rPr>
                    <w:t>96.1</w:t>
                  </w:r>
                </w:p>
              </w:tc>
              <w:tc>
                <w:tcPr>
                  <w:tcW w:w="440" w:type="pct"/>
                  <w:tcBorders>
                    <w:top w:val="single" w:color="auto" w:sz="4" w:space="0"/>
                    <w:left w:val="single" w:color="auto" w:sz="4" w:space="0"/>
                    <w:bottom w:val="single" w:color="auto" w:sz="4" w:space="0"/>
                    <w:right w:val="single" w:color="auto" w:sz="4" w:space="0"/>
                  </w:tcBorders>
                  <w:vAlign w:val="center"/>
                </w:tcPr>
                <w:p w14:paraId="460931CA">
                  <w:pPr>
                    <w:pStyle w:val="149"/>
                    <w:rPr>
                      <w:rFonts w:eastAsia="Times New Roman"/>
                    </w:rPr>
                  </w:pPr>
                  <w:r>
                    <w:rPr>
                      <w:rFonts w:hint="eastAsia" w:eastAsia="Times New Roman"/>
                    </w:rPr>
                    <w:t>2.48</w:t>
                  </w:r>
                </w:p>
              </w:tc>
              <w:tc>
                <w:tcPr>
                  <w:tcW w:w="457" w:type="pct"/>
                  <w:tcBorders>
                    <w:top w:val="single" w:color="auto" w:sz="4" w:space="0"/>
                    <w:left w:val="single" w:color="auto" w:sz="4" w:space="0"/>
                    <w:bottom w:val="single" w:color="auto" w:sz="4" w:space="0"/>
                    <w:right w:val="single" w:color="auto" w:sz="4" w:space="0"/>
                  </w:tcBorders>
                  <w:vAlign w:val="center"/>
                </w:tcPr>
                <w:p w14:paraId="746D3D3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8E1EF0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9E8EB8A">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1CB4460">
                  <w:pPr>
                    <w:pStyle w:val="149"/>
                    <w:rPr>
                      <w:rFonts w:eastAsia="Times New Roman"/>
                    </w:rPr>
                  </w:pPr>
                  <w:r>
                    <w:rPr>
                      <w:rFonts w:hint="eastAsia" w:ascii="宋体" w:hAnsi="宋体" w:eastAsia="宋体" w:cs="宋体"/>
                    </w:rPr>
                    <w:t>昼间</w:t>
                  </w:r>
                </w:p>
              </w:tc>
            </w:tr>
            <w:tr w14:paraId="4ECAC3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ACD1811">
                  <w:pPr>
                    <w:pStyle w:val="149"/>
                    <w:rPr>
                      <w:rFonts w:eastAsia="Times New Roman"/>
                    </w:rPr>
                  </w:pPr>
                  <w:r>
                    <w:rPr>
                      <w:rFonts w:eastAsia="Times New Roman"/>
                    </w:rPr>
                    <w:t>8</w:t>
                  </w:r>
                </w:p>
              </w:tc>
              <w:tc>
                <w:tcPr>
                  <w:tcW w:w="848" w:type="pct"/>
                  <w:tcBorders>
                    <w:top w:val="single" w:color="auto" w:sz="4" w:space="0"/>
                    <w:left w:val="single" w:color="auto" w:sz="4" w:space="0"/>
                    <w:bottom w:val="single" w:color="auto" w:sz="4" w:space="0"/>
                    <w:right w:val="single" w:color="auto" w:sz="4" w:space="0"/>
                  </w:tcBorders>
                  <w:vAlign w:val="center"/>
                </w:tcPr>
                <w:p w14:paraId="7AA4633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B01CE3F">
                  <w:pPr>
                    <w:pStyle w:val="149"/>
                    <w:rPr>
                      <w:rFonts w:eastAsia="Times New Roman"/>
                    </w:rPr>
                  </w:pPr>
                  <w:r>
                    <w:rPr>
                      <w:rFonts w:hint="eastAsia" w:eastAsia="Times New Roman"/>
                    </w:rPr>
                    <w:t>96.1</w:t>
                  </w:r>
                </w:p>
              </w:tc>
              <w:tc>
                <w:tcPr>
                  <w:tcW w:w="440" w:type="pct"/>
                  <w:tcBorders>
                    <w:top w:val="single" w:color="auto" w:sz="4" w:space="0"/>
                    <w:left w:val="single" w:color="auto" w:sz="4" w:space="0"/>
                    <w:bottom w:val="single" w:color="auto" w:sz="4" w:space="0"/>
                    <w:right w:val="single" w:color="auto" w:sz="4" w:space="0"/>
                  </w:tcBorders>
                  <w:vAlign w:val="center"/>
                </w:tcPr>
                <w:p w14:paraId="76BFC207">
                  <w:pPr>
                    <w:pStyle w:val="149"/>
                    <w:rPr>
                      <w:rFonts w:eastAsia="Times New Roman"/>
                    </w:rPr>
                  </w:pPr>
                  <w:r>
                    <w:rPr>
                      <w:rFonts w:hint="eastAsia" w:eastAsia="Times New Roman"/>
                    </w:rPr>
                    <w:t>2.48</w:t>
                  </w:r>
                </w:p>
              </w:tc>
              <w:tc>
                <w:tcPr>
                  <w:tcW w:w="457" w:type="pct"/>
                  <w:tcBorders>
                    <w:top w:val="single" w:color="auto" w:sz="4" w:space="0"/>
                    <w:left w:val="single" w:color="auto" w:sz="4" w:space="0"/>
                    <w:bottom w:val="single" w:color="auto" w:sz="4" w:space="0"/>
                    <w:right w:val="single" w:color="auto" w:sz="4" w:space="0"/>
                  </w:tcBorders>
                  <w:vAlign w:val="center"/>
                </w:tcPr>
                <w:p w14:paraId="68A47EA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5251B2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F3EF9A8">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BBDC1B6">
                  <w:pPr>
                    <w:pStyle w:val="149"/>
                    <w:rPr>
                      <w:rFonts w:eastAsia="Times New Roman"/>
                    </w:rPr>
                  </w:pPr>
                  <w:r>
                    <w:rPr>
                      <w:rFonts w:hint="eastAsia" w:ascii="宋体" w:hAnsi="宋体" w:eastAsia="宋体" w:cs="宋体"/>
                    </w:rPr>
                    <w:t>夜间</w:t>
                  </w:r>
                </w:p>
              </w:tc>
            </w:tr>
            <w:tr w14:paraId="1C4122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5B42785">
                  <w:pPr>
                    <w:pStyle w:val="149"/>
                    <w:rPr>
                      <w:rFonts w:eastAsia="Times New Roman"/>
                    </w:rPr>
                  </w:pPr>
                  <w:r>
                    <w:rPr>
                      <w:rFonts w:eastAsia="Times New Roman"/>
                    </w:rPr>
                    <w:t>9</w:t>
                  </w:r>
                </w:p>
              </w:tc>
              <w:tc>
                <w:tcPr>
                  <w:tcW w:w="848" w:type="pct"/>
                  <w:tcBorders>
                    <w:top w:val="single" w:color="auto" w:sz="4" w:space="0"/>
                    <w:left w:val="single" w:color="auto" w:sz="4" w:space="0"/>
                    <w:bottom w:val="single" w:color="auto" w:sz="4" w:space="0"/>
                    <w:right w:val="single" w:color="auto" w:sz="4" w:space="0"/>
                  </w:tcBorders>
                  <w:vAlign w:val="center"/>
                </w:tcPr>
                <w:p w14:paraId="6786D2A0">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14BD797">
                  <w:pPr>
                    <w:pStyle w:val="149"/>
                    <w:rPr>
                      <w:rFonts w:eastAsia="Times New Roman"/>
                    </w:rPr>
                  </w:pPr>
                  <w:r>
                    <w:rPr>
                      <w:rFonts w:hint="eastAsia" w:eastAsia="Times New Roman"/>
                    </w:rPr>
                    <w:t>56.67</w:t>
                  </w:r>
                </w:p>
              </w:tc>
              <w:tc>
                <w:tcPr>
                  <w:tcW w:w="440" w:type="pct"/>
                  <w:tcBorders>
                    <w:top w:val="single" w:color="auto" w:sz="4" w:space="0"/>
                    <w:left w:val="single" w:color="auto" w:sz="4" w:space="0"/>
                    <w:bottom w:val="single" w:color="auto" w:sz="4" w:space="0"/>
                    <w:right w:val="single" w:color="auto" w:sz="4" w:space="0"/>
                  </w:tcBorders>
                  <w:vAlign w:val="center"/>
                </w:tcPr>
                <w:p w14:paraId="1805E59A">
                  <w:pPr>
                    <w:pStyle w:val="149"/>
                    <w:rPr>
                      <w:rFonts w:eastAsia="Times New Roman"/>
                    </w:rPr>
                  </w:pPr>
                  <w:r>
                    <w:rPr>
                      <w:rFonts w:hint="eastAsia" w:eastAsia="Times New Roman"/>
                    </w:rPr>
                    <w:t>6.47</w:t>
                  </w:r>
                </w:p>
              </w:tc>
              <w:tc>
                <w:tcPr>
                  <w:tcW w:w="457" w:type="pct"/>
                  <w:tcBorders>
                    <w:top w:val="single" w:color="auto" w:sz="4" w:space="0"/>
                    <w:left w:val="single" w:color="auto" w:sz="4" w:space="0"/>
                    <w:bottom w:val="single" w:color="auto" w:sz="4" w:space="0"/>
                    <w:right w:val="single" w:color="auto" w:sz="4" w:space="0"/>
                  </w:tcBorders>
                  <w:vAlign w:val="center"/>
                </w:tcPr>
                <w:p w14:paraId="44006BB3">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8B9638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2514C88">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A1A2619">
                  <w:pPr>
                    <w:pStyle w:val="149"/>
                    <w:rPr>
                      <w:rFonts w:eastAsia="Times New Roman"/>
                    </w:rPr>
                  </w:pPr>
                  <w:r>
                    <w:rPr>
                      <w:rFonts w:hint="eastAsia" w:ascii="宋体" w:hAnsi="宋体" w:eastAsia="宋体" w:cs="宋体"/>
                    </w:rPr>
                    <w:t>昼间</w:t>
                  </w:r>
                </w:p>
              </w:tc>
            </w:tr>
            <w:tr w14:paraId="4CF021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82F18AF">
                  <w:pPr>
                    <w:pStyle w:val="149"/>
                    <w:rPr>
                      <w:rFonts w:eastAsia="Times New Roman"/>
                    </w:rPr>
                  </w:pPr>
                  <w:r>
                    <w:rPr>
                      <w:rFonts w:eastAsia="Times New Roman"/>
                    </w:rPr>
                    <w:t>10</w:t>
                  </w:r>
                </w:p>
              </w:tc>
              <w:tc>
                <w:tcPr>
                  <w:tcW w:w="848" w:type="pct"/>
                  <w:tcBorders>
                    <w:top w:val="single" w:color="auto" w:sz="4" w:space="0"/>
                    <w:left w:val="single" w:color="auto" w:sz="4" w:space="0"/>
                    <w:bottom w:val="single" w:color="auto" w:sz="4" w:space="0"/>
                    <w:right w:val="single" w:color="auto" w:sz="4" w:space="0"/>
                  </w:tcBorders>
                  <w:vAlign w:val="center"/>
                </w:tcPr>
                <w:p w14:paraId="6FECE92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119FB59">
                  <w:pPr>
                    <w:pStyle w:val="149"/>
                    <w:rPr>
                      <w:rFonts w:eastAsia="Times New Roman"/>
                    </w:rPr>
                  </w:pPr>
                  <w:r>
                    <w:rPr>
                      <w:rFonts w:hint="eastAsia" w:eastAsia="Times New Roman"/>
                    </w:rPr>
                    <w:t>56.67</w:t>
                  </w:r>
                </w:p>
              </w:tc>
              <w:tc>
                <w:tcPr>
                  <w:tcW w:w="440" w:type="pct"/>
                  <w:tcBorders>
                    <w:top w:val="single" w:color="auto" w:sz="4" w:space="0"/>
                    <w:left w:val="single" w:color="auto" w:sz="4" w:space="0"/>
                    <w:bottom w:val="single" w:color="auto" w:sz="4" w:space="0"/>
                    <w:right w:val="single" w:color="auto" w:sz="4" w:space="0"/>
                  </w:tcBorders>
                  <w:vAlign w:val="center"/>
                </w:tcPr>
                <w:p w14:paraId="7EE50D1C">
                  <w:pPr>
                    <w:pStyle w:val="149"/>
                    <w:rPr>
                      <w:rFonts w:eastAsia="Times New Roman"/>
                    </w:rPr>
                  </w:pPr>
                  <w:r>
                    <w:rPr>
                      <w:rFonts w:hint="eastAsia" w:eastAsia="Times New Roman"/>
                    </w:rPr>
                    <w:t>6.47</w:t>
                  </w:r>
                </w:p>
              </w:tc>
              <w:tc>
                <w:tcPr>
                  <w:tcW w:w="457" w:type="pct"/>
                  <w:tcBorders>
                    <w:top w:val="single" w:color="auto" w:sz="4" w:space="0"/>
                    <w:left w:val="single" w:color="auto" w:sz="4" w:space="0"/>
                    <w:bottom w:val="single" w:color="auto" w:sz="4" w:space="0"/>
                    <w:right w:val="single" w:color="auto" w:sz="4" w:space="0"/>
                  </w:tcBorders>
                  <w:vAlign w:val="center"/>
                </w:tcPr>
                <w:p w14:paraId="0541921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90B6D2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034937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3134A2F">
                  <w:pPr>
                    <w:pStyle w:val="149"/>
                    <w:rPr>
                      <w:rFonts w:eastAsia="Times New Roman"/>
                    </w:rPr>
                  </w:pPr>
                  <w:r>
                    <w:rPr>
                      <w:rFonts w:hint="eastAsia" w:ascii="宋体" w:hAnsi="宋体" w:eastAsia="宋体" w:cs="宋体"/>
                    </w:rPr>
                    <w:t>夜间</w:t>
                  </w:r>
                </w:p>
              </w:tc>
            </w:tr>
            <w:tr w14:paraId="472825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931A23A">
                  <w:pPr>
                    <w:pStyle w:val="149"/>
                    <w:rPr>
                      <w:rFonts w:eastAsia="Times New Roman"/>
                    </w:rPr>
                  </w:pPr>
                  <w:r>
                    <w:rPr>
                      <w:rFonts w:eastAsia="Times New Roman"/>
                    </w:rPr>
                    <w:t>11</w:t>
                  </w:r>
                </w:p>
              </w:tc>
              <w:tc>
                <w:tcPr>
                  <w:tcW w:w="848" w:type="pct"/>
                  <w:tcBorders>
                    <w:top w:val="single" w:color="auto" w:sz="4" w:space="0"/>
                    <w:left w:val="single" w:color="auto" w:sz="4" w:space="0"/>
                    <w:bottom w:val="single" w:color="auto" w:sz="4" w:space="0"/>
                    <w:right w:val="single" w:color="auto" w:sz="4" w:space="0"/>
                  </w:tcBorders>
                  <w:vAlign w:val="center"/>
                </w:tcPr>
                <w:p w14:paraId="405288DB">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87785B7">
                  <w:pPr>
                    <w:pStyle w:val="149"/>
                    <w:rPr>
                      <w:rFonts w:eastAsia="Times New Roman"/>
                    </w:rPr>
                  </w:pPr>
                  <w:r>
                    <w:rPr>
                      <w:rFonts w:hint="eastAsia" w:eastAsia="Times New Roman"/>
                    </w:rPr>
                    <w:t>53.28</w:t>
                  </w:r>
                </w:p>
              </w:tc>
              <w:tc>
                <w:tcPr>
                  <w:tcW w:w="440" w:type="pct"/>
                  <w:tcBorders>
                    <w:top w:val="single" w:color="auto" w:sz="4" w:space="0"/>
                    <w:left w:val="single" w:color="auto" w:sz="4" w:space="0"/>
                    <w:bottom w:val="single" w:color="auto" w:sz="4" w:space="0"/>
                    <w:right w:val="single" w:color="auto" w:sz="4" w:space="0"/>
                  </w:tcBorders>
                  <w:vAlign w:val="center"/>
                </w:tcPr>
                <w:p w14:paraId="44558E74">
                  <w:pPr>
                    <w:pStyle w:val="149"/>
                    <w:rPr>
                      <w:rFonts w:eastAsia="Times New Roman"/>
                    </w:rPr>
                  </w:pPr>
                  <w:r>
                    <w:rPr>
                      <w:rFonts w:hint="eastAsia" w:eastAsia="Times New Roman"/>
                    </w:rPr>
                    <w:t>3</w:t>
                  </w:r>
                </w:p>
              </w:tc>
              <w:tc>
                <w:tcPr>
                  <w:tcW w:w="457" w:type="pct"/>
                  <w:tcBorders>
                    <w:top w:val="single" w:color="auto" w:sz="4" w:space="0"/>
                    <w:left w:val="single" w:color="auto" w:sz="4" w:space="0"/>
                    <w:bottom w:val="single" w:color="auto" w:sz="4" w:space="0"/>
                    <w:right w:val="single" w:color="auto" w:sz="4" w:space="0"/>
                  </w:tcBorders>
                  <w:vAlign w:val="center"/>
                </w:tcPr>
                <w:p w14:paraId="24817B9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97E0F6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4182E2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1366846">
                  <w:pPr>
                    <w:pStyle w:val="149"/>
                    <w:rPr>
                      <w:rFonts w:eastAsia="Times New Roman"/>
                    </w:rPr>
                  </w:pPr>
                  <w:r>
                    <w:rPr>
                      <w:rFonts w:hint="eastAsia" w:ascii="宋体" w:hAnsi="宋体" w:eastAsia="宋体" w:cs="宋体"/>
                    </w:rPr>
                    <w:t>昼间</w:t>
                  </w:r>
                </w:p>
              </w:tc>
            </w:tr>
            <w:tr w14:paraId="34F12D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0C5D178">
                  <w:pPr>
                    <w:pStyle w:val="149"/>
                    <w:rPr>
                      <w:rFonts w:eastAsia="Times New Roman"/>
                    </w:rPr>
                  </w:pPr>
                  <w:r>
                    <w:rPr>
                      <w:rFonts w:eastAsia="Times New Roman"/>
                    </w:rPr>
                    <w:t>12</w:t>
                  </w:r>
                </w:p>
              </w:tc>
              <w:tc>
                <w:tcPr>
                  <w:tcW w:w="848" w:type="pct"/>
                  <w:tcBorders>
                    <w:top w:val="single" w:color="auto" w:sz="4" w:space="0"/>
                    <w:left w:val="single" w:color="auto" w:sz="4" w:space="0"/>
                    <w:bottom w:val="single" w:color="auto" w:sz="4" w:space="0"/>
                    <w:right w:val="single" w:color="auto" w:sz="4" w:space="0"/>
                  </w:tcBorders>
                  <w:vAlign w:val="center"/>
                </w:tcPr>
                <w:p w14:paraId="178EA01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9965601">
                  <w:pPr>
                    <w:pStyle w:val="149"/>
                    <w:rPr>
                      <w:rFonts w:eastAsia="Times New Roman"/>
                    </w:rPr>
                  </w:pPr>
                  <w:r>
                    <w:rPr>
                      <w:rFonts w:hint="eastAsia" w:eastAsia="Times New Roman"/>
                    </w:rPr>
                    <w:t>53.28</w:t>
                  </w:r>
                </w:p>
              </w:tc>
              <w:tc>
                <w:tcPr>
                  <w:tcW w:w="440" w:type="pct"/>
                  <w:tcBorders>
                    <w:top w:val="single" w:color="auto" w:sz="4" w:space="0"/>
                    <w:left w:val="single" w:color="auto" w:sz="4" w:space="0"/>
                    <w:bottom w:val="single" w:color="auto" w:sz="4" w:space="0"/>
                    <w:right w:val="single" w:color="auto" w:sz="4" w:space="0"/>
                  </w:tcBorders>
                  <w:vAlign w:val="center"/>
                </w:tcPr>
                <w:p w14:paraId="3FB4BEA7">
                  <w:pPr>
                    <w:pStyle w:val="149"/>
                    <w:rPr>
                      <w:rFonts w:eastAsia="Times New Roman"/>
                    </w:rPr>
                  </w:pPr>
                  <w:r>
                    <w:rPr>
                      <w:rFonts w:hint="eastAsia" w:eastAsia="Times New Roman"/>
                    </w:rPr>
                    <w:t>3</w:t>
                  </w:r>
                </w:p>
              </w:tc>
              <w:tc>
                <w:tcPr>
                  <w:tcW w:w="457" w:type="pct"/>
                  <w:tcBorders>
                    <w:top w:val="single" w:color="auto" w:sz="4" w:space="0"/>
                    <w:left w:val="single" w:color="auto" w:sz="4" w:space="0"/>
                    <w:bottom w:val="single" w:color="auto" w:sz="4" w:space="0"/>
                    <w:right w:val="single" w:color="auto" w:sz="4" w:space="0"/>
                  </w:tcBorders>
                  <w:vAlign w:val="center"/>
                </w:tcPr>
                <w:p w14:paraId="5832EC1D">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683BEC8">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6A3547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5D1E29C">
                  <w:pPr>
                    <w:pStyle w:val="149"/>
                    <w:rPr>
                      <w:rFonts w:eastAsia="Times New Roman"/>
                    </w:rPr>
                  </w:pPr>
                  <w:r>
                    <w:rPr>
                      <w:rFonts w:hint="eastAsia" w:ascii="宋体" w:hAnsi="宋体" w:eastAsia="宋体" w:cs="宋体"/>
                    </w:rPr>
                    <w:t>夜间</w:t>
                  </w:r>
                </w:p>
              </w:tc>
            </w:tr>
            <w:tr w14:paraId="2E059C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CDA6A65">
                  <w:pPr>
                    <w:pStyle w:val="149"/>
                    <w:rPr>
                      <w:rFonts w:eastAsia="Times New Roman"/>
                    </w:rPr>
                  </w:pPr>
                  <w:r>
                    <w:rPr>
                      <w:rFonts w:eastAsia="Times New Roman"/>
                    </w:rPr>
                    <w:t>13</w:t>
                  </w:r>
                </w:p>
              </w:tc>
              <w:tc>
                <w:tcPr>
                  <w:tcW w:w="848" w:type="pct"/>
                  <w:tcBorders>
                    <w:top w:val="single" w:color="auto" w:sz="4" w:space="0"/>
                    <w:left w:val="single" w:color="auto" w:sz="4" w:space="0"/>
                    <w:bottom w:val="single" w:color="auto" w:sz="4" w:space="0"/>
                    <w:right w:val="single" w:color="auto" w:sz="4" w:space="0"/>
                  </w:tcBorders>
                  <w:vAlign w:val="center"/>
                </w:tcPr>
                <w:p w14:paraId="4FF6BA33">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8005CB2">
                  <w:pPr>
                    <w:pStyle w:val="149"/>
                    <w:rPr>
                      <w:rFonts w:eastAsia="Times New Roman"/>
                    </w:rPr>
                  </w:pPr>
                  <w:r>
                    <w:rPr>
                      <w:rFonts w:hint="eastAsia" w:eastAsia="Times New Roman"/>
                    </w:rPr>
                    <w:t>31.78</w:t>
                  </w:r>
                </w:p>
              </w:tc>
              <w:tc>
                <w:tcPr>
                  <w:tcW w:w="440" w:type="pct"/>
                  <w:tcBorders>
                    <w:top w:val="single" w:color="auto" w:sz="4" w:space="0"/>
                    <w:left w:val="single" w:color="auto" w:sz="4" w:space="0"/>
                    <w:bottom w:val="single" w:color="auto" w:sz="4" w:space="0"/>
                    <w:right w:val="single" w:color="auto" w:sz="4" w:space="0"/>
                  </w:tcBorders>
                  <w:vAlign w:val="center"/>
                </w:tcPr>
                <w:p w14:paraId="7B897D67">
                  <w:pPr>
                    <w:pStyle w:val="149"/>
                    <w:rPr>
                      <w:rFonts w:eastAsia="Times New Roman"/>
                    </w:rPr>
                  </w:pPr>
                  <w:r>
                    <w:rPr>
                      <w:rFonts w:hint="eastAsia" w:eastAsia="Times New Roman"/>
                    </w:rPr>
                    <w:t>20.75</w:t>
                  </w:r>
                </w:p>
              </w:tc>
              <w:tc>
                <w:tcPr>
                  <w:tcW w:w="457" w:type="pct"/>
                  <w:tcBorders>
                    <w:top w:val="single" w:color="auto" w:sz="4" w:space="0"/>
                    <w:left w:val="single" w:color="auto" w:sz="4" w:space="0"/>
                    <w:bottom w:val="single" w:color="auto" w:sz="4" w:space="0"/>
                    <w:right w:val="single" w:color="auto" w:sz="4" w:space="0"/>
                  </w:tcBorders>
                  <w:vAlign w:val="center"/>
                </w:tcPr>
                <w:p w14:paraId="21AEEC3D">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E17AA1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F66800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A9811C8">
                  <w:pPr>
                    <w:pStyle w:val="149"/>
                    <w:rPr>
                      <w:rFonts w:eastAsia="Times New Roman"/>
                    </w:rPr>
                  </w:pPr>
                  <w:r>
                    <w:rPr>
                      <w:rFonts w:hint="eastAsia" w:ascii="宋体" w:hAnsi="宋体" w:eastAsia="宋体" w:cs="宋体"/>
                    </w:rPr>
                    <w:t>昼间</w:t>
                  </w:r>
                </w:p>
              </w:tc>
            </w:tr>
            <w:tr w14:paraId="0143BE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DB63ACD">
                  <w:pPr>
                    <w:pStyle w:val="149"/>
                    <w:rPr>
                      <w:rFonts w:eastAsia="Times New Roman"/>
                    </w:rPr>
                  </w:pPr>
                  <w:r>
                    <w:rPr>
                      <w:rFonts w:eastAsia="Times New Roman"/>
                    </w:rPr>
                    <w:t>14</w:t>
                  </w:r>
                </w:p>
              </w:tc>
              <w:tc>
                <w:tcPr>
                  <w:tcW w:w="848" w:type="pct"/>
                  <w:tcBorders>
                    <w:top w:val="single" w:color="auto" w:sz="4" w:space="0"/>
                    <w:left w:val="single" w:color="auto" w:sz="4" w:space="0"/>
                    <w:bottom w:val="single" w:color="auto" w:sz="4" w:space="0"/>
                    <w:right w:val="single" w:color="auto" w:sz="4" w:space="0"/>
                  </w:tcBorders>
                  <w:vAlign w:val="center"/>
                </w:tcPr>
                <w:p w14:paraId="2E9E6544">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0A1019D">
                  <w:pPr>
                    <w:pStyle w:val="149"/>
                    <w:rPr>
                      <w:rFonts w:eastAsia="Times New Roman"/>
                    </w:rPr>
                  </w:pPr>
                  <w:r>
                    <w:rPr>
                      <w:rFonts w:hint="eastAsia" w:eastAsia="Times New Roman"/>
                    </w:rPr>
                    <w:t>31.78</w:t>
                  </w:r>
                </w:p>
              </w:tc>
              <w:tc>
                <w:tcPr>
                  <w:tcW w:w="440" w:type="pct"/>
                  <w:tcBorders>
                    <w:top w:val="single" w:color="auto" w:sz="4" w:space="0"/>
                    <w:left w:val="single" w:color="auto" w:sz="4" w:space="0"/>
                    <w:bottom w:val="single" w:color="auto" w:sz="4" w:space="0"/>
                    <w:right w:val="single" w:color="auto" w:sz="4" w:space="0"/>
                  </w:tcBorders>
                  <w:vAlign w:val="center"/>
                </w:tcPr>
                <w:p w14:paraId="1BA48EAC">
                  <w:pPr>
                    <w:pStyle w:val="149"/>
                    <w:rPr>
                      <w:rFonts w:eastAsia="Times New Roman"/>
                    </w:rPr>
                  </w:pPr>
                  <w:r>
                    <w:rPr>
                      <w:rFonts w:hint="eastAsia" w:eastAsia="Times New Roman"/>
                    </w:rPr>
                    <w:t>20.75</w:t>
                  </w:r>
                </w:p>
              </w:tc>
              <w:tc>
                <w:tcPr>
                  <w:tcW w:w="457" w:type="pct"/>
                  <w:tcBorders>
                    <w:top w:val="single" w:color="auto" w:sz="4" w:space="0"/>
                    <w:left w:val="single" w:color="auto" w:sz="4" w:space="0"/>
                    <w:bottom w:val="single" w:color="auto" w:sz="4" w:space="0"/>
                    <w:right w:val="single" w:color="auto" w:sz="4" w:space="0"/>
                  </w:tcBorders>
                  <w:vAlign w:val="center"/>
                </w:tcPr>
                <w:p w14:paraId="21F170E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6FAAC7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6349F6A">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70A3D4F">
                  <w:pPr>
                    <w:pStyle w:val="149"/>
                    <w:rPr>
                      <w:rFonts w:eastAsia="Times New Roman"/>
                    </w:rPr>
                  </w:pPr>
                  <w:r>
                    <w:rPr>
                      <w:rFonts w:hint="eastAsia" w:ascii="宋体" w:hAnsi="宋体" w:eastAsia="宋体" w:cs="宋体"/>
                    </w:rPr>
                    <w:t>夜间</w:t>
                  </w:r>
                </w:p>
              </w:tc>
            </w:tr>
            <w:tr w14:paraId="6A3332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0A3DEAF">
                  <w:pPr>
                    <w:pStyle w:val="149"/>
                    <w:rPr>
                      <w:rFonts w:eastAsia="Times New Roman"/>
                    </w:rPr>
                  </w:pPr>
                  <w:r>
                    <w:rPr>
                      <w:rFonts w:eastAsia="Times New Roman"/>
                    </w:rPr>
                    <w:t>15</w:t>
                  </w:r>
                </w:p>
              </w:tc>
              <w:tc>
                <w:tcPr>
                  <w:tcW w:w="848" w:type="pct"/>
                  <w:tcBorders>
                    <w:top w:val="single" w:color="auto" w:sz="4" w:space="0"/>
                    <w:left w:val="single" w:color="auto" w:sz="4" w:space="0"/>
                    <w:bottom w:val="single" w:color="auto" w:sz="4" w:space="0"/>
                    <w:right w:val="single" w:color="auto" w:sz="4" w:space="0"/>
                  </w:tcBorders>
                  <w:vAlign w:val="center"/>
                </w:tcPr>
                <w:p w14:paraId="59BBA5B1">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CFE35CC">
                  <w:pPr>
                    <w:pStyle w:val="149"/>
                    <w:rPr>
                      <w:rFonts w:eastAsia="Times New Roman"/>
                    </w:rPr>
                  </w:pPr>
                  <w:r>
                    <w:rPr>
                      <w:rFonts w:hint="eastAsia" w:eastAsia="Times New Roman"/>
                    </w:rPr>
                    <w:t>86.68</w:t>
                  </w:r>
                </w:p>
              </w:tc>
              <w:tc>
                <w:tcPr>
                  <w:tcW w:w="440" w:type="pct"/>
                  <w:tcBorders>
                    <w:top w:val="single" w:color="auto" w:sz="4" w:space="0"/>
                    <w:left w:val="single" w:color="auto" w:sz="4" w:space="0"/>
                    <w:bottom w:val="single" w:color="auto" w:sz="4" w:space="0"/>
                    <w:right w:val="single" w:color="auto" w:sz="4" w:space="0"/>
                  </w:tcBorders>
                  <w:vAlign w:val="center"/>
                </w:tcPr>
                <w:p w14:paraId="2A5D5DA3">
                  <w:pPr>
                    <w:pStyle w:val="149"/>
                    <w:rPr>
                      <w:rFonts w:eastAsia="Times New Roman"/>
                    </w:rPr>
                  </w:pPr>
                  <w:r>
                    <w:rPr>
                      <w:rFonts w:hint="eastAsia" w:eastAsia="Times New Roman"/>
                    </w:rPr>
                    <w:t>3.8</w:t>
                  </w:r>
                </w:p>
              </w:tc>
              <w:tc>
                <w:tcPr>
                  <w:tcW w:w="457" w:type="pct"/>
                  <w:tcBorders>
                    <w:top w:val="single" w:color="auto" w:sz="4" w:space="0"/>
                    <w:left w:val="single" w:color="auto" w:sz="4" w:space="0"/>
                    <w:bottom w:val="single" w:color="auto" w:sz="4" w:space="0"/>
                    <w:right w:val="single" w:color="auto" w:sz="4" w:space="0"/>
                  </w:tcBorders>
                  <w:vAlign w:val="center"/>
                </w:tcPr>
                <w:p w14:paraId="516BE3DD">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2C1ACE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B3198C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51E2537">
                  <w:pPr>
                    <w:pStyle w:val="149"/>
                    <w:rPr>
                      <w:rFonts w:eastAsia="Times New Roman"/>
                    </w:rPr>
                  </w:pPr>
                  <w:r>
                    <w:rPr>
                      <w:rFonts w:hint="eastAsia" w:ascii="宋体" w:hAnsi="宋体" w:eastAsia="宋体" w:cs="宋体"/>
                    </w:rPr>
                    <w:t>昼间</w:t>
                  </w:r>
                </w:p>
              </w:tc>
            </w:tr>
            <w:tr w14:paraId="08AAC6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5297630">
                  <w:pPr>
                    <w:pStyle w:val="149"/>
                    <w:rPr>
                      <w:rFonts w:eastAsia="Times New Roman"/>
                    </w:rPr>
                  </w:pPr>
                  <w:r>
                    <w:rPr>
                      <w:rFonts w:eastAsia="Times New Roman"/>
                    </w:rPr>
                    <w:t>16</w:t>
                  </w:r>
                </w:p>
              </w:tc>
              <w:tc>
                <w:tcPr>
                  <w:tcW w:w="848" w:type="pct"/>
                  <w:tcBorders>
                    <w:top w:val="single" w:color="auto" w:sz="4" w:space="0"/>
                    <w:left w:val="single" w:color="auto" w:sz="4" w:space="0"/>
                    <w:bottom w:val="single" w:color="auto" w:sz="4" w:space="0"/>
                    <w:right w:val="single" w:color="auto" w:sz="4" w:space="0"/>
                  </w:tcBorders>
                  <w:vAlign w:val="center"/>
                </w:tcPr>
                <w:p w14:paraId="58A5E33B">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10777E1">
                  <w:pPr>
                    <w:pStyle w:val="149"/>
                    <w:rPr>
                      <w:rFonts w:eastAsia="Times New Roman"/>
                    </w:rPr>
                  </w:pPr>
                  <w:r>
                    <w:rPr>
                      <w:rFonts w:hint="eastAsia" w:eastAsia="Times New Roman"/>
                    </w:rPr>
                    <w:t>86.68</w:t>
                  </w:r>
                </w:p>
              </w:tc>
              <w:tc>
                <w:tcPr>
                  <w:tcW w:w="440" w:type="pct"/>
                  <w:tcBorders>
                    <w:top w:val="single" w:color="auto" w:sz="4" w:space="0"/>
                    <w:left w:val="single" w:color="auto" w:sz="4" w:space="0"/>
                    <w:bottom w:val="single" w:color="auto" w:sz="4" w:space="0"/>
                    <w:right w:val="single" w:color="auto" w:sz="4" w:space="0"/>
                  </w:tcBorders>
                  <w:vAlign w:val="center"/>
                </w:tcPr>
                <w:p w14:paraId="0C9EA328">
                  <w:pPr>
                    <w:pStyle w:val="149"/>
                    <w:rPr>
                      <w:rFonts w:eastAsia="Times New Roman"/>
                    </w:rPr>
                  </w:pPr>
                  <w:r>
                    <w:rPr>
                      <w:rFonts w:hint="eastAsia" w:eastAsia="Times New Roman"/>
                    </w:rPr>
                    <w:t>3.8</w:t>
                  </w:r>
                </w:p>
              </w:tc>
              <w:tc>
                <w:tcPr>
                  <w:tcW w:w="457" w:type="pct"/>
                  <w:tcBorders>
                    <w:top w:val="single" w:color="auto" w:sz="4" w:space="0"/>
                    <w:left w:val="single" w:color="auto" w:sz="4" w:space="0"/>
                    <w:bottom w:val="single" w:color="auto" w:sz="4" w:space="0"/>
                    <w:right w:val="single" w:color="auto" w:sz="4" w:space="0"/>
                  </w:tcBorders>
                  <w:vAlign w:val="center"/>
                </w:tcPr>
                <w:p w14:paraId="3CE686F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46C7ED8">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884DDF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D9C2120">
                  <w:pPr>
                    <w:pStyle w:val="149"/>
                    <w:rPr>
                      <w:rFonts w:eastAsia="Times New Roman"/>
                    </w:rPr>
                  </w:pPr>
                  <w:r>
                    <w:rPr>
                      <w:rFonts w:hint="eastAsia" w:ascii="宋体" w:hAnsi="宋体" w:eastAsia="宋体" w:cs="宋体"/>
                    </w:rPr>
                    <w:t>夜间</w:t>
                  </w:r>
                </w:p>
              </w:tc>
            </w:tr>
            <w:tr w14:paraId="7A32A7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4238494">
                  <w:pPr>
                    <w:pStyle w:val="149"/>
                    <w:rPr>
                      <w:rFonts w:eastAsia="Times New Roman"/>
                    </w:rPr>
                  </w:pPr>
                  <w:r>
                    <w:rPr>
                      <w:rFonts w:eastAsia="Times New Roman"/>
                    </w:rPr>
                    <w:t>17</w:t>
                  </w:r>
                </w:p>
              </w:tc>
              <w:tc>
                <w:tcPr>
                  <w:tcW w:w="848" w:type="pct"/>
                  <w:tcBorders>
                    <w:top w:val="single" w:color="auto" w:sz="4" w:space="0"/>
                    <w:left w:val="single" w:color="auto" w:sz="4" w:space="0"/>
                    <w:bottom w:val="single" w:color="auto" w:sz="4" w:space="0"/>
                    <w:right w:val="single" w:color="auto" w:sz="4" w:space="0"/>
                  </w:tcBorders>
                  <w:vAlign w:val="center"/>
                </w:tcPr>
                <w:p w14:paraId="72D60D45">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30C775D">
                  <w:pPr>
                    <w:pStyle w:val="149"/>
                    <w:rPr>
                      <w:rFonts w:eastAsia="Times New Roman"/>
                    </w:rPr>
                  </w:pPr>
                  <w:r>
                    <w:rPr>
                      <w:rFonts w:hint="eastAsia" w:eastAsia="Times New Roman"/>
                    </w:rPr>
                    <w:t>58.3</w:t>
                  </w:r>
                </w:p>
              </w:tc>
              <w:tc>
                <w:tcPr>
                  <w:tcW w:w="440" w:type="pct"/>
                  <w:tcBorders>
                    <w:top w:val="single" w:color="auto" w:sz="4" w:space="0"/>
                    <w:left w:val="single" w:color="auto" w:sz="4" w:space="0"/>
                    <w:bottom w:val="single" w:color="auto" w:sz="4" w:space="0"/>
                    <w:right w:val="single" w:color="auto" w:sz="4" w:space="0"/>
                  </w:tcBorders>
                  <w:vAlign w:val="center"/>
                </w:tcPr>
                <w:p w14:paraId="7B10D270">
                  <w:pPr>
                    <w:pStyle w:val="149"/>
                    <w:rPr>
                      <w:rFonts w:eastAsia="Times New Roman"/>
                    </w:rPr>
                  </w:pPr>
                  <w:r>
                    <w:rPr>
                      <w:rFonts w:hint="eastAsia" w:eastAsia="Times New Roman"/>
                    </w:rPr>
                    <w:t>2.39</w:t>
                  </w:r>
                </w:p>
              </w:tc>
              <w:tc>
                <w:tcPr>
                  <w:tcW w:w="457" w:type="pct"/>
                  <w:tcBorders>
                    <w:top w:val="single" w:color="auto" w:sz="4" w:space="0"/>
                    <w:left w:val="single" w:color="auto" w:sz="4" w:space="0"/>
                    <w:bottom w:val="single" w:color="auto" w:sz="4" w:space="0"/>
                    <w:right w:val="single" w:color="auto" w:sz="4" w:space="0"/>
                  </w:tcBorders>
                  <w:vAlign w:val="center"/>
                </w:tcPr>
                <w:p w14:paraId="6A37793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0650BE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E0EF372">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3A4E28B">
                  <w:pPr>
                    <w:pStyle w:val="149"/>
                    <w:rPr>
                      <w:rFonts w:eastAsia="Times New Roman"/>
                    </w:rPr>
                  </w:pPr>
                  <w:r>
                    <w:rPr>
                      <w:rFonts w:hint="eastAsia" w:ascii="宋体" w:hAnsi="宋体" w:eastAsia="宋体" w:cs="宋体"/>
                    </w:rPr>
                    <w:t>昼间</w:t>
                  </w:r>
                </w:p>
              </w:tc>
            </w:tr>
            <w:tr w14:paraId="74576B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62FEA3D">
                  <w:pPr>
                    <w:pStyle w:val="149"/>
                    <w:rPr>
                      <w:rFonts w:eastAsia="Times New Roman"/>
                    </w:rPr>
                  </w:pPr>
                  <w:r>
                    <w:rPr>
                      <w:rFonts w:eastAsia="Times New Roman"/>
                    </w:rPr>
                    <w:t>18</w:t>
                  </w:r>
                </w:p>
              </w:tc>
              <w:tc>
                <w:tcPr>
                  <w:tcW w:w="848" w:type="pct"/>
                  <w:tcBorders>
                    <w:top w:val="single" w:color="auto" w:sz="4" w:space="0"/>
                    <w:left w:val="single" w:color="auto" w:sz="4" w:space="0"/>
                    <w:bottom w:val="single" w:color="auto" w:sz="4" w:space="0"/>
                    <w:right w:val="single" w:color="auto" w:sz="4" w:space="0"/>
                  </w:tcBorders>
                  <w:vAlign w:val="center"/>
                </w:tcPr>
                <w:p w14:paraId="413A8F7C">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B08FD34">
                  <w:pPr>
                    <w:pStyle w:val="149"/>
                    <w:rPr>
                      <w:rFonts w:eastAsia="Times New Roman"/>
                    </w:rPr>
                  </w:pPr>
                  <w:r>
                    <w:rPr>
                      <w:rFonts w:hint="eastAsia" w:eastAsia="Times New Roman"/>
                    </w:rPr>
                    <w:t>58.3</w:t>
                  </w:r>
                </w:p>
              </w:tc>
              <w:tc>
                <w:tcPr>
                  <w:tcW w:w="440" w:type="pct"/>
                  <w:tcBorders>
                    <w:top w:val="single" w:color="auto" w:sz="4" w:space="0"/>
                    <w:left w:val="single" w:color="auto" w:sz="4" w:space="0"/>
                    <w:bottom w:val="single" w:color="auto" w:sz="4" w:space="0"/>
                    <w:right w:val="single" w:color="auto" w:sz="4" w:space="0"/>
                  </w:tcBorders>
                  <w:vAlign w:val="center"/>
                </w:tcPr>
                <w:p w14:paraId="282390B5">
                  <w:pPr>
                    <w:pStyle w:val="149"/>
                    <w:rPr>
                      <w:rFonts w:eastAsia="Times New Roman"/>
                    </w:rPr>
                  </w:pPr>
                  <w:r>
                    <w:rPr>
                      <w:rFonts w:hint="eastAsia" w:eastAsia="Times New Roman"/>
                    </w:rPr>
                    <w:t>2.39</w:t>
                  </w:r>
                </w:p>
              </w:tc>
              <w:tc>
                <w:tcPr>
                  <w:tcW w:w="457" w:type="pct"/>
                  <w:tcBorders>
                    <w:top w:val="single" w:color="auto" w:sz="4" w:space="0"/>
                    <w:left w:val="single" w:color="auto" w:sz="4" w:space="0"/>
                    <w:bottom w:val="single" w:color="auto" w:sz="4" w:space="0"/>
                    <w:right w:val="single" w:color="auto" w:sz="4" w:space="0"/>
                  </w:tcBorders>
                  <w:vAlign w:val="center"/>
                </w:tcPr>
                <w:p w14:paraId="3ACEBE8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31010D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2ECEA0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F39A125">
                  <w:pPr>
                    <w:pStyle w:val="149"/>
                    <w:rPr>
                      <w:rFonts w:eastAsia="Times New Roman"/>
                    </w:rPr>
                  </w:pPr>
                  <w:r>
                    <w:rPr>
                      <w:rFonts w:hint="eastAsia" w:ascii="宋体" w:hAnsi="宋体" w:eastAsia="宋体" w:cs="宋体"/>
                    </w:rPr>
                    <w:t>夜间</w:t>
                  </w:r>
                </w:p>
              </w:tc>
            </w:tr>
            <w:tr w14:paraId="19820D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F9E58C9">
                  <w:pPr>
                    <w:pStyle w:val="149"/>
                    <w:rPr>
                      <w:rFonts w:eastAsia="Times New Roman"/>
                    </w:rPr>
                  </w:pPr>
                  <w:r>
                    <w:rPr>
                      <w:rFonts w:eastAsia="Times New Roman"/>
                    </w:rPr>
                    <w:t>19</w:t>
                  </w:r>
                </w:p>
              </w:tc>
              <w:tc>
                <w:tcPr>
                  <w:tcW w:w="848" w:type="pct"/>
                  <w:tcBorders>
                    <w:top w:val="single" w:color="auto" w:sz="4" w:space="0"/>
                    <w:left w:val="single" w:color="auto" w:sz="4" w:space="0"/>
                    <w:bottom w:val="single" w:color="auto" w:sz="4" w:space="0"/>
                    <w:right w:val="single" w:color="auto" w:sz="4" w:space="0"/>
                  </w:tcBorders>
                  <w:vAlign w:val="center"/>
                </w:tcPr>
                <w:p w14:paraId="0BC7BDAE">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8D06B6F">
                  <w:pPr>
                    <w:pStyle w:val="149"/>
                    <w:rPr>
                      <w:rFonts w:eastAsia="Times New Roman"/>
                    </w:rPr>
                  </w:pPr>
                  <w:r>
                    <w:rPr>
                      <w:rFonts w:hint="eastAsia" w:eastAsia="Times New Roman"/>
                    </w:rPr>
                    <w:t>63.19</w:t>
                  </w:r>
                </w:p>
              </w:tc>
              <w:tc>
                <w:tcPr>
                  <w:tcW w:w="440" w:type="pct"/>
                  <w:tcBorders>
                    <w:top w:val="single" w:color="auto" w:sz="4" w:space="0"/>
                    <w:left w:val="single" w:color="auto" w:sz="4" w:space="0"/>
                    <w:bottom w:val="single" w:color="auto" w:sz="4" w:space="0"/>
                    <w:right w:val="single" w:color="auto" w:sz="4" w:space="0"/>
                  </w:tcBorders>
                  <w:vAlign w:val="center"/>
                </w:tcPr>
                <w:p w14:paraId="0BC58B84">
                  <w:pPr>
                    <w:pStyle w:val="149"/>
                    <w:rPr>
                      <w:rFonts w:eastAsia="Times New Roman"/>
                    </w:rPr>
                  </w:pPr>
                  <w:r>
                    <w:rPr>
                      <w:rFonts w:hint="eastAsia" w:eastAsia="Times New Roman"/>
                    </w:rPr>
                    <w:t>1.85</w:t>
                  </w:r>
                </w:p>
              </w:tc>
              <w:tc>
                <w:tcPr>
                  <w:tcW w:w="457" w:type="pct"/>
                  <w:tcBorders>
                    <w:top w:val="single" w:color="auto" w:sz="4" w:space="0"/>
                    <w:left w:val="single" w:color="auto" w:sz="4" w:space="0"/>
                    <w:bottom w:val="single" w:color="auto" w:sz="4" w:space="0"/>
                    <w:right w:val="single" w:color="auto" w:sz="4" w:space="0"/>
                  </w:tcBorders>
                  <w:vAlign w:val="center"/>
                </w:tcPr>
                <w:p w14:paraId="389931A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9822CDC">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102EB8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E1F3A96">
                  <w:pPr>
                    <w:pStyle w:val="149"/>
                    <w:rPr>
                      <w:rFonts w:eastAsia="Times New Roman"/>
                    </w:rPr>
                  </w:pPr>
                  <w:r>
                    <w:rPr>
                      <w:rFonts w:hint="eastAsia" w:ascii="宋体" w:hAnsi="宋体" w:eastAsia="宋体" w:cs="宋体"/>
                    </w:rPr>
                    <w:t>昼间</w:t>
                  </w:r>
                </w:p>
              </w:tc>
            </w:tr>
            <w:tr w14:paraId="53A991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EB322FE">
                  <w:pPr>
                    <w:pStyle w:val="149"/>
                    <w:rPr>
                      <w:rFonts w:eastAsia="Times New Roman"/>
                    </w:rPr>
                  </w:pPr>
                  <w:r>
                    <w:rPr>
                      <w:rFonts w:eastAsia="Times New Roman"/>
                    </w:rPr>
                    <w:t>20</w:t>
                  </w:r>
                </w:p>
              </w:tc>
              <w:tc>
                <w:tcPr>
                  <w:tcW w:w="848" w:type="pct"/>
                  <w:tcBorders>
                    <w:top w:val="single" w:color="auto" w:sz="4" w:space="0"/>
                    <w:left w:val="single" w:color="auto" w:sz="4" w:space="0"/>
                    <w:bottom w:val="single" w:color="auto" w:sz="4" w:space="0"/>
                    <w:right w:val="single" w:color="auto" w:sz="4" w:space="0"/>
                  </w:tcBorders>
                  <w:vAlign w:val="center"/>
                </w:tcPr>
                <w:p w14:paraId="03795A8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774B19F">
                  <w:pPr>
                    <w:pStyle w:val="149"/>
                    <w:rPr>
                      <w:rFonts w:eastAsia="Times New Roman"/>
                    </w:rPr>
                  </w:pPr>
                  <w:r>
                    <w:rPr>
                      <w:rFonts w:hint="eastAsia" w:eastAsia="Times New Roman"/>
                    </w:rPr>
                    <w:t>63.19</w:t>
                  </w:r>
                </w:p>
              </w:tc>
              <w:tc>
                <w:tcPr>
                  <w:tcW w:w="440" w:type="pct"/>
                  <w:tcBorders>
                    <w:top w:val="single" w:color="auto" w:sz="4" w:space="0"/>
                    <w:left w:val="single" w:color="auto" w:sz="4" w:space="0"/>
                    <w:bottom w:val="single" w:color="auto" w:sz="4" w:space="0"/>
                    <w:right w:val="single" w:color="auto" w:sz="4" w:space="0"/>
                  </w:tcBorders>
                  <w:vAlign w:val="center"/>
                </w:tcPr>
                <w:p w14:paraId="2929CB11">
                  <w:pPr>
                    <w:pStyle w:val="149"/>
                    <w:rPr>
                      <w:rFonts w:eastAsia="Times New Roman"/>
                    </w:rPr>
                  </w:pPr>
                  <w:r>
                    <w:rPr>
                      <w:rFonts w:hint="eastAsia" w:eastAsia="Times New Roman"/>
                    </w:rPr>
                    <w:t>1.85</w:t>
                  </w:r>
                </w:p>
              </w:tc>
              <w:tc>
                <w:tcPr>
                  <w:tcW w:w="457" w:type="pct"/>
                  <w:tcBorders>
                    <w:top w:val="single" w:color="auto" w:sz="4" w:space="0"/>
                    <w:left w:val="single" w:color="auto" w:sz="4" w:space="0"/>
                    <w:bottom w:val="single" w:color="auto" w:sz="4" w:space="0"/>
                    <w:right w:val="single" w:color="auto" w:sz="4" w:space="0"/>
                  </w:tcBorders>
                  <w:vAlign w:val="center"/>
                </w:tcPr>
                <w:p w14:paraId="0B4AAA3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4EE10E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F94032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3664952">
                  <w:pPr>
                    <w:pStyle w:val="149"/>
                    <w:rPr>
                      <w:rFonts w:eastAsia="Times New Roman"/>
                    </w:rPr>
                  </w:pPr>
                  <w:r>
                    <w:rPr>
                      <w:rFonts w:hint="eastAsia" w:ascii="宋体" w:hAnsi="宋体" w:eastAsia="宋体" w:cs="宋体"/>
                    </w:rPr>
                    <w:t>夜间</w:t>
                  </w:r>
                </w:p>
              </w:tc>
            </w:tr>
            <w:tr w14:paraId="0E0AE1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6BBB796">
                  <w:pPr>
                    <w:pStyle w:val="149"/>
                    <w:rPr>
                      <w:rFonts w:eastAsia="Times New Roman"/>
                    </w:rPr>
                  </w:pPr>
                  <w:r>
                    <w:rPr>
                      <w:rFonts w:eastAsia="Times New Roman"/>
                    </w:rPr>
                    <w:t>21</w:t>
                  </w:r>
                </w:p>
              </w:tc>
              <w:tc>
                <w:tcPr>
                  <w:tcW w:w="848" w:type="pct"/>
                  <w:tcBorders>
                    <w:top w:val="single" w:color="auto" w:sz="4" w:space="0"/>
                    <w:left w:val="single" w:color="auto" w:sz="4" w:space="0"/>
                    <w:bottom w:val="single" w:color="auto" w:sz="4" w:space="0"/>
                    <w:right w:val="single" w:color="auto" w:sz="4" w:space="0"/>
                  </w:tcBorders>
                  <w:vAlign w:val="center"/>
                </w:tcPr>
                <w:p w14:paraId="7613C488">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7ECEF52">
                  <w:pPr>
                    <w:pStyle w:val="149"/>
                    <w:rPr>
                      <w:rFonts w:eastAsia="Times New Roman"/>
                    </w:rPr>
                  </w:pPr>
                  <w:r>
                    <w:rPr>
                      <w:rFonts w:hint="eastAsia" w:eastAsia="Times New Roman"/>
                    </w:rPr>
                    <w:t>68.68</w:t>
                  </w:r>
                </w:p>
              </w:tc>
              <w:tc>
                <w:tcPr>
                  <w:tcW w:w="440" w:type="pct"/>
                  <w:tcBorders>
                    <w:top w:val="single" w:color="auto" w:sz="4" w:space="0"/>
                    <w:left w:val="single" w:color="auto" w:sz="4" w:space="0"/>
                    <w:bottom w:val="single" w:color="auto" w:sz="4" w:space="0"/>
                    <w:right w:val="single" w:color="auto" w:sz="4" w:space="0"/>
                  </w:tcBorders>
                  <w:vAlign w:val="center"/>
                </w:tcPr>
                <w:p w14:paraId="304D377D">
                  <w:pPr>
                    <w:pStyle w:val="149"/>
                    <w:rPr>
                      <w:rFonts w:eastAsia="Times New Roman"/>
                    </w:rPr>
                  </w:pPr>
                  <w:r>
                    <w:rPr>
                      <w:rFonts w:hint="eastAsia" w:eastAsia="Times New Roman"/>
                    </w:rPr>
                    <w:t>1.53</w:t>
                  </w:r>
                </w:p>
              </w:tc>
              <w:tc>
                <w:tcPr>
                  <w:tcW w:w="457" w:type="pct"/>
                  <w:tcBorders>
                    <w:top w:val="single" w:color="auto" w:sz="4" w:space="0"/>
                    <w:left w:val="single" w:color="auto" w:sz="4" w:space="0"/>
                    <w:bottom w:val="single" w:color="auto" w:sz="4" w:space="0"/>
                    <w:right w:val="single" w:color="auto" w:sz="4" w:space="0"/>
                  </w:tcBorders>
                  <w:vAlign w:val="center"/>
                </w:tcPr>
                <w:p w14:paraId="28DFF5F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DE3D90C">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126E90F">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0A47D5B">
                  <w:pPr>
                    <w:pStyle w:val="149"/>
                    <w:rPr>
                      <w:rFonts w:eastAsia="Times New Roman"/>
                    </w:rPr>
                  </w:pPr>
                  <w:r>
                    <w:rPr>
                      <w:rFonts w:hint="eastAsia" w:ascii="宋体" w:hAnsi="宋体" w:eastAsia="宋体" w:cs="宋体"/>
                    </w:rPr>
                    <w:t>昼间</w:t>
                  </w:r>
                </w:p>
              </w:tc>
            </w:tr>
            <w:tr w14:paraId="399571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ED59C6E">
                  <w:pPr>
                    <w:pStyle w:val="149"/>
                    <w:rPr>
                      <w:rFonts w:eastAsia="Times New Roman"/>
                    </w:rPr>
                  </w:pPr>
                  <w:r>
                    <w:rPr>
                      <w:rFonts w:eastAsia="Times New Roman"/>
                    </w:rPr>
                    <w:t>22</w:t>
                  </w:r>
                </w:p>
              </w:tc>
              <w:tc>
                <w:tcPr>
                  <w:tcW w:w="848" w:type="pct"/>
                  <w:tcBorders>
                    <w:top w:val="single" w:color="auto" w:sz="4" w:space="0"/>
                    <w:left w:val="single" w:color="auto" w:sz="4" w:space="0"/>
                    <w:bottom w:val="single" w:color="auto" w:sz="4" w:space="0"/>
                    <w:right w:val="single" w:color="auto" w:sz="4" w:space="0"/>
                  </w:tcBorders>
                  <w:vAlign w:val="center"/>
                </w:tcPr>
                <w:p w14:paraId="77E91F38">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457283A">
                  <w:pPr>
                    <w:pStyle w:val="149"/>
                    <w:rPr>
                      <w:rFonts w:eastAsia="Times New Roman"/>
                    </w:rPr>
                  </w:pPr>
                  <w:r>
                    <w:rPr>
                      <w:rFonts w:hint="eastAsia" w:eastAsia="Times New Roman"/>
                    </w:rPr>
                    <w:t>68.68</w:t>
                  </w:r>
                </w:p>
              </w:tc>
              <w:tc>
                <w:tcPr>
                  <w:tcW w:w="440" w:type="pct"/>
                  <w:tcBorders>
                    <w:top w:val="single" w:color="auto" w:sz="4" w:space="0"/>
                    <w:left w:val="single" w:color="auto" w:sz="4" w:space="0"/>
                    <w:bottom w:val="single" w:color="auto" w:sz="4" w:space="0"/>
                    <w:right w:val="single" w:color="auto" w:sz="4" w:space="0"/>
                  </w:tcBorders>
                  <w:vAlign w:val="center"/>
                </w:tcPr>
                <w:p w14:paraId="7A1383C4">
                  <w:pPr>
                    <w:pStyle w:val="149"/>
                    <w:rPr>
                      <w:rFonts w:eastAsia="Times New Roman"/>
                    </w:rPr>
                  </w:pPr>
                  <w:r>
                    <w:rPr>
                      <w:rFonts w:hint="eastAsia" w:eastAsia="Times New Roman"/>
                    </w:rPr>
                    <w:t>1.53</w:t>
                  </w:r>
                </w:p>
              </w:tc>
              <w:tc>
                <w:tcPr>
                  <w:tcW w:w="457" w:type="pct"/>
                  <w:tcBorders>
                    <w:top w:val="single" w:color="auto" w:sz="4" w:space="0"/>
                    <w:left w:val="single" w:color="auto" w:sz="4" w:space="0"/>
                    <w:bottom w:val="single" w:color="auto" w:sz="4" w:space="0"/>
                    <w:right w:val="single" w:color="auto" w:sz="4" w:space="0"/>
                  </w:tcBorders>
                  <w:vAlign w:val="center"/>
                </w:tcPr>
                <w:p w14:paraId="192268F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DABCEE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E3DF9A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A5CC4F1">
                  <w:pPr>
                    <w:pStyle w:val="149"/>
                    <w:rPr>
                      <w:rFonts w:eastAsia="Times New Roman"/>
                    </w:rPr>
                  </w:pPr>
                  <w:r>
                    <w:rPr>
                      <w:rFonts w:hint="eastAsia" w:ascii="宋体" w:hAnsi="宋体" w:eastAsia="宋体" w:cs="宋体"/>
                    </w:rPr>
                    <w:t>夜间</w:t>
                  </w:r>
                </w:p>
              </w:tc>
            </w:tr>
            <w:tr w14:paraId="679640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4630361">
                  <w:pPr>
                    <w:pStyle w:val="149"/>
                    <w:rPr>
                      <w:rFonts w:eastAsia="Times New Roman"/>
                    </w:rPr>
                  </w:pPr>
                  <w:r>
                    <w:rPr>
                      <w:rFonts w:eastAsia="Times New Roman"/>
                    </w:rPr>
                    <w:t>23</w:t>
                  </w:r>
                </w:p>
              </w:tc>
              <w:tc>
                <w:tcPr>
                  <w:tcW w:w="848" w:type="pct"/>
                  <w:tcBorders>
                    <w:top w:val="single" w:color="auto" w:sz="4" w:space="0"/>
                    <w:left w:val="single" w:color="auto" w:sz="4" w:space="0"/>
                    <w:bottom w:val="single" w:color="auto" w:sz="4" w:space="0"/>
                    <w:right w:val="single" w:color="auto" w:sz="4" w:space="0"/>
                  </w:tcBorders>
                  <w:vAlign w:val="center"/>
                </w:tcPr>
                <w:p w14:paraId="4FF66A97">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2686119">
                  <w:pPr>
                    <w:pStyle w:val="149"/>
                    <w:rPr>
                      <w:rFonts w:eastAsia="Times New Roman"/>
                    </w:rPr>
                  </w:pPr>
                  <w:r>
                    <w:rPr>
                      <w:rFonts w:hint="eastAsia" w:eastAsia="Times New Roman"/>
                    </w:rPr>
                    <w:t>73.62</w:t>
                  </w:r>
                </w:p>
              </w:tc>
              <w:tc>
                <w:tcPr>
                  <w:tcW w:w="440" w:type="pct"/>
                  <w:tcBorders>
                    <w:top w:val="single" w:color="auto" w:sz="4" w:space="0"/>
                    <w:left w:val="single" w:color="auto" w:sz="4" w:space="0"/>
                    <w:bottom w:val="single" w:color="auto" w:sz="4" w:space="0"/>
                    <w:right w:val="single" w:color="auto" w:sz="4" w:space="0"/>
                  </w:tcBorders>
                  <w:vAlign w:val="center"/>
                </w:tcPr>
                <w:p w14:paraId="54130B9D">
                  <w:pPr>
                    <w:pStyle w:val="149"/>
                    <w:rPr>
                      <w:rFonts w:eastAsia="Times New Roman"/>
                    </w:rPr>
                  </w:pPr>
                  <w:r>
                    <w:rPr>
                      <w:rFonts w:hint="eastAsia" w:eastAsia="Times New Roman"/>
                    </w:rPr>
                    <w:t>1.12</w:t>
                  </w:r>
                </w:p>
              </w:tc>
              <w:tc>
                <w:tcPr>
                  <w:tcW w:w="457" w:type="pct"/>
                  <w:tcBorders>
                    <w:top w:val="single" w:color="auto" w:sz="4" w:space="0"/>
                    <w:left w:val="single" w:color="auto" w:sz="4" w:space="0"/>
                    <w:bottom w:val="single" w:color="auto" w:sz="4" w:space="0"/>
                    <w:right w:val="single" w:color="auto" w:sz="4" w:space="0"/>
                  </w:tcBorders>
                  <w:vAlign w:val="center"/>
                </w:tcPr>
                <w:p w14:paraId="7E624C1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DCD57B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A2AB7A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1926BC6">
                  <w:pPr>
                    <w:pStyle w:val="149"/>
                    <w:rPr>
                      <w:rFonts w:eastAsia="Times New Roman"/>
                    </w:rPr>
                  </w:pPr>
                  <w:r>
                    <w:rPr>
                      <w:rFonts w:hint="eastAsia" w:ascii="宋体" w:hAnsi="宋体" w:eastAsia="宋体" w:cs="宋体"/>
                    </w:rPr>
                    <w:t>昼间</w:t>
                  </w:r>
                </w:p>
              </w:tc>
            </w:tr>
            <w:tr w14:paraId="096B0A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531BAAE">
                  <w:pPr>
                    <w:pStyle w:val="149"/>
                    <w:rPr>
                      <w:rFonts w:eastAsia="Times New Roman"/>
                    </w:rPr>
                  </w:pPr>
                  <w:r>
                    <w:rPr>
                      <w:rFonts w:eastAsia="Times New Roman"/>
                    </w:rPr>
                    <w:t>24</w:t>
                  </w:r>
                </w:p>
              </w:tc>
              <w:tc>
                <w:tcPr>
                  <w:tcW w:w="848" w:type="pct"/>
                  <w:tcBorders>
                    <w:top w:val="single" w:color="auto" w:sz="4" w:space="0"/>
                    <w:left w:val="single" w:color="auto" w:sz="4" w:space="0"/>
                    <w:bottom w:val="single" w:color="auto" w:sz="4" w:space="0"/>
                    <w:right w:val="single" w:color="auto" w:sz="4" w:space="0"/>
                  </w:tcBorders>
                  <w:vAlign w:val="center"/>
                </w:tcPr>
                <w:p w14:paraId="3F8A82D7">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4F9B785">
                  <w:pPr>
                    <w:pStyle w:val="149"/>
                    <w:rPr>
                      <w:rFonts w:eastAsia="Times New Roman"/>
                    </w:rPr>
                  </w:pPr>
                  <w:r>
                    <w:rPr>
                      <w:rFonts w:hint="eastAsia" w:eastAsia="Times New Roman"/>
                    </w:rPr>
                    <w:t>73.62</w:t>
                  </w:r>
                </w:p>
              </w:tc>
              <w:tc>
                <w:tcPr>
                  <w:tcW w:w="440" w:type="pct"/>
                  <w:tcBorders>
                    <w:top w:val="single" w:color="auto" w:sz="4" w:space="0"/>
                    <w:left w:val="single" w:color="auto" w:sz="4" w:space="0"/>
                    <w:bottom w:val="single" w:color="auto" w:sz="4" w:space="0"/>
                    <w:right w:val="single" w:color="auto" w:sz="4" w:space="0"/>
                  </w:tcBorders>
                  <w:vAlign w:val="center"/>
                </w:tcPr>
                <w:p w14:paraId="0C3312AE">
                  <w:pPr>
                    <w:pStyle w:val="149"/>
                    <w:rPr>
                      <w:rFonts w:eastAsia="Times New Roman"/>
                    </w:rPr>
                  </w:pPr>
                  <w:r>
                    <w:rPr>
                      <w:rFonts w:hint="eastAsia" w:eastAsia="Times New Roman"/>
                    </w:rPr>
                    <w:t>1.12</w:t>
                  </w:r>
                </w:p>
              </w:tc>
              <w:tc>
                <w:tcPr>
                  <w:tcW w:w="457" w:type="pct"/>
                  <w:tcBorders>
                    <w:top w:val="single" w:color="auto" w:sz="4" w:space="0"/>
                    <w:left w:val="single" w:color="auto" w:sz="4" w:space="0"/>
                    <w:bottom w:val="single" w:color="auto" w:sz="4" w:space="0"/>
                    <w:right w:val="single" w:color="auto" w:sz="4" w:space="0"/>
                  </w:tcBorders>
                  <w:vAlign w:val="center"/>
                </w:tcPr>
                <w:p w14:paraId="21DDFDC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75F22B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9B10483">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BF3D8CB">
                  <w:pPr>
                    <w:pStyle w:val="149"/>
                    <w:rPr>
                      <w:rFonts w:eastAsia="Times New Roman"/>
                    </w:rPr>
                  </w:pPr>
                  <w:r>
                    <w:rPr>
                      <w:rFonts w:hint="eastAsia" w:ascii="宋体" w:hAnsi="宋体" w:eastAsia="宋体" w:cs="宋体"/>
                    </w:rPr>
                    <w:t>夜间</w:t>
                  </w:r>
                </w:p>
              </w:tc>
            </w:tr>
            <w:tr w14:paraId="34C8C4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25014F7">
                  <w:pPr>
                    <w:pStyle w:val="149"/>
                    <w:rPr>
                      <w:rFonts w:eastAsia="Times New Roman"/>
                    </w:rPr>
                  </w:pPr>
                  <w:r>
                    <w:rPr>
                      <w:rFonts w:eastAsia="Times New Roman"/>
                    </w:rPr>
                    <w:t>25</w:t>
                  </w:r>
                </w:p>
              </w:tc>
              <w:tc>
                <w:tcPr>
                  <w:tcW w:w="848" w:type="pct"/>
                  <w:tcBorders>
                    <w:top w:val="single" w:color="auto" w:sz="4" w:space="0"/>
                    <w:left w:val="single" w:color="auto" w:sz="4" w:space="0"/>
                    <w:bottom w:val="single" w:color="auto" w:sz="4" w:space="0"/>
                    <w:right w:val="single" w:color="auto" w:sz="4" w:space="0"/>
                  </w:tcBorders>
                  <w:vAlign w:val="center"/>
                </w:tcPr>
                <w:p w14:paraId="42D00478">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11BB2AA">
                  <w:pPr>
                    <w:pStyle w:val="149"/>
                    <w:rPr>
                      <w:rFonts w:eastAsia="Times New Roman"/>
                    </w:rPr>
                  </w:pPr>
                  <w:r>
                    <w:rPr>
                      <w:rFonts w:hint="eastAsia" w:eastAsia="Times New Roman"/>
                    </w:rPr>
                    <w:t>78.79</w:t>
                  </w:r>
                </w:p>
              </w:tc>
              <w:tc>
                <w:tcPr>
                  <w:tcW w:w="440" w:type="pct"/>
                  <w:tcBorders>
                    <w:top w:val="single" w:color="auto" w:sz="4" w:space="0"/>
                    <w:left w:val="single" w:color="auto" w:sz="4" w:space="0"/>
                    <w:bottom w:val="single" w:color="auto" w:sz="4" w:space="0"/>
                    <w:right w:val="single" w:color="auto" w:sz="4" w:space="0"/>
                  </w:tcBorders>
                  <w:vAlign w:val="center"/>
                </w:tcPr>
                <w:p w14:paraId="6045FBAB">
                  <w:pPr>
                    <w:pStyle w:val="149"/>
                    <w:rPr>
                      <w:rFonts w:eastAsia="Times New Roman"/>
                    </w:rPr>
                  </w:pPr>
                  <w:r>
                    <w:rPr>
                      <w:rFonts w:hint="eastAsia" w:eastAsia="Times New Roman"/>
                    </w:rPr>
                    <w:t>0.71</w:t>
                  </w:r>
                </w:p>
              </w:tc>
              <w:tc>
                <w:tcPr>
                  <w:tcW w:w="457" w:type="pct"/>
                  <w:tcBorders>
                    <w:top w:val="single" w:color="auto" w:sz="4" w:space="0"/>
                    <w:left w:val="single" w:color="auto" w:sz="4" w:space="0"/>
                    <w:bottom w:val="single" w:color="auto" w:sz="4" w:space="0"/>
                    <w:right w:val="single" w:color="auto" w:sz="4" w:space="0"/>
                  </w:tcBorders>
                  <w:vAlign w:val="center"/>
                </w:tcPr>
                <w:p w14:paraId="46D98A1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D423A2D">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9A0A5A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4EE9667">
                  <w:pPr>
                    <w:pStyle w:val="149"/>
                    <w:rPr>
                      <w:rFonts w:eastAsia="Times New Roman"/>
                    </w:rPr>
                  </w:pPr>
                  <w:r>
                    <w:rPr>
                      <w:rFonts w:hint="eastAsia" w:ascii="宋体" w:hAnsi="宋体" w:eastAsia="宋体" w:cs="宋体"/>
                    </w:rPr>
                    <w:t>昼间</w:t>
                  </w:r>
                </w:p>
              </w:tc>
            </w:tr>
            <w:tr w14:paraId="205C2C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BE21518">
                  <w:pPr>
                    <w:pStyle w:val="149"/>
                    <w:rPr>
                      <w:rFonts w:eastAsia="Times New Roman"/>
                    </w:rPr>
                  </w:pPr>
                  <w:r>
                    <w:rPr>
                      <w:rFonts w:eastAsia="Times New Roman"/>
                    </w:rPr>
                    <w:t>26</w:t>
                  </w:r>
                </w:p>
              </w:tc>
              <w:tc>
                <w:tcPr>
                  <w:tcW w:w="848" w:type="pct"/>
                  <w:tcBorders>
                    <w:top w:val="single" w:color="auto" w:sz="4" w:space="0"/>
                    <w:left w:val="single" w:color="auto" w:sz="4" w:space="0"/>
                    <w:bottom w:val="single" w:color="auto" w:sz="4" w:space="0"/>
                    <w:right w:val="single" w:color="auto" w:sz="4" w:space="0"/>
                  </w:tcBorders>
                  <w:vAlign w:val="center"/>
                </w:tcPr>
                <w:p w14:paraId="6E8C2ED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456A4DB">
                  <w:pPr>
                    <w:pStyle w:val="149"/>
                    <w:rPr>
                      <w:rFonts w:eastAsia="Times New Roman"/>
                    </w:rPr>
                  </w:pPr>
                  <w:r>
                    <w:rPr>
                      <w:rFonts w:hint="eastAsia" w:eastAsia="Times New Roman"/>
                    </w:rPr>
                    <w:t>78.79</w:t>
                  </w:r>
                </w:p>
              </w:tc>
              <w:tc>
                <w:tcPr>
                  <w:tcW w:w="440" w:type="pct"/>
                  <w:tcBorders>
                    <w:top w:val="single" w:color="auto" w:sz="4" w:space="0"/>
                    <w:left w:val="single" w:color="auto" w:sz="4" w:space="0"/>
                    <w:bottom w:val="single" w:color="auto" w:sz="4" w:space="0"/>
                    <w:right w:val="single" w:color="auto" w:sz="4" w:space="0"/>
                  </w:tcBorders>
                  <w:vAlign w:val="center"/>
                </w:tcPr>
                <w:p w14:paraId="50582948">
                  <w:pPr>
                    <w:pStyle w:val="149"/>
                    <w:rPr>
                      <w:rFonts w:eastAsia="Times New Roman"/>
                    </w:rPr>
                  </w:pPr>
                  <w:r>
                    <w:rPr>
                      <w:rFonts w:hint="eastAsia" w:eastAsia="Times New Roman"/>
                    </w:rPr>
                    <w:t>0.71</w:t>
                  </w:r>
                </w:p>
              </w:tc>
              <w:tc>
                <w:tcPr>
                  <w:tcW w:w="457" w:type="pct"/>
                  <w:tcBorders>
                    <w:top w:val="single" w:color="auto" w:sz="4" w:space="0"/>
                    <w:left w:val="single" w:color="auto" w:sz="4" w:space="0"/>
                    <w:bottom w:val="single" w:color="auto" w:sz="4" w:space="0"/>
                    <w:right w:val="single" w:color="auto" w:sz="4" w:space="0"/>
                  </w:tcBorders>
                  <w:vAlign w:val="center"/>
                </w:tcPr>
                <w:p w14:paraId="4103413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84C982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A9177F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97A7752">
                  <w:pPr>
                    <w:pStyle w:val="149"/>
                    <w:rPr>
                      <w:rFonts w:eastAsia="Times New Roman"/>
                    </w:rPr>
                  </w:pPr>
                  <w:r>
                    <w:rPr>
                      <w:rFonts w:hint="eastAsia" w:ascii="宋体" w:hAnsi="宋体" w:eastAsia="宋体" w:cs="宋体"/>
                    </w:rPr>
                    <w:t>夜间</w:t>
                  </w:r>
                </w:p>
              </w:tc>
            </w:tr>
            <w:tr w14:paraId="45F032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D55CB84">
                  <w:pPr>
                    <w:pStyle w:val="149"/>
                    <w:rPr>
                      <w:rFonts w:eastAsia="Times New Roman"/>
                    </w:rPr>
                  </w:pPr>
                  <w:r>
                    <w:rPr>
                      <w:rFonts w:eastAsia="Times New Roman"/>
                    </w:rPr>
                    <w:t>27</w:t>
                  </w:r>
                </w:p>
              </w:tc>
              <w:tc>
                <w:tcPr>
                  <w:tcW w:w="848" w:type="pct"/>
                  <w:tcBorders>
                    <w:top w:val="single" w:color="auto" w:sz="4" w:space="0"/>
                    <w:left w:val="single" w:color="auto" w:sz="4" w:space="0"/>
                    <w:bottom w:val="single" w:color="auto" w:sz="4" w:space="0"/>
                    <w:right w:val="single" w:color="auto" w:sz="4" w:space="0"/>
                  </w:tcBorders>
                  <w:vAlign w:val="center"/>
                </w:tcPr>
                <w:p w14:paraId="1184EC88">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9BFA00F">
                  <w:pPr>
                    <w:pStyle w:val="149"/>
                    <w:rPr>
                      <w:rFonts w:eastAsia="Times New Roman"/>
                    </w:rPr>
                  </w:pPr>
                  <w:r>
                    <w:rPr>
                      <w:rFonts w:hint="eastAsia" w:eastAsia="Times New Roman"/>
                    </w:rPr>
                    <w:t>84.05</w:t>
                  </w:r>
                </w:p>
              </w:tc>
              <w:tc>
                <w:tcPr>
                  <w:tcW w:w="440" w:type="pct"/>
                  <w:tcBorders>
                    <w:top w:val="single" w:color="auto" w:sz="4" w:space="0"/>
                    <w:left w:val="single" w:color="auto" w:sz="4" w:space="0"/>
                    <w:bottom w:val="single" w:color="auto" w:sz="4" w:space="0"/>
                    <w:right w:val="single" w:color="auto" w:sz="4" w:space="0"/>
                  </w:tcBorders>
                  <w:vAlign w:val="center"/>
                </w:tcPr>
                <w:p w14:paraId="48EABFB0">
                  <w:pPr>
                    <w:pStyle w:val="149"/>
                    <w:rPr>
                      <w:rFonts w:eastAsia="Times New Roman"/>
                    </w:rPr>
                  </w:pPr>
                  <w:r>
                    <w:rPr>
                      <w:rFonts w:hint="eastAsia" w:eastAsia="Times New Roman"/>
                    </w:rPr>
                    <w:t>0.11</w:t>
                  </w:r>
                </w:p>
              </w:tc>
              <w:tc>
                <w:tcPr>
                  <w:tcW w:w="457" w:type="pct"/>
                  <w:tcBorders>
                    <w:top w:val="single" w:color="auto" w:sz="4" w:space="0"/>
                    <w:left w:val="single" w:color="auto" w:sz="4" w:space="0"/>
                    <w:bottom w:val="single" w:color="auto" w:sz="4" w:space="0"/>
                    <w:right w:val="single" w:color="auto" w:sz="4" w:space="0"/>
                  </w:tcBorders>
                  <w:vAlign w:val="center"/>
                </w:tcPr>
                <w:p w14:paraId="3436422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FF92B9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FCF704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DE900E5">
                  <w:pPr>
                    <w:pStyle w:val="149"/>
                    <w:rPr>
                      <w:rFonts w:eastAsia="Times New Roman"/>
                    </w:rPr>
                  </w:pPr>
                  <w:r>
                    <w:rPr>
                      <w:rFonts w:hint="eastAsia" w:ascii="宋体" w:hAnsi="宋体" w:eastAsia="宋体" w:cs="宋体"/>
                    </w:rPr>
                    <w:t>昼间</w:t>
                  </w:r>
                </w:p>
              </w:tc>
            </w:tr>
            <w:tr w14:paraId="13331B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3307063">
                  <w:pPr>
                    <w:pStyle w:val="149"/>
                    <w:rPr>
                      <w:rFonts w:eastAsia="Times New Roman"/>
                    </w:rPr>
                  </w:pPr>
                  <w:r>
                    <w:rPr>
                      <w:rFonts w:eastAsia="Times New Roman"/>
                    </w:rPr>
                    <w:t>28</w:t>
                  </w:r>
                </w:p>
              </w:tc>
              <w:tc>
                <w:tcPr>
                  <w:tcW w:w="848" w:type="pct"/>
                  <w:tcBorders>
                    <w:top w:val="single" w:color="auto" w:sz="4" w:space="0"/>
                    <w:left w:val="single" w:color="auto" w:sz="4" w:space="0"/>
                    <w:bottom w:val="single" w:color="auto" w:sz="4" w:space="0"/>
                    <w:right w:val="single" w:color="auto" w:sz="4" w:space="0"/>
                  </w:tcBorders>
                  <w:vAlign w:val="center"/>
                </w:tcPr>
                <w:p w14:paraId="29ABD583">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6A215B2">
                  <w:pPr>
                    <w:pStyle w:val="149"/>
                    <w:rPr>
                      <w:rFonts w:eastAsia="Times New Roman"/>
                    </w:rPr>
                  </w:pPr>
                  <w:r>
                    <w:rPr>
                      <w:rFonts w:hint="eastAsia" w:eastAsia="Times New Roman"/>
                    </w:rPr>
                    <w:t>84.05</w:t>
                  </w:r>
                </w:p>
              </w:tc>
              <w:tc>
                <w:tcPr>
                  <w:tcW w:w="440" w:type="pct"/>
                  <w:tcBorders>
                    <w:top w:val="single" w:color="auto" w:sz="4" w:space="0"/>
                    <w:left w:val="single" w:color="auto" w:sz="4" w:space="0"/>
                    <w:bottom w:val="single" w:color="auto" w:sz="4" w:space="0"/>
                    <w:right w:val="single" w:color="auto" w:sz="4" w:space="0"/>
                  </w:tcBorders>
                  <w:vAlign w:val="center"/>
                </w:tcPr>
                <w:p w14:paraId="060F0EC5">
                  <w:pPr>
                    <w:pStyle w:val="149"/>
                    <w:rPr>
                      <w:rFonts w:eastAsia="Times New Roman"/>
                    </w:rPr>
                  </w:pPr>
                  <w:r>
                    <w:rPr>
                      <w:rFonts w:hint="eastAsia" w:eastAsia="Times New Roman"/>
                    </w:rPr>
                    <w:t>0.11</w:t>
                  </w:r>
                </w:p>
              </w:tc>
              <w:tc>
                <w:tcPr>
                  <w:tcW w:w="457" w:type="pct"/>
                  <w:tcBorders>
                    <w:top w:val="single" w:color="auto" w:sz="4" w:space="0"/>
                    <w:left w:val="single" w:color="auto" w:sz="4" w:space="0"/>
                    <w:bottom w:val="single" w:color="auto" w:sz="4" w:space="0"/>
                    <w:right w:val="single" w:color="auto" w:sz="4" w:space="0"/>
                  </w:tcBorders>
                  <w:vAlign w:val="center"/>
                </w:tcPr>
                <w:p w14:paraId="5CF327FC">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1F40D69">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3695DF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7F12123">
                  <w:pPr>
                    <w:pStyle w:val="149"/>
                    <w:rPr>
                      <w:rFonts w:eastAsia="Times New Roman"/>
                    </w:rPr>
                  </w:pPr>
                  <w:r>
                    <w:rPr>
                      <w:rFonts w:hint="eastAsia" w:ascii="宋体" w:hAnsi="宋体" w:eastAsia="宋体" w:cs="宋体"/>
                    </w:rPr>
                    <w:t>夜间</w:t>
                  </w:r>
                </w:p>
              </w:tc>
            </w:tr>
            <w:tr w14:paraId="08EB85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F0DE149">
                  <w:pPr>
                    <w:pStyle w:val="149"/>
                    <w:rPr>
                      <w:rFonts w:eastAsia="Times New Roman"/>
                    </w:rPr>
                  </w:pPr>
                  <w:r>
                    <w:rPr>
                      <w:rFonts w:eastAsia="Times New Roman"/>
                    </w:rPr>
                    <w:t>29</w:t>
                  </w:r>
                </w:p>
              </w:tc>
              <w:tc>
                <w:tcPr>
                  <w:tcW w:w="848" w:type="pct"/>
                  <w:tcBorders>
                    <w:top w:val="single" w:color="auto" w:sz="4" w:space="0"/>
                    <w:left w:val="single" w:color="auto" w:sz="4" w:space="0"/>
                    <w:bottom w:val="single" w:color="auto" w:sz="4" w:space="0"/>
                    <w:right w:val="single" w:color="auto" w:sz="4" w:space="0"/>
                  </w:tcBorders>
                  <w:vAlign w:val="center"/>
                </w:tcPr>
                <w:p w14:paraId="54A33F78">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5C455A6">
                  <w:pPr>
                    <w:pStyle w:val="149"/>
                    <w:rPr>
                      <w:rFonts w:eastAsia="Times New Roman"/>
                    </w:rPr>
                  </w:pPr>
                  <w:r>
                    <w:rPr>
                      <w:rFonts w:hint="eastAsia" w:eastAsia="Times New Roman"/>
                    </w:rPr>
                    <w:t>88.41</w:t>
                  </w:r>
                </w:p>
              </w:tc>
              <w:tc>
                <w:tcPr>
                  <w:tcW w:w="440" w:type="pct"/>
                  <w:tcBorders>
                    <w:top w:val="single" w:color="auto" w:sz="4" w:space="0"/>
                    <w:left w:val="single" w:color="auto" w:sz="4" w:space="0"/>
                    <w:bottom w:val="single" w:color="auto" w:sz="4" w:space="0"/>
                    <w:right w:val="single" w:color="auto" w:sz="4" w:space="0"/>
                  </w:tcBorders>
                  <w:vAlign w:val="center"/>
                </w:tcPr>
                <w:p w14:paraId="777D3CB4">
                  <w:pPr>
                    <w:pStyle w:val="149"/>
                    <w:rPr>
                      <w:rFonts w:eastAsia="Times New Roman"/>
                    </w:rPr>
                  </w:pPr>
                  <w:r>
                    <w:rPr>
                      <w:rFonts w:hint="eastAsia" w:eastAsia="Times New Roman"/>
                    </w:rPr>
                    <w:t>-0.41</w:t>
                  </w:r>
                </w:p>
              </w:tc>
              <w:tc>
                <w:tcPr>
                  <w:tcW w:w="457" w:type="pct"/>
                  <w:tcBorders>
                    <w:top w:val="single" w:color="auto" w:sz="4" w:space="0"/>
                    <w:left w:val="single" w:color="auto" w:sz="4" w:space="0"/>
                    <w:bottom w:val="single" w:color="auto" w:sz="4" w:space="0"/>
                    <w:right w:val="single" w:color="auto" w:sz="4" w:space="0"/>
                  </w:tcBorders>
                  <w:vAlign w:val="center"/>
                </w:tcPr>
                <w:p w14:paraId="128896D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060EB6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2D5AE6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0EA54F0">
                  <w:pPr>
                    <w:pStyle w:val="149"/>
                    <w:rPr>
                      <w:rFonts w:eastAsia="Times New Roman"/>
                    </w:rPr>
                  </w:pPr>
                  <w:r>
                    <w:rPr>
                      <w:rFonts w:hint="eastAsia" w:ascii="宋体" w:hAnsi="宋体" w:eastAsia="宋体" w:cs="宋体"/>
                    </w:rPr>
                    <w:t>昼间</w:t>
                  </w:r>
                </w:p>
              </w:tc>
            </w:tr>
            <w:tr w14:paraId="76DA62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E0D878C">
                  <w:pPr>
                    <w:pStyle w:val="149"/>
                    <w:rPr>
                      <w:rFonts w:eastAsia="Times New Roman"/>
                    </w:rPr>
                  </w:pPr>
                  <w:r>
                    <w:rPr>
                      <w:rFonts w:eastAsia="Times New Roman"/>
                    </w:rPr>
                    <w:t>30</w:t>
                  </w:r>
                </w:p>
              </w:tc>
              <w:tc>
                <w:tcPr>
                  <w:tcW w:w="848" w:type="pct"/>
                  <w:tcBorders>
                    <w:top w:val="single" w:color="auto" w:sz="4" w:space="0"/>
                    <w:left w:val="single" w:color="auto" w:sz="4" w:space="0"/>
                    <w:bottom w:val="single" w:color="auto" w:sz="4" w:space="0"/>
                    <w:right w:val="single" w:color="auto" w:sz="4" w:space="0"/>
                  </w:tcBorders>
                  <w:vAlign w:val="center"/>
                </w:tcPr>
                <w:p w14:paraId="026A8EA5">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680D4A5">
                  <w:pPr>
                    <w:pStyle w:val="149"/>
                    <w:rPr>
                      <w:rFonts w:eastAsia="Times New Roman"/>
                    </w:rPr>
                  </w:pPr>
                  <w:r>
                    <w:rPr>
                      <w:rFonts w:hint="eastAsia" w:eastAsia="Times New Roman"/>
                    </w:rPr>
                    <w:t>88.41</w:t>
                  </w:r>
                </w:p>
              </w:tc>
              <w:tc>
                <w:tcPr>
                  <w:tcW w:w="440" w:type="pct"/>
                  <w:tcBorders>
                    <w:top w:val="single" w:color="auto" w:sz="4" w:space="0"/>
                    <w:left w:val="single" w:color="auto" w:sz="4" w:space="0"/>
                    <w:bottom w:val="single" w:color="auto" w:sz="4" w:space="0"/>
                    <w:right w:val="single" w:color="auto" w:sz="4" w:space="0"/>
                  </w:tcBorders>
                  <w:vAlign w:val="center"/>
                </w:tcPr>
                <w:p w14:paraId="6D48385F">
                  <w:pPr>
                    <w:pStyle w:val="149"/>
                    <w:rPr>
                      <w:rFonts w:eastAsia="Times New Roman"/>
                    </w:rPr>
                  </w:pPr>
                  <w:r>
                    <w:rPr>
                      <w:rFonts w:hint="eastAsia" w:eastAsia="Times New Roman"/>
                    </w:rPr>
                    <w:t>-0.41</w:t>
                  </w:r>
                </w:p>
              </w:tc>
              <w:tc>
                <w:tcPr>
                  <w:tcW w:w="457" w:type="pct"/>
                  <w:tcBorders>
                    <w:top w:val="single" w:color="auto" w:sz="4" w:space="0"/>
                    <w:left w:val="single" w:color="auto" w:sz="4" w:space="0"/>
                    <w:bottom w:val="single" w:color="auto" w:sz="4" w:space="0"/>
                    <w:right w:val="single" w:color="auto" w:sz="4" w:space="0"/>
                  </w:tcBorders>
                  <w:vAlign w:val="center"/>
                </w:tcPr>
                <w:p w14:paraId="0A35049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091738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A11A35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4691700">
                  <w:pPr>
                    <w:pStyle w:val="149"/>
                    <w:rPr>
                      <w:rFonts w:eastAsia="Times New Roman"/>
                    </w:rPr>
                  </w:pPr>
                  <w:r>
                    <w:rPr>
                      <w:rFonts w:hint="eastAsia" w:ascii="宋体" w:hAnsi="宋体" w:eastAsia="宋体" w:cs="宋体"/>
                    </w:rPr>
                    <w:t>夜间</w:t>
                  </w:r>
                </w:p>
              </w:tc>
            </w:tr>
            <w:tr w14:paraId="78D89E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A43C0C0">
                  <w:pPr>
                    <w:pStyle w:val="149"/>
                    <w:rPr>
                      <w:rFonts w:eastAsia="Times New Roman"/>
                    </w:rPr>
                  </w:pPr>
                  <w:r>
                    <w:rPr>
                      <w:rFonts w:eastAsia="Times New Roman"/>
                    </w:rPr>
                    <w:t>31</w:t>
                  </w:r>
                </w:p>
              </w:tc>
              <w:tc>
                <w:tcPr>
                  <w:tcW w:w="848" w:type="pct"/>
                  <w:tcBorders>
                    <w:top w:val="single" w:color="auto" w:sz="4" w:space="0"/>
                    <w:left w:val="single" w:color="auto" w:sz="4" w:space="0"/>
                    <w:bottom w:val="single" w:color="auto" w:sz="4" w:space="0"/>
                    <w:right w:val="single" w:color="auto" w:sz="4" w:space="0"/>
                  </w:tcBorders>
                  <w:vAlign w:val="center"/>
                </w:tcPr>
                <w:p w14:paraId="464C0834">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B4B6861">
                  <w:pPr>
                    <w:pStyle w:val="149"/>
                    <w:rPr>
                      <w:rFonts w:eastAsia="Times New Roman"/>
                    </w:rPr>
                  </w:pPr>
                  <w:r>
                    <w:rPr>
                      <w:rFonts w:hint="eastAsia" w:eastAsia="Times New Roman"/>
                    </w:rPr>
                    <w:t>93.03</w:t>
                  </w:r>
                </w:p>
              </w:tc>
              <w:tc>
                <w:tcPr>
                  <w:tcW w:w="440" w:type="pct"/>
                  <w:tcBorders>
                    <w:top w:val="single" w:color="auto" w:sz="4" w:space="0"/>
                    <w:left w:val="single" w:color="auto" w:sz="4" w:space="0"/>
                    <w:bottom w:val="single" w:color="auto" w:sz="4" w:space="0"/>
                    <w:right w:val="single" w:color="auto" w:sz="4" w:space="0"/>
                  </w:tcBorders>
                  <w:vAlign w:val="center"/>
                </w:tcPr>
                <w:p w14:paraId="1B03CEEE">
                  <w:pPr>
                    <w:pStyle w:val="149"/>
                    <w:rPr>
                      <w:rFonts w:eastAsia="Times New Roman"/>
                    </w:rPr>
                  </w:pPr>
                  <w:r>
                    <w:rPr>
                      <w:rFonts w:hint="eastAsia" w:eastAsia="Times New Roman"/>
                    </w:rPr>
                    <w:t>-1.25</w:t>
                  </w:r>
                </w:p>
              </w:tc>
              <w:tc>
                <w:tcPr>
                  <w:tcW w:w="457" w:type="pct"/>
                  <w:tcBorders>
                    <w:top w:val="single" w:color="auto" w:sz="4" w:space="0"/>
                    <w:left w:val="single" w:color="auto" w:sz="4" w:space="0"/>
                    <w:bottom w:val="single" w:color="auto" w:sz="4" w:space="0"/>
                    <w:right w:val="single" w:color="auto" w:sz="4" w:space="0"/>
                  </w:tcBorders>
                  <w:vAlign w:val="center"/>
                </w:tcPr>
                <w:p w14:paraId="5F50CFC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BD70A7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112606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6934FF3">
                  <w:pPr>
                    <w:pStyle w:val="149"/>
                    <w:rPr>
                      <w:rFonts w:eastAsia="Times New Roman"/>
                    </w:rPr>
                  </w:pPr>
                  <w:r>
                    <w:rPr>
                      <w:rFonts w:hint="eastAsia" w:ascii="宋体" w:hAnsi="宋体" w:eastAsia="宋体" w:cs="宋体"/>
                    </w:rPr>
                    <w:t>昼间</w:t>
                  </w:r>
                </w:p>
              </w:tc>
            </w:tr>
            <w:tr w14:paraId="0B4333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2BD44C5">
                  <w:pPr>
                    <w:pStyle w:val="149"/>
                    <w:rPr>
                      <w:rFonts w:eastAsia="Times New Roman"/>
                    </w:rPr>
                  </w:pPr>
                  <w:r>
                    <w:rPr>
                      <w:rFonts w:eastAsia="Times New Roman"/>
                    </w:rPr>
                    <w:t>32</w:t>
                  </w:r>
                </w:p>
              </w:tc>
              <w:tc>
                <w:tcPr>
                  <w:tcW w:w="848" w:type="pct"/>
                  <w:tcBorders>
                    <w:top w:val="single" w:color="auto" w:sz="4" w:space="0"/>
                    <w:left w:val="single" w:color="auto" w:sz="4" w:space="0"/>
                    <w:bottom w:val="single" w:color="auto" w:sz="4" w:space="0"/>
                    <w:right w:val="single" w:color="auto" w:sz="4" w:space="0"/>
                  </w:tcBorders>
                  <w:vAlign w:val="center"/>
                </w:tcPr>
                <w:p w14:paraId="4E3E2B80">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9F4483A">
                  <w:pPr>
                    <w:pStyle w:val="149"/>
                    <w:rPr>
                      <w:rFonts w:eastAsia="Times New Roman"/>
                    </w:rPr>
                  </w:pPr>
                  <w:r>
                    <w:rPr>
                      <w:rFonts w:hint="eastAsia" w:eastAsia="Times New Roman"/>
                    </w:rPr>
                    <w:t>93.03</w:t>
                  </w:r>
                </w:p>
              </w:tc>
              <w:tc>
                <w:tcPr>
                  <w:tcW w:w="440" w:type="pct"/>
                  <w:tcBorders>
                    <w:top w:val="single" w:color="auto" w:sz="4" w:space="0"/>
                    <w:left w:val="single" w:color="auto" w:sz="4" w:space="0"/>
                    <w:bottom w:val="single" w:color="auto" w:sz="4" w:space="0"/>
                    <w:right w:val="single" w:color="auto" w:sz="4" w:space="0"/>
                  </w:tcBorders>
                  <w:vAlign w:val="center"/>
                </w:tcPr>
                <w:p w14:paraId="5BC1BE52">
                  <w:pPr>
                    <w:pStyle w:val="149"/>
                    <w:rPr>
                      <w:rFonts w:eastAsia="Times New Roman"/>
                    </w:rPr>
                  </w:pPr>
                  <w:r>
                    <w:rPr>
                      <w:rFonts w:hint="eastAsia" w:eastAsia="Times New Roman"/>
                    </w:rPr>
                    <w:t>-1.25</w:t>
                  </w:r>
                </w:p>
              </w:tc>
              <w:tc>
                <w:tcPr>
                  <w:tcW w:w="457" w:type="pct"/>
                  <w:tcBorders>
                    <w:top w:val="single" w:color="auto" w:sz="4" w:space="0"/>
                    <w:left w:val="single" w:color="auto" w:sz="4" w:space="0"/>
                    <w:bottom w:val="single" w:color="auto" w:sz="4" w:space="0"/>
                    <w:right w:val="single" w:color="auto" w:sz="4" w:space="0"/>
                  </w:tcBorders>
                  <w:vAlign w:val="center"/>
                </w:tcPr>
                <w:p w14:paraId="03062FC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68238C9">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A6B8478">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DCC7D8B">
                  <w:pPr>
                    <w:pStyle w:val="149"/>
                    <w:rPr>
                      <w:rFonts w:eastAsia="Times New Roman"/>
                    </w:rPr>
                  </w:pPr>
                  <w:r>
                    <w:rPr>
                      <w:rFonts w:hint="eastAsia" w:ascii="宋体" w:hAnsi="宋体" w:eastAsia="宋体" w:cs="宋体"/>
                    </w:rPr>
                    <w:t>夜间</w:t>
                  </w:r>
                </w:p>
              </w:tc>
            </w:tr>
            <w:tr w14:paraId="3F61E8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F9659B0">
                  <w:pPr>
                    <w:pStyle w:val="149"/>
                    <w:rPr>
                      <w:rFonts w:eastAsia="Times New Roman"/>
                    </w:rPr>
                  </w:pPr>
                  <w:r>
                    <w:rPr>
                      <w:rFonts w:eastAsia="Times New Roman"/>
                    </w:rPr>
                    <w:t>33</w:t>
                  </w:r>
                </w:p>
              </w:tc>
              <w:tc>
                <w:tcPr>
                  <w:tcW w:w="848" w:type="pct"/>
                  <w:tcBorders>
                    <w:top w:val="single" w:color="auto" w:sz="4" w:space="0"/>
                    <w:left w:val="single" w:color="auto" w:sz="4" w:space="0"/>
                    <w:bottom w:val="single" w:color="auto" w:sz="4" w:space="0"/>
                    <w:right w:val="single" w:color="auto" w:sz="4" w:space="0"/>
                  </w:tcBorders>
                  <w:vAlign w:val="center"/>
                </w:tcPr>
                <w:p w14:paraId="5B95571E">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68523C8">
                  <w:pPr>
                    <w:pStyle w:val="149"/>
                    <w:rPr>
                      <w:rFonts w:eastAsia="Times New Roman"/>
                    </w:rPr>
                  </w:pPr>
                  <w:r>
                    <w:rPr>
                      <w:rFonts w:hint="eastAsia" w:eastAsia="Times New Roman"/>
                    </w:rPr>
                    <w:t>98.36</w:t>
                  </w:r>
                </w:p>
              </w:tc>
              <w:tc>
                <w:tcPr>
                  <w:tcW w:w="440" w:type="pct"/>
                  <w:tcBorders>
                    <w:top w:val="single" w:color="auto" w:sz="4" w:space="0"/>
                    <w:left w:val="single" w:color="auto" w:sz="4" w:space="0"/>
                    <w:bottom w:val="single" w:color="auto" w:sz="4" w:space="0"/>
                    <w:right w:val="single" w:color="auto" w:sz="4" w:space="0"/>
                  </w:tcBorders>
                  <w:vAlign w:val="center"/>
                </w:tcPr>
                <w:p w14:paraId="24EB42E2">
                  <w:pPr>
                    <w:pStyle w:val="149"/>
                    <w:rPr>
                      <w:rFonts w:eastAsia="Times New Roman"/>
                    </w:rPr>
                  </w:pPr>
                  <w:r>
                    <w:rPr>
                      <w:rFonts w:hint="eastAsia" w:eastAsia="Times New Roman"/>
                    </w:rPr>
                    <w:t>-2.25</w:t>
                  </w:r>
                </w:p>
              </w:tc>
              <w:tc>
                <w:tcPr>
                  <w:tcW w:w="457" w:type="pct"/>
                  <w:tcBorders>
                    <w:top w:val="single" w:color="auto" w:sz="4" w:space="0"/>
                    <w:left w:val="single" w:color="auto" w:sz="4" w:space="0"/>
                    <w:bottom w:val="single" w:color="auto" w:sz="4" w:space="0"/>
                    <w:right w:val="single" w:color="auto" w:sz="4" w:space="0"/>
                  </w:tcBorders>
                  <w:vAlign w:val="center"/>
                </w:tcPr>
                <w:p w14:paraId="749F894D">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9ABC43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E55DC2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C7AD0F4">
                  <w:pPr>
                    <w:pStyle w:val="149"/>
                    <w:rPr>
                      <w:rFonts w:eastAsia="Times New Roman"/>
                    </w:rPr>
                  </w:pPr>
                  <w:r>
                    <w:rPr>
                      <w:rFonts w:hint="eastAsia" w:ascii="宋体" w:hAnsi="宋体" w:eastAsia="宋体" w:cs="宋体"/>
                    </w:rPr>
                    <w:t>昼间</w:t>
                  </w:r>
                </w:p>
              </w:tc>
            </w:tr>
            <w:tr w14:paraId="7D0130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BA237E2">
                  <w:pPr>
                    <w:pStyle w:val="149"/>
                    <w:rPr>
                      <w:rFonts w:eastAsia="Times New Roman"/>
                    </w:rPr>
                  </w:pPr>
                  <w:r>
                    <w:rPr>
                      <w:rFonts w:eastAsia="Times New Roman"/>
                    </w:rPr>
                    <w:t>34</w:t>
                  </w:r>
                </w:p>
              </w:tc>
              <w:tc>
                <w:tcPr>
                  <w:tcW w:w="848" w:type="pct"/>
                  <w:tcBorders>
                    <w:top w:val="single" w:color="auto" w:sz="4" w:space="0"/>
                    <w:left w:val="single" w:color="auto" w:sz="4" w:space="0"/>
                    <w:bottom w:val="single" w:color="auto" w:sz="4" w:space="0"/>
                    <w:right w:val="single" w:color="auto" w:sz="4" w:space="0"/>
                  </w:tcBorders>
                  <w:vAlign w:val="center"/>
                </w:tcPr>
                <w:p w14:paraId="50E924C3">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1CC3E84">
                  <w:pPr>
                    <w:pStyle w:val="149"/>
                    <w:rPr>
                      <w:rFonts w:eastAsia="Times New Roman"/>
                    </w:rPr>
                  </w:pPr>
                  <w:r>
                    <w:rPr>
                      <w:rFonts w:hint="eastAsia" w:eastAsia="Times New Roman"/>
                    </w:rPr>
                    <w:t>98.36</w:t>
                  </w:r>
                </w:p>
              </w:tc>
              <w:tc>
                <w:tcPr>
                  <w:tcW w:w="440" w:type="pct"/>
                  <w:tcBorders>
                    <w:top w:val="single" w:color="auto" w:sz="4" w:space="0"/>
                    <w:left w:val="single" w:color="auto" w:sz="4" w:space="0"/>
                    <w:bottom w:val="single" w:color="auto" w:sz="4" w:space="0"/>
                    <w:right w:val="single" w:color="auto" w:sz="4" w:space="0"/>
                  </w:tcBorders>
                  <w:vAlign w:val="center"/>
                </w:tcPr>
                <w:p w14:paraId="78DE0ACD">
                  <w:pPr>
                    <w:pStyle w:val="149"/>
                    <w:rPr>
                      <w:rFonts w:eastAsia="Times New Roman"/>
                    </w:rPr>
                  </w:pPr>
                  <w:r>
                    <w:rPr>
                      <w:rFonts w:hint="eastAsia" w:eastAsia="Times New Roman"/>
                    </w:rPr>
                    <w:t>-2.25</w:t>
                  </w:r>
                </w:p>
              </w:tc>
              <w:tc>
                <w:tcPr>
                  <w:tcW w:w="457" w:type="pct"/>
                  <w:tcBorders>
                    <w:top w:val="single" w:color="auto" w:sz="4" w:space="0"/>
                    <w:left w:val="single" w:color="auto" w:sz="4" w:space="0"/>
                    <w:bottom w:val="single" w:color="auto" w:sz="4" w:space="0"/>
                    <w:right w:val="single" w:color="auto" w:sz="4" w:space="0"/>
                  </w:tcBorders>
                  <w:vAlign w:val="center"/>
                </w:tcPr>
                <w:p w14:paraId="07CD684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10204D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2DD684A">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A6EC591">
                  <w:pPr>
                    <w:pStyle w:val="149"/>
                    <w:rPr>
                      <w:rFonts w:eastAsia="Times New Roman"/>
                    </w:rPr>
                  </w:pPr>
                  <w:r>
                    <w:rPr>
                      <w:rFonts w:hint="eastAsia" w:ascii="宋体" w:hAnsi="宋体" w:eastAsia="宋体" w:cs="宋体"/>
                    </w:rPr>
                    <w:t>夜间</w:t>
                  </w:r>
                </w:p>
              </w:tc>
            </w:tr>
            <w:tr w14:paraId="1BD69A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BD72740">
                  <w:pPr>
                    <w:pStyle w:val="149"/>
                    <w:rPr>
                      <w:rFonts w:eastAsia="Times New Roman"/>
                    </w:rPr>
                  </w:pPr>
                  <w:r>
                    <w:rPr>
                      <w:rFonts w:eastAsia="Times New Roman"/>
                    </w:rPr>
                    <w:t>35</w:t>
                  </w:r>
                </w:p>
              </w:tc>
              <w:tc>
                <w:tcPr>
                  <w:tcW w:w="848" w:type="pct"/>
                  <w:tcBorders>
                    <w:top w:val="single" w:color="auto" w:sz="4" w:space="0"/>
                    <w:left w:val="single" w:color="auto" w:sz="4" w:space="0"/>
                    <w:bottom w:val="single" w:color="auto" w:sz="4" w:space="0"/>
                    <w:right w:val="single" w:color="auto" w:sz="4" w:space="0"/>
                  </w:tcBorders>
                  <w:vAlign w:val="center"/>
                </w:tcPr>
                <w:p w14:paraId="5F7B889E">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9AD9B3F">
                  <w:pPr>
                    <w:pStyle w:val="149"/>
                    <w:rPr>
                      <w:rFonts w:eastAsia="Times New Roman"/>
                    </w:rPr>
                  </w:pPr>
                  <w:r>
                    <w:rPr>
                      <w:rFonts w:hint="eastAsia" w:eastAsia="Times New Roman"/>
                    </w:rPr>
                    <w:t>103.21</w:t>
                  </w:r>
                </w:p>
              </w:tc>
              <w:tc>
                <w:tcPr>
                  <w:tcW w:w="440" w:type="pct"/>
                  <w:tcBorders>
                    <w:top w:val="single" w:color="auto" w:sz="4" w:space="0"/>
                    <w:left w:val="single" w:color="auto" w:sz="4" w:space="0"/>
                    <w:bottom w:val="single" w:color="auto" w:sz="4" w:space="0"/>
                    <w:right w:val="single" w:color="auto" w:sz="4" w:space="0"/>
                  </w:tcBorders>
                  <w:vAlign w:val="center"/>
                </w:tcPr>
                <w:p w14:paraId="26BD4FFB">
                  <w:pPr>
                    <w:pStyle w:val="149"/>
                    <w:rPr>
                      <w:rFonts w:eastAsia="Times New Roman"/>
                    </w:rPr>
                  </w:pPr>
                  <w:r>
                    <w:rPr>
                      <w:rFonts w:hint="eastAsia" w:eastAsia="Times New Roman"/>
                    </w:rPr>
                    <w:t>-2.85</w:t>
                  </w:r>
                </w:p>
              </w:tc>
              <w:tc>
                <w:tcPr>
                  <w:tcW w:w="457" w:type="pct"/>
                  <w:tcBorders>
                    <w:top w:val="single" w:color="auto" w:sz="4" w:space="0"/>
                    <w:left w:val="single" w:color="auto" w:sz="4" w:space="0"/>
                    <w:bottom w:val="single" w:color="auto" w:sz="4" w:space="0"/>
                    <w:right w:val="single" w:color="auto" w:sz="4" w:space="0"/>
                  </w:tcBorders>
                  <w:vAlign w:val="center"/>
                </w:tcPr>
                <w:p w14:paraId="2ADC9FA3">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8B0166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A9A58F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7C5C11A">
                  <w:pPr>
                    <w:pStyle w:val="149"/>
                    <w:rPr>
                      <w:rFonts w:eastAsia="Times New Roman"/>
                    </w:rPr>
                  </w:pPr>
                  <w:r>
                    <w:rPr>
                      <w:rFonts w:hint="eastAsia" w:ascii="宋体" w:hAnsi="宋体" w:eastAsia="宋体" w:cs="宋体"/>
                    </w:rPr>
                    <w:t>昼间</w:t>
                  </w:r>
                </w:p>
              </w:tc>
            </w:tr>
            <w:tr w14:paraId="32DC91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BCC6624">
                  <w:pPr>
                    <w:pStyle w:val="149"/>
                    <w:rPr>
                      <w:rFonts w:eastAsia="Times New Roman"/>
                    </w:rPr>
                  </w:pPr>
                  <w:r>
                    <w:rPr>
                      <w:rFonts w:eastAsia="Times New Roman"/>
                    </w:rPr>
                    <w:t>36</w:t>
                  </w:r>
                </w:p>
              </w:tc>
              <w:tc>
                <w:tcPr>
                  <w:tcW w:w="848" w:type="pct"/>
                  <w:tcBorders>
                    <w:top w:val="single" w:color="auto" w:sz="4" w:space="0"/>
                    <w:left w:val="single" w:color="auto" w:sz="4" w:space="0"/>
                    <w:bottom w:val="single" w:color="auto" w:sz="4" w:space="0"/>
                    <w:right w:val="single" w:color="auto" w:sz="4" w:space="0"/>
                  </w:tcBorders>
                  <w:vAlign w:val="center"/>
                </w:tcPr>
                <w:p w14:paraId="108C0C0A">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222B847">
                  <w:pPr>
                    <w:pStyle w:val="149"/>
                    <w:rPr>
                      <w:rFonts w:eastAsia="Times New Roman"/>
                    </w:rPr>
                  </w:pPr>
                  <w:r>
                    <w:rPr>
                      <w:rFonts w:hint="eastAsia" w:eastAsia="Times New Roman"/>
                    </w:rPr>
                    <w:t>103.21</w:t>
                  </w:r>
                </w:p>
              </w:tc>
              <w:tc>
                <w:tcPr>
                  <w:tcW w:w="440" w:type="pct"/>
                  <w:tcBorders>
                    <w:top w:val="single" w:color="auto" w:sz="4" w:space="0"/>
                    <w:left w:val="single" w:color="auto" w:sz="4" w:space="0"/>
                    <w:bottom w:val="single" w:color="auto" w:sz="4" w:space="0"/>
                    <w:right w:val="single" w:color="auto" w:sz="4" w:space="0"/>
                  </w:tcBorders>
                  <w:vAlign w:val="center"/>
                </w:tcPr>
                <w:p w14:paraId="1E4FC5CA">
                  <w:pPr>
                    <w:pStyle w:val="149"/>
                    <w:rPr>
                      <w:rFonts w:eastAsia="Times New Roman"/>
                    </w:rPr>
                  </w:pPr>
                  <w:r>
                    <w:rPr>
                      <w:rFonts w:hint="eastAsia" w:eastAsia="Times New Roman"/>
                    </w:rPr>
                    <w:t>-2.85</w:t>
                  </w:r>
                </w:p>
              </w:tc>
              <w:tc>
                <w:tcPr>
                  <w:tcW w:w="457" w:type="pct"/>
                  <w:tcBorders>
                    <w:top w:val="single" w:color="auto" w:sz="4" w:space="0"/>
                    <w:left w:val="single" w:color="auto" w:sz="4" w:space="0"/>
                    <w:bottom w:val="single" w:color="auto" w:sz="4" w:space="0"/>
                    <w:right w:val="single" w:color="auto" w:sz="4" w:space="0"/>
                  </w:tcBorders>
                  <w:vAlign w:val="center"/>
                </w:tcPr>
                <w:p w14:paraId="134FE7AC">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11D4668">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93E0DC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CA9608C">
                  <w:pPr>
                    <w:pStyle w:val="149"/>
                    <w:rPr>
                      <w:rFonts w:eastAsia="Times New Roman"/>
                    </w:rPr>
                  </w:pPr>
                  <w:r>
                    <w:rPr>
                      <w:rFonts w:hint="eastAsia" w:ascii="宋体" w:hAnsi="宋体" w:eastAsia="宋体" w:cs="宋体"/>
                    </w:rPr>
                    <w:t>夜间</w:t>
                  </w:r>
                </w:p>
              </w:tc>
            </w:tr>
            <w:tr w14:paraId="50261D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D416EB4">
                  <w:pPr>
                    <w:pStyle w:val="149"/>
                    <w:rPr>
                      <w:rFonts w:eastAsia="Times New Roman"/>
                    </w:rPr>
                  </w:pPr>
                  <w:r>
                    <w:rPr>
                      <w:rFonts w:eastAsia="Times New Roman"/>
                    </w:rPr>
                    <w:t>37</w:t>
                  </w:r>
                </w:p>
              </w:tc>
              <w:tc>
                <w:tcPr>
                  <w:tcW w:w="848" w:type="pct"/>
                  <w:tcBorders>
                    <w:top w:val="single" w:color="auto" w:sz="4" w:space="0"/>
                    <w:left w:val="single" w:color="auto" w:sz="4" w:space="0"/>
                    <w:bottom w:val="single" w:color="auto" w:sz="4" w:space="0"/>
                    <w:right w:val="single" w:color="auto" w:sz="4" w:space="0"/>
                  </w:tcBorders>
                  <w:vAlign w:val="center"/>
                </w:tcPr>
                <w:p w14:paraId="761D8548">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B88A74B">
                  <w:pPr>
                    <w:pStyle w:val="149"/>
                    <w:rPr>
                      <w:rFonts w:eastAsia="Times New Roman"/>
                    </w:rPr>
                  </w:pPr>
                  <w:r>
                    <w:rPr>
                      <w:rFonts w:hint="eastAsia" w:eastAsia="Times New Roman"/>
                    </w:rPr>
                    <w:t>111.76</w:t>
                  </w:r>
                </w:p>
              </w:tc>
              <w:tc>
                <w:tcPr>
                  <w:tcW w:w="440" w:type="pct"/>
                  <w:tcBorders>
                    <w:top w:val="single" w:color="auto" w:sz="4" w:space="0"/>
                    <w:left w:val="single" w:color="auto" w:sz="4" w:space="0"/>
                    <w:bottom w:val="single" w:color="auto" w:sz="4" w:space="0"/>
                    <w:right w:val="single" w:color="auto" w:sz="4" w:space="0"/>
                  </w:tcBorders>
                  <w:vAlign w:val="center"/>
                </w:tcPr>
                <w:p w14:paraId="248CB7D5">
                  <w:pPr>
                    <w:pStyle w:val="149"/>
                    <w:rPr>
                      <w:rFonts w:eastAsia="Times New Roman"/>
                    </w:rPr>
                  </w:pPr>
                  <w:r>
                    <w:rPr>
                      <w:rFonts w:hint="eastAsia" w:eastAsia="Times New Roman"/>
                    </w:rPr>
                    <w:t>-3.75</w:t>
                  </w:r>
                </w:p>
              </w:tc>
              <w:tc>
                <w:tcPr>
                  <w:tcW w:w="457" w:type="pct"/>
                  <w:tcBorders>
                    <w:top w:val="single" w:color="auto" w:sz="4" w:space="0"/>
                    <w:left w:val="single" w:color="auto" w:sz="4" w:space="0"/>
                    <w:bottom w:val="single" w:color="auto" w:sz="4" w:space="0"/>
                    <w:right w:val="single" w:color="auto" w:sz="4" w:space="0"/>
                  </w:tcBorders>
                  <w:vAlign w:val="center"/>
                </w:tcPr>
                <w:p w14:paraId="2662B61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9030AB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AD01DD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8D1CC87">
                  <w:pPr>
                    <w:pStyle w:val="149"/>
                    <w:rPr>
                      <w:rFonts w:eastAsia="Times New Roman"/>
                    </w:rPr>
                  </w:pPr>
                  <w:r>
                    <w:rPr>
                      <w:rFonts w:hint="eastAsia" w:ascii="宋体" w:hAnsi="宋体" w:eastAsia="宋体" w:cs="宋体"/>
                    </w:rPr>
                    <w:t>昼间</w:t>
                  </w:r>
                </w:p>
              </w:tc>
            </w:tr>
            <w:tr w14:paraId="6C6742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3309ADB">
                  <w:pPr>
                    <w:pStyle w:val="149"/>
                    <w:rPr>
                      <w:rFonts w:eastAsia="Times New Roman"/>
                    </w:rPr>
                  </w:pPr>
                  <w:r>
                    <w:rPr>
                      <w:rFonts w:eastAsia="Times New Roman"/>
                    </w:rPr>
                    <w:t>38</w:t>
                  </w:r>
                </w:p>
              </w:tc>
              <w:tc>
                <w:tcPr>
                  <w:tcW w:w="848" w:type="pct"/>
                  <w:tcBorders>
                    <w:top w:val="single" w:color="auto" w:sz="4" w:space="0"/>
                    <w:left w:val="single" w:color="auto" w:sz="4" w:space="0"/>
                    <w:bottom w:val="single" w:color="auto" w:sz="4" w:space="0"/>
                    <w:right w:val="single" w:color="auto" w:sz="4" w:space="0"/>
                  </w:tcBorders>
                  <w:vAlign w:val="center"/>
                </w:tcPr>
                <w:p w14:paraId="49E2F4A0">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66C6969">
                  <w:pPr>
                    <w:pStyle w:val="149"/>
                    <w:rPr>
                      <w:rFonts w:eastAsia="Times New Roman"/>
                    </w:rPr>
                  </w:pPr>
                  <w:r>
                    <w:rPr>
                      <w:rFonts w:hint="eastAsia" w:eastAsia="Times New Roman"/>
                    </w:rPr>
                    <w:t>111.76</w:t>
                  </w:r>
                </w:p>
              </w:tc>
              <w:tc>
                <w:tcPr>
                  <w:tcW w:w="440" w:type="pct"/>
                  <w:tcBorders>
                    <w:top w:val="single" w:color="auto" w:sz="4" w:space="0"/>
                    <w:left w:val="single" w:color="auto" w:sz="4" w:space="0"/>
                    <w:bottom w:val="single" w:color="auto" w:sz="4" w:space="0"/>
                    <w:right w:val="single" w:color="auto" w:sz="4" w:space="0"/>
                  </w:tcBorders>
                  <w:vAlign w:val="center"/>
                </w:tcPr>
                <w:p w14:paraId="1BE47F29">
                  <w:pPr>
                    <w:pStyle w:val="149"/>
                    <w:rPr>
                      <w:rFonts w:eastAsia="Times New Roman"/>
                    </w:rPr>
                  </w:pPr>
                  <w:r>
                    <w:rPr>
                      <w:rFonts w:hint="eastAsia" w:eastAsia="Times New Roman"/>
                    </w:rPr>
                    <w:t>-3.75</w:t>
                  </w:r>
                </w:p>
              </w:tc>
              <w:tc>
                <w:tcPr>
                  <w:tcW w:w="457" w:type="pct"/>
                  <w:tcBorders>
                    <w:top w:val="single" w:color="auto" w:sz="4" w:space="0"/>
                    <w:left w:val="single" w:color="auto" w:sz="4" w:space="0"/>
                    <w:bottom w:val="single" w:color="auto" w:sz="4" w:space="0"/>
                    <w:right w:val="single" w:color="auto" w:sz="4" w:space="0"/>
                  </w:tcBorders>
                  <w:vAlign w:val="center"/>
                </w:tcPr>
                <w:p w14:paraId="2AF81CD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7354C1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4A859E2">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D57D92A">
                  <w:pPr>
                    <w:pStyle w:val="149"/>
                    <w:rPr>
                      <w:rFonts w:eastAsia="Times New Roman"/>
                    </w:rPr>
                  </w:pPr>
                  <w:r>
                    <w:rPr>
                      <w:rFonts w:hint="eastAsia" w:ascii="宋体" w:hAnsi="宋体" w:eastAsia="宋体" w:cs="宋体"/>
                    </w:rPr>
                    <w:t>夜间</w:t>
                  </w:r>
                </w:p>
              </w:tc>
            </w:tr>
            <w:tr w14:paraId="44073C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086F15B">
                  <w:pPr>
                    <w:pStyle w:val="149"/>
                    <w:rPr>
                      <w:rFonts w:eastAsia="Times New Roman"/>
                    </w:rPr>
                  </w:pPr>
                  <w:r>
                    <w:rPr>
                      <w:rFonts w:eastAsia="Times New Roman"/>
                    </w:rPr>
                    <w:t>39</w:t>
                  </w:r>
                </w:p>
              </w:tc>
              <w:tc>
                <w:tcPr>
                  <w:tcW w:w="848" w:type="pct"/>
                  <w:tcBorders>
                    <w:top w:val="single" w:color="auto" w:sz="4" w:space="0"/>
                    <w:left w:val="single" w:color="auto" w:sz="4" w:space="0"/>
                    <w:bottom w:val="single" w:color="auto" w:sz="4" w:space="0"/>
                    <w:right w:val="single" w:color="auto" w:sz="4" w:space="0"/>
                  </w:tcBorders>
                  <w:vAlign w:val="center"/>
                </w:tcPr>
                <w:p w14:paraId="27DA79B7">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EDC689E">
                  <w:pPr>
                    <w:pStyle w:val="149"/>
                    <w:rPr>
                      <w:rFonts w:eastAsia="Times New Roman"/>
                    </w:rPr>
                  </w:pPr>
                  <w:r>
                    <w:rPr>
                      <w:rFonts w:hint="eastAsia" w:eastAsia="Times New Roman"/>
                    </w:rPr>
                    <w:t>116.3</w:t>
                  </w:r>
                </w:p>
              </w:tc>
              <w:tc>
                <w:tcPr>
                  <w:tcW w:w="440" w:type="pct"/>
                  <w:tcBorders>
                    <w:top w:val="single" w:color="auto" w:sz="4" w:space="0"/>
                    <w:left w:val="single" w:color="auto" w:sz="4" w:space="0"/>
                    <w:bottom w:val="single" w:color="auto" w:sz="4" w:space="0"/>
                    <w:right w:val="single" w:color="auto" w:sz="4" w:space="0"/>
                  </w:tcBorders>
                  <w:vAlign w:val="center"/>
                </w:tcPr>
                <w:p w14:paraId="3426D2AC">
                  <w:pPr>
                    <w:pStyle w:val="149"/>
                    <w:rPr>
                      <w:rFonts w:eastAsia="Times New Roman"/>
                    </w:rPr>
                  </w:pPr>
                  <w:r>
                    <w:rPr>
                      <w:rFonts w:hint="eastAsia" w:eastAsia="Times New Roman"/>
                    </w:rPr>
                    <w:t>-4.37</w:t>
                  </w:r>
                </w:p>
              </w:tc>
              <w:tc>
                <w:tcPr>
                  <w:tcW w:w="457" w:type="pct"/>
                  <w:tcBorders>
                    <w:top w:val="single" w:color="auto" w:sz="4" w:space="0"/>
                    <w:left w:val="single" w:color="auto" w:sz="4" w:space="0"/>
                    <w:bottom w:val="single" w:color="auto" w:sz="4" w:space="0"/>
                    <w:right w:val="single" w:color="auto" w:sz="4" w:space="0"/>
                  </w:tcBorders>
                  <w:vAlign w:val="center"/>
                </w:tcPr>
                <w:p w14:paraId="47AE3B1D">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A7E402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A47128F">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D90F181">
                  <w:pPr>
                    <w:pStyle w:val="149"/>
                    <w:rPr>
                      <w:rFonts w:eastAsia="Times New Roman"/>
                    </w:rPr>
                  </w:pPr>
                  <w:r>
                    <w:rPr>
                      <w:rFonts w:hint="eastAsia" w:ascii="宋体" w:hAnsi="宋体" w:eastAsia="宋体" w:cs="宋体"/>
                    </w:rPr>
                    <w:t>昼间</w:t>
                  </w:r>
                </w:p>
              </w:tc>
            </w:tr>
            <w:tr w14:paraId="1D4D9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8891656">
                  <w:pPr>
                    <w:pStyle w:val="149"/>
                    <w:rPr>
                      <w:rFonts w:eastAsia="Times New Roman"/>
                    </w:rPr>
                  </w:pPr>
                  <w:r>
                    <w:rPr>
                      <w:rFonts w:eastAsia="Times New Roman"/>
                    </w:rPr>
                    <w:t>40</w:t>
                  </w:r>
                </w:p>
              </w:tc>
              <w:tc>
                <w:tcPr>
                  <w:tcW w:w="848" w:type="pct"/>
                  <w:tcBorders>
                    <w:top w:val="single" w:color="auto" w:sz="4" w:space="0"/>
                    <w:left w:val="single" w:color="auto" w:sz="4" w:space="0"/>
                    <w:bottom w:val="single" w:color="auto" w:sz="4" w:space="0"/>
                    <w:right w:val="single" w:color="auto" w:sz="4" w:space="0"/>
                  </w:tcBorders>
                  <w:vAlign w:val="center"/>
                </w:tcPr>
                <w:p w14:paraId="576F3E00">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FF4B200">
                  <w:pPr>
                    <w:pStyle w:val="149"/>
                    <w:rPr>
                      <w:rFonts w:eastAsia="Times New Roman"/>
                    </w:rPr>
                  </w:pPr>
                  <w:r>
                    <w:rPr>
                      <w:rFonts w:hint="eastAsia" w:eastAsia="Times New Roman"/>
                    </w:rPr>
                    <w:t>116.3</w:t>
                  </w:r>
                </w:p>
              </w:tc>
              <w:tc>
                <w:tcPr>
                  <w:tcW w:w="440" w:type="pct"/>
                  <w:tcBorders>
                    <w:top w:val="single" w:color="auto" w:sz="4" w:space="0"/>
                    <w:left w:val="single" w:color="auto" w:sz="4" w:space="0"/>
                    <w:bottom w:val="single" w:color="auto" w:sz="4" w:space="0"/>
                    <w:right w:val="single" w:color="auto" w:sz="4" w:space="0"/>
                  </w:tcBorders>
                  <w:vAlign w:val="center"/>
                </w:tcPr>
                <w:p w14:paraId="21A59B87">
                  <w:pPr>
                    <w:pStyle w:val="149"/>
                    <w:rPr>
                      <w:rFonts w:eastAsia="Times New Roman"/>
                    </w:rPr>
                  </w:pPr>
                  <w:r>
                    <w:rPr>
                      <w:rFonts w:hint="eastAsia" w:eastAsia="Times New Roman"/>
                    </w:rPr>
                    <w:t>-4.37</w:t>
                  </w:r>
                </w:p>
              </w:tc>
              <w:tc>
                <w:tcPr>
                  <w:tcW w:w="457" w:type="pct"/>
                  <w:tcBorders>
                    <w:top w:val="single" w:color="auto" w:sz="4" w:space="0"/>
                    <w:left w:val="single" w:color="auto" w:sz="4" w:space="0"/>
                    <w:bottom w:val="single" w:color="auto" w:sz="4" w:space="0"/>
                    <w:right w:val="single" w:color="auto" w:sz="4" w:space="0"/>
                  </w:tcBorders>
                  <w:vAlign w:val="center"/>
                </w:tcPr>
                <w:p w14:paraId="2C70331C">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B914B7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108C62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60222FD">
                  <w:pPr>
                    <w:pStyle w:val="149"/>
                    <w:rPr>
                      <w:rFonts w:eastAsia="Times New Roman"/>
                    </w:rPr>
                  </w:pPr>
                  <w:r>
                    <w:rPr>
                      <w:rFonts w:hint="eastAsia" w:ascii="宋体" w:hAnsi="宋体" w:eastAsia="宋体" w:cs="宋体"/>
                    </w:rPr>
                    <w:t>夜间</w:t>
                  </w:r>
                </w:p>
              </w:tc>
            </w:tr>
            <w:tr w14:paraId="030E5A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2854B41">
                  <w:pPr>
                    <w:pStyle w:val="149"/>
                    <w:rPr>
                      <w:rFonts w:eastAsia="Times New Roman"/>
                    </w:rPr>
                  </w:pPr>
                  <w:r>
                    <w:rPr>
                      <w:rFonts w:eastAsia="Times New Roman"/>
                    </w:rPr>
                    <w:t>41</w:t>
                  </w:r>
                </w:p>
              </w:tc>
              <w:tc>
                <w:tcPr>
                  <w:tcW w:w="848" w:type="pct"/>
                  <w:tcBorders>
                    <w:top w:val="single" w:color="auto" w:sz="4" w:space="0"/>
                    <w:left w:val="single" w:color="auto" w:sz="4" w:space="0"/>
                    <w:bottom w:val="single" w:color="auto" w:sz="4" w:space="0"/>
                    <w:right w:val="single" w:color="auto" w:sz="4" w:space="0"/>
                  </w:tcBorders>
                  <w:vAlign w:val="center"/>
                </w:tcPr>
                <w:p w14:paraId="2530A8D4">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019EA40">
                  <w:pPr>
                    <w:pStyle w:val="149"/>
                    <w:rPr>
                      <w:rFonts w:eastAsia="Times New Roman"/>
                    </w:rPr>
                  </w:pPr>
                  <w:r>
                    <w:rPr>
                      <w:rFonts w:hint="eastAsia" w:eastAsia="Times New Roman"/>
                    </w:rPr>
                    <w:t>55.62</w:t>
                  </w:r>
                </w:p>
              </w:tc>
              <w:tc>
                <w:tcPr>
                  <w:tcW w:w="440" w:type="pct"/>
                  <w:tcBorders>
                    <w:top w:val="single" w:color="auto" w:sz="4" w:space="0"/>
                    <w:left w:val="single" w:color="auto" w:sz="4" w:space="0"/>
                    <w:bottom w:val="single" w:color="auto" w:sz="4" w:space="0"/>
                    <w:right w:val="single" w:color="auto" w:sz="4" w:space="0"/>
                  </w:tcBorders>
                  <w:vAlign w:val="center"/>
                </w:tcPr>
                <w:p w14:paraId="1E0519A1">
                  <w:pPr>
                    <w:pStyle w:val="149"/>
                    <w:rPr>
                      <w:rFonts w:eastAsia="Times New Roman"/>
                    </w:rPr>
                  </w:pPr>
                  <w:r>
                    <w:rPr>
                      <w:rFonts w:hint="eastAsia" w:eastAsia="Times New Roman"/>
                    </w:rPr>
                    <w:t>22.12</w:t>
                  </w:r>
                </w:p>
              </w:tc>
              <w:tc>
                <w:tcPr>
                  <w:tcW w:w="457" w:type="pct"/>
                  <w:tcBorders>
                    <w:top w:val="single" w:color="auto" w:sz="4" w:space="0"/>
                    <w:left w:val="single" w:color="auto" w:sz="4" w:space="0"/>
                    <w:bottom w:val="single" w:color="auto" w:sz="4" w:space="0"/>
                    <w:right w:val="single" w:color="auto" w:sz="4" w:space="0"/>
                  </w:tcBorders>
                  <w:vAlign w:val="center"/>
                </w:tcPr>
                <w:p w14:paraId="5415E9C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0CD115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256C7D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5342B9D">
                  <w:pPr>
                    <w:pStyle w:val="149"/>
                    <w:rPr>
                      <w:rFonts w:eastAsia="Times New Roman"/>
                    </w:rPr>
                  </w:pPr>
                  <w:r>
                    <w:rPr>
                      <w:rFonts w:hint="eastAsia" w:ascii="宋体" w:hAnsi="宋体" w:eastAsia="宋体" w:cs="宋体"/>
                    </w:rPr>
                    <w:t>昼间</w:t>
                  </w:r>
                </w:p>
              </w:tc>
            </w:tr>
            <w:tr w14:paraId="7F2C2D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ACCFB2C">
                  <w:pPr>
                    <w:pStyle w:val="149"/>
                    <w:rPr>
                      <w:rFonts w:eastAsia="Times New Roman"/>
                    </w:rPr>
                  </w:pPr>
                  <w:r>
                    <w:rPr>
                      <w:rFonts w:eastAsia="Times New Roman"/>
                    </w:rPr>
                    <w:t>42</w:t>
                  </w:r>
                </w:p>
              </w:tc>
              <w:tc>
                <w:tcPr>
                  <w:tcW w:w="848" w:type="pct"/>
                  <w:tcBorders>
                    <w:top w:val="single" w:color="auto" w:sz="4" w:space="0"/>
                    <w:left w:val="single" w:color="auto" w:sz="4" w:space="0"/>
                    <w:bottom w:val="single" w:color="auto" w:sz="4" w:space="0"/>
                    <w:right w:val="single" w:color="auto" w:sz="4" w:space="0"/>
                  </w:tcBorders>
                  <w:vAlign w:val="center"/>
                </w:tcPr>
                <w:p w14:paraId="7A9834A1">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F56FDD7">
                  <w:pPr>
                    <w:pStyle w:val="149"/>
                    <w:rPr>
                      <w:rFonts w:eastAsia="Times New Roman"/>
                    </w:rPr>
                  </w:pPr>
                  <w:r>
                    <w:rPr>
                      <w:rFonts w:hint="eastAsia" w:eastAsia="Times New Roman"/>
                    </w:rPr>
                    <w:t>55.62</w:t>
                  </w:r>
                </w:p>
              </w:tc>
              <w:tc>
                <w:tcPr>
                  <w:tcW w:w="440" w:type="pct"/>
                  <w:tcBorders>
                    <w:top w:val="single" w:color="auto" w:sz="4" w:space="0"/>
                    <w:left w:val="single" w:color="auto" w:sz="4" w:space="0"/>
                    <w:bottom w:val="single" w:color="auto" w:sz="4" w:space="0"/>
                    <w:right w:val="single" w:color="auto" w:sz="4" w:space="0"/>
                  </w:tcBorders>
                  <w:vAlign w:val="center"/>
                </w:tcPr>
                <w:p w14:paraId="61D483A0">
                  <w:pPr>
                    <w:pStyle w:val="149"/>
                    <w:rPr>
                      <w:rFonts w:eastAsia="Times New Roman"/>
                    </w:rPr>
                  </w:pPr>
                  <w:r>
                    <w:rPr>
                      <w:rFonts w:hint="eastAsia" w:eastAsia="Times New Roman"/>
                    </w:rPr>
                    <w:t>22.12</w:t>
                  </w:r>
                </w:p>
              </w:tc>
              <w:tc>
                <w:tcPr>
                  <w:tcW w:w="457" w:type="pct"/>
                  <w:tcBorders>
                    <w:top w:val="single" w:color="auto" w:sz="4" w:space="0"/>
                    <w:left w:val="single" w:color="auto" w:sz="4" w:space="0"/>
                    <w:bottom w:val="single" w:color="auto" w:sz="4" w:space="0"/>
                    <w:right w:val="single" w:color="auto" w:sz="4" w:space="0"/>
                  </w:tcBorders>
                  <w:vAlign w:val="center"/>
                </w:tcPr>
                <w:p w14:paraId="1D8BDA3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436547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91A845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4FA51EA">
                  <w:pPr>
                    <w:pStyle w:val="149"/>
                    <w:rPr>
                      <w:rFonts w:eastAsia="Times New Roman"/>
                    </w:rPr>
                  </w:pPr>
                  <w:r>
                    <w:rPr>
                      <w:rFonts w:hint="eastAsia" w:ascii="宋体" w:hAnsi="宋体" w:eastAsia="宋体" w:cs="宋体"/>
                    </w:rPr>
                    <w:t>夜间</w:t>
                  </w:r>
                </w:p>
              </w:tc>
            </w:tr>
            <w:tr w14:paraId="1C2724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38BA9B8">
                  <w:pPr>
                    <w:pStyle w:val="149"/>
                    <w:rPr>
                      <w:rFonts w:eastAsia="Times New Roman"/>
                    </w:rPr>
                  </w:pPr>
                  <w:r>
                    <w:rPr>
                      <w:rFonts w:eastAsia="Times New Roman"/>
                    </w:rPr>
                    <w:t>43</w:t>
                  </w:r>
                </w:p>
              </w:tc>
              <w:tc>
                <w:tcPr>
                  <w:tcW w:w="848" w:type="pct"/>
                  <w:tcBorders>
                    <w:top w:val="single" w:color="auto" w:sz="4" w:space="0"/>
                    <w:left w:val="single" w:color="auto" w:sz="4" w:space="0"/>
                    <w:bottom w:val="single" w:color="auto" w:sz="4" w:space="0"/>
                    <w:right w:val="single" w:color="auto" w:sz="4" w:space="0"/>
                  </w:tcBorders>
                  <w:vAlign w:val="center"/>
                </w:tcPr>
                <w:p w14:paraId="160E5F2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B86D5CC">
                  <w:pPr>
                    <w:pStyle w:val="149"/>
                    <w:rPr>
                      <w:rFonts w:eastAsia="Times New Roman"/>
                    </w:rPr>
                  </w:pPr>
                  <w:r>
                    <w:rPr>
                      <w:rFonts w:hint="eastAsia" w:eastAsia="Times New Roman"/>
                    </w:rPr>
                    <w:t>96.7</w:t>
                  </w:r>
                </w:p>
              </w:tc>
              <w:tc>
                <w:tcPr>
                  <w:tcW w:w="440" w:type="pct"/>
                  <w:tcBorders>
                    <w:top w:val="single" w:color="auto" w:sz="4" w:space="0"/>
                    <w:left w:val="single" w:color="auto" w:sz="4" w:space="0"/>
                    <w:bottom w:val="single" w:color="auto" w:sz="4" w:space="0"/>
                    <w:right w:val="single" w:color="auto" w:sz="4" w:space="0"/>
                  </w:tcBorders>
                  <w:vAlign w:val="center"/>
                </w:tcPr>
                <w:p w14:paraId="641F7F42">
                  <w:pPr>
                    <w:pStyle w:val="149"/>
                    <w:rPr>
                      <w:rFonts w:eastAsia="Times New Roman"/>
                    </w:rPr>
                  </w:pPr>
                  <w:r>
                    <w:rPr>
                      <w:rFonts w:hint="eastAsia" w:eastAsia="Times New Roman"/>
                    </w:rPr>
                    <w:t>12.58</w:t>
                  </w:r>
                </w:p>
              </w:tc>
              <w:tc>
                <w:tcPr>
                  <w:tcW w:w="457" w:type="pct"/>
                  <w:tcBorders>
                    <w:top w:val="single" w:color="auto" w:sz="4" w:space="0"/>
                    <w:left w:val="single" w:color="auto" w:sz="4" w:space="0"/>
                    <w:bottom w:val="single" w:color="auto" w:sz="4" w:space="0"/>
                    <w:right w:val="single" w:color="auto" w:sz="4" w:space="0"/>
                  </w:tcBorders>
                  <w:vAlign w:val="center"/>
                </w:tcPr>
                <w:p w14:paraId="73EFE80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BF9A0F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783B42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76CB828">
                  <w:pPr>
                    <w:pStyle w:val="149"/>
                    <w:rPr>
                      <w:rFonts w:eastAsia="Times New Roman"/>
                    </w:rPr>
                  </w:pPr>
                  <w:r>
                    <w:rPr>
                      <w:rFonts w:hint="eastAsia" w:ascii="宋体" w:hAnsi="宋体" w:eastAsia="宋体" w:cs="宋体"/>
                    </w:rPr>
                    <w:t>昼间</w:t>
                  </w:r>
                </w:p>
              </w:tc>
            </w:tr>
            <w:tr w14:paraId="7E95D1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75AD52D">
                  <w:pPr>
                    <w:pStyle w:val="149"/>
                    <w:rPr>
                      <w:rFonts w:eastAsia="Times New Roman"/>
                    </w:rPr>
                  </w:pPr>
                  <w:r>
                    <w:rPr>
                      <w:rFonts w:eastAsia="Times New Roman"/>
                    </w:rPr>
                    <w:t>44</w:t>
                  </w:r>
                </w:p>
              </w:tc>
              <w:tc>
                <w:tcPr>
                  <w:tcW w:w="848" w:type="pct"/>
                  <w:tcBorders>
                    <w:top w:val="single" w:color="auto" w:sz="4" w:space="0"/>
                    <w:left w:val="single" w:color="auto" w:sz="4" w:space="0"/>
                    <w:bottom w:val="single" w:color="auto" w:sz="4" w:space="0"/>
                    <w:right w:val="single" w:color="auto" w:sz="4" w:space="0"/>
                  </w:tcBorders>
                  <w:vAlign w:val="center"/>
                </w:tcPr>
                <w:p w14:paraId="60DC0461">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1771EA5">
                  <w:pPr>
                    <w:pStyle w:val="149"/>
                    <w:rPr>
                      <w:rFonts w:eastAsia="Times New Roman"/>
                    </w:rPr>
                  </w:pPr>
                  <w:r>
                    <w:rPr>
                      <w:rFonts w:hint="eastAsia" w:eastAsia="Times New Roman"/>
                    </w:rPr>
                    <w:t>96.7</w:t>
                  </w:r>
                </w:p>
              </w:tc>
              <w:tc>
                <w:tcPr>
                  <w:tcW w:w="440" w:type="pct"/>
                  <w:tcBorders>
                    <w:top w:val="single" w:color="auto" w:sz="4" w:space="0"/>
                    <w:left w:val="single" w:color="auto" w:sz="4" w:space="0"/>
                    <w:bottom w:val="single" w:color="auto" w:sz="4" w:space="0"/>
                    <w:right w:val="single" w:color="auto" w:sz="4" w:space="0"/>
                  </w:tcBorders>
                  <w:vAlign w:val="center"/>
                </w:tcPr>
                <w:p w14:paraId="743FC78A">
                  <w:pPr>
                    <w:pStyle w:val="149"/>
                    <w:rPr>
                      <w:rFonts w:eastAsia="Times New Roman"/>
                    </w:rPr>
                  </w:pPr>
                  <w:r>
                    <w:rPr>
                      <w:rFonts w:hint="eastAsia" w:eastAsia="Times New Roman"/>
                    </w:rPr>
                    <w:t>12.58</w:t>
                  </w:r>
                </w:p>
              </w:tc>
              <w:tc>
                <w:tcPr>
                  <w:tcW w:w="457" w:type="pct"/>
                  <w:tcBorders>
                    <w:top w:val="single" w:color="auto" w:sz="4" w:space="0"/>
                    <w:left w:val="single" w:color="auto" w:sz="4" w:space="0"/>
                    <w:bottom w:val="single" w:color="auto" w:sz="4" w:space="0"/>
                    <w:right w:val="single" w:color="auto" w:sz="4" w:space="0"/>
                  </w:tcBorders>
                  <w:vAlign w:val="center"/>
                </w:tcPr>
                <w:p w14:paraId="72FBB88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33F48F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B556CA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8C503E6">
                  <w:pPr>
                    <w:pStyle w:val="149"/>
                    <w:rPr>
                      <w:rFonts w:eastAsia="Times New Roman"/>
                    </w:rPr>
                  </w:pPr>
                  <w:r>
                    <w:rPr>
                      <w:rFonts w:hint="eastAsia" w:ascii="宋体" w:hAnsi="宋体" w:eastAsia="宋体" w:cs="宋体"/>
                    </w:rPr>
                    <w:t>夜间</w:t>
                  </w:r>
                </w:p>
              </w:tc>
            </w:tr>
            <w:tr w14:paraId="10929E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FC6D166">
                  <w:pPr>
                    <w:pStyle w:val="149"/>
                    <w:rPr>
                      <w:rFonts w:eastAsia="Times New Roman"/>
                    </w:rPr>
                  </w:pPr>
                  <w:r>
                    <w:rPr>
                      <w:rFonts w:eastAsia="Times New Roman"/>
                    </w:rPr>
                    <w:t>45</w:t>
                  </w:r>
                </w:p>
              </w:tc>
              <w:tc>
                <w:tcPr>
                  <w:tcW w:w="848" w:type="pct"/>
                  <w:tcBorders>
                    <w:top w:val="single" w:color="auto" w:sz="4" w:space="0"/>
                    <w:left w:val="single" w:color="auto" w:sz="4" w:space="0"/>
                    <w:bottom w:val="single" w:color="auto" w:sz="4" w:space="0"/>
                    <w:right w:val="single" w:color="auto" w:sz="4" w:space="0"/>
                  </w:tcBorders>
                  <w:vAlign w:val="center"/>
                </w:tcPr>
                <w:p w14:paraId="7327CD9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AB19825">
                  <w:pPr>
                    <w:pStyle w:val="149"/>
                    <w:rPr>
                      <w:rFonts w:eastAsia="Times New Roman"/>
                    </w:rPr>
                  </w:pPr>
                  <w:r>
                    <w:rPr>
                      <w:rFonts w:hint="eastAsia" w:eastAsia="Times New Roman"/>
                    </w:rPr>
                    <w:t>114.96</w:t>
                  </w:r>
                </w:p>
              </w:tc>
              <w:tc>
                <w:tcPr>
                  <w:tcW w:w="440" w:type="pct"/>
                  <w:tcBorders>
                    <w:top w:val="single" w:color="auto" w:sz="4" w:space="0"/>
                    <w:left w:val="single" w:color="auto" w:sz="4" w:space="0"/>
                    <w:bottom w:val="single" w:color="auto" w:sz="4" w:space="0"/>
                    <w:right w:val="single" w:color="auto" w:sz="4" w:space="0"/>
                  </w:tcBorders>
                  <w:vAlign w:val="center"/>
                </w:tcPr>
                <w:p w14:paraId="2107343D">
                  <w:pPr>
                    <w:pStyle w:val="149"/>
                    <w:rPr>
                      <w:rFonts w:eastAsia="Times New Roman"/>
                    </w:rPr>
                  </w:pPr>
                  <w:r>
                    <w:rPr>
                      <w:rFonts w:hint="eastAsia" w:eastAsia="Times New Roman"/>
                    </w:rPr>
                    <w:t>9.03</w:t>
                  </w:r>
                </w:p>
              </w:tc>
              <w:tc>
                <w:tcPr>
                  <w:tcW w:w="457" w:type="pct"/>
                  <w:tcBorders>
                    <w:top w:val="single" w:color="auto" w:sz="4" w:space="0"/>
                    <w:left w:val="single" w:color="auto" w:sz="4" w:space="0"/>
                    <w:bottom w:val="single" w:color="auto" w:sz="4" w:space="0"/>
                    <w:right w:val="single" w:color="auto" w:sz="4" w:space="0"/>
                  </w:tcBorders>
                  <w:vAlign w:val="center"/>
                </w:tcPr>
                <w:p w14:paraId="15453DD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5E9301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BA360C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34EC1B4">
                  <w:pPr>
                    <w:pStyle w:val="149"/>
                    <w:rPr>
                      <w:rFonts w:eastAsia="Times New Roman"/>
                    </w:rPr>
                  </w:pPr>
                  <w:r>
                    <w:rPr>
                      <w:rFonts w:hint="eastAsia" w:ascii="宋体" w:hAnsi="宋体" w:eastAsia="宋体" w:cs="宋体"/>
                    </w:rPr>
                    <w:t>昼间</w:t>
                  </w:r>
                </w:p>
              </w:tc>
            </w:tr>
            <w:tr w14:paraId="2DA618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C7D10B5">
                  <w:pPr>
                    <w:pStyle w:val="149"/>
                    <w:rPr>
                      <w:rFonts w:eastAsia="Times New Roman"/>
                    </w:rPr>
                  </w:pPr>
                  <w:r>
                    <w:rPr>
                      <w:rFonts w:eastAsia="Times New Roman"/>
                    </w:rPr>
                    <w:t>46</w:t>
                  </w:r>
                </w:p>
              </w:tc>
              <w:tc>
                <w:tcPr>
                  <w:tcW w:w="848" w:type="pct"/>
                  <w:tcBorders>
                    <w:top w:val="single" w:color="auto" w:sz="4" w:space="0"/>
                    <w:left w:val="single" w:color="auto" w:sz="4" w:space="0"/>
                    <w:bottom w:val="single" w:color="auto" w:sz="4" w:space="0"/>
                    <w:right w:val="single" w:color="auto" w:sz="4" w:space="0"/>
                  </w:tcBorders>
                  <w:vAlign w:val="center"/>
                </w:tcPr>
                <w:p w14:paraId="1DE52EB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4BC508D">
                  <w:pPr>
                    <w:pStyle w:val="149"/>
                    <w:rPr>
                      <w:rFonts w:eastAsia="Times New Roman"/>
                    </w:rPr>
                  </w:pPr>
                  <w:r>
                    <w:rPr>
                      <w:rFonts w:hint="eastAsia" w:eastAsia="Times New Roman"/>
                    </w:rPr>
                    <w:t>114.96</w:t>
                  </w:r>
                </w:p>
              </w:tc>
              <w:tc>
                <w:tcPr>
                  <w:tcW w:w="440" w:type="pct"/>
                  <w:tcBorders>
                    <w:top w:val="single" w:color="auto" w:sz="4" w:space="0"/>
                    <w:left w:val="single" w:color="auto" w:sz="4" w:space="0"/>
                    <w:bottom w:val="single" w:color="auto" w:sz="4" w:space="0"/>
                    <w:right w:val="single" w:color="auto" w:sz="4" w:space="0"/>
                  </w:tcBorders>
                  <w:vAlign w:val="center"/>
                </w:tcPr>
                <w:p w14:paraId="0B663FAE">
                  <w:pPr>
                    <w:pStyle w:val="149"/>
                    <w:rPr>
                      <w:rFonts w:eastAsia="Times New Roman"/>
                    </w:rPr>
                  </w:pPr>
                  <w:r>
                    <w:rPr>
                      <w:rFonts w:hint="eastAsia" w:eastAsia="Times New Roman"/>
                    </w:rPr>
                    <w:t>9.03</w:t>
                  </w:r>
                </w:p>
              </w:tc>
              <w:tc>
                <w:tcPr>
                  <w:tcW w:w="457" w:type="pct"/>
                  <w:tcBorders>
                    <w:top w:val="single" w:color="auto" w:sz="4" w:space="0"/>
                    <w:left w:val="single" w:color="auto" w:sz="4" w:space="0"/>
                    <w:bottom w:val="single" w:color="auto" w:sz="4" w:space="0"/>
                    <w:right w:val="single" w:color="auto" w:sz="4" w:space="0"/>
                  </w:tcBorders>
                  <w:vAlign w:val="center"/>
                </w:tcPr>
                <w:p w14:paraId="59E5104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698E8FC">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3F68373">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F34CBF3">
                  <w:pPr>
                    <w:pStyle w:val="149"/>
                    <w:rPr>
                      <w:rFonts w:eastAsia="Times New Roman"/>
                    </w:rPr>
                  </w:pPr>
                  <w:r>
                    <w:rPr>
                      <w:rFonts w:hint="eastAsia" w:ascii="宋体" w:hAnsi="宋体" w:eastAsia="宋体" w:cs="宋体"/>
                    </w:rPr>
                    <w:t>夜间</w:t>
                  </w:r>
                </w:p>
              </w:tc>
            </w:tr>
            <w:tr w14:paraId="17715D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E655B48">
                  <w:pPr>
                    <w:pStyle w:val="149"/>
                    <w:rPr>
                      <w:rFonts w:eastAsia="Times New Roman"/>
                    </w:rPr>
                  </w:pPr>
                  <w:r>
                    <w:rPr>
                      <w:rFonts w:eastAsia="Times New Roman"/>
                    </w:rPr>
                    <w:t>47</w:t>
                  </w:r>
                </w:p>
              </w:tc>
              <w:tc>
                <w:tcPr>
                  <w:tcW w:w="848" w:type="pct"/>
                  <w:tcBorders>
                    <w:top w:val="single" w:color="auto" w:sz="4" w:space="0"/>
                    <w:left w:val="single" w:color="auto" w:sz="4" w:space="0"/>
                    <w:bottom w:val="single" w:color="auto" w:sz="4" w:space="0"/>
                    <w:right w:val="single" w:color="auto" w:sz="4" w:space="0"/>
                  </w:tcBorders>
                  <w:vAlign w:val="center"/>
                </w:tcPr>
                <w:p w14:paraId="1E98CDA3">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FA70CA1">
                  <w:pPr>
                    <w:pStyle w:val="149"/>
                    <w:rPr>
                      <w:rFonts w:eastAsia="Times New Roman"/>
                    </w:rPr>
                  </w:pPr>
                  <w:r>
                    <w:rPr>
                      <w:rFonts w:hint="eastAsia" w:eastAsia="Times New Roman"/>
                    </w:rPr>
                    <w:t>118.64</w:t>
                  </w:r>
                </w:p>
              </w:tc>
              <w:tc>
                <w:tcPr>
                  <w:tcW w:w="440" w:type="pct"/>
                  <w:tcBorders>
                    <w:top w:val="single" w:color="auto" w:sz="4" w:space="0"/>
                    <w:left w:val="single" w:color="auto" w:sz="4" w:space="0"/>
                    <w:bottom w:val="single" w:color="auto" w:sz="4" w:space="0"/>
                    <w:right w:val="single" w:color="auto" w:sz="4" w:space="0"/>
                  </w:tcBorders>
                  <w:vAlign w:val="center"/>
                </w:tcPr>
                <w:p w14:paraId="46F312D2">
                  <w:pPr>
                    <w:pStyle w:val="149"/>
                    <w:rPr>
                      <w:rFonts w:eastAsia="Times New Roman"/>
                    </w:rPr>
                  </w:pPr>
                  <w:r>
                    <w:rPr>
                      <w:rFonts w:hint="eastAsia" w:eastAsia="Times New Roman"/>
                    </w:rPr>
                    <w:t>14.12</w:t>
                  </w:r>
                </w:p>
              </w:tc>
              <w:tc>
                <w:tcPr>
                  <w:tcW w:w="457" w:type="pct"/>
                  <w:tcBorders>
                    <w:top w:val="single" w:color="auto" w:sz="4" w:space="0"/>
                    <w:left w:val="single" w:color="auto" w:sz="4" w:space="0"/>
                    <w:bottom w:val="single" w:color="auto" w:sz="4" w:space="0"/>
                    <w:right w:val="single" w:color="auto" w:sz="4" w:space="0"/>
                  </w:tcBorders>
                  <w:vAlign w:val="center"/>
                </w:tcPr>
                <w:p w14:paraId="5DFB5D8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336D9CC">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54BB15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FD735C8">
                  <w:pPr>
                    <w:pStyle w:val="149"/>
                    <w:rPr>
                      <w:rFonts w:eastAsia="Times New Roman"/>
                    </w:rPr>
                  </w:pPr>
                  <w:r>
                    <w:rPr>
                      <w:rFonts w:hint="eastAsia" w:ascii="宋体" w:hAnsi="宋体" w:eastAsia="宋体" w:cs="宋体"/>
                    </w:rPr>
                    <w:t>昼间</w:t>
                  </w:r>
                </w:p>
              </w:tc>
            </w:tr>
            <w:tr w14:paraId="09A506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CB41B6F">
                  <w:pPr>
                    <w:pStyle w:val="149"/>
                    <w:rPr>
                      <w:rFonts w:eastAsia="Times New Roman"/>
                    </w:rPr>
                  </w:pPr>
                  <w:r>
                    <w:rPr>
                      <w:rFonts w:eastAsia="Times New Roman"/>
                    </w:rPr>
                    <w:t>48</w:t>
                  </w:r>
                </w:p>
              </w:tc>
              <w:tc>
                <w:tcPr>
                  <w:tcW w:w="848" w:type="pct"/>
                  <w:tcBorders>
                    <w:top w:val="single" w:color="auto" w:sz="4" w:space="0"/>
                    <w:left w:val="single" w:color="auto" w:sz="4" w:space="0"/>
                    <w:bottom w:val="single" w:color="auto" w:sz="4" w:space="0"/>
                    <w:right w:val="single" w:color="auto" w:sz="4" w:space="0"/>
                  </w:tcBorders>
                  <w:vAlign w:val="center"/>
                </w:tcPr>
                <w:p w14:paraId="587C0A11">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C6A122B">
                  <w:pPr>
                    <w:pStyle w:val="149"/>
                    <w:rPr>
                      <w:rFonts w:eastAsia="Times New Roman"/>
                    </w:rPr>
                  </w:pPr>
                  <w:r>
                    <w:rPr>
                      <w:rFonts w:hint="eastAsia" w:eastAsia="Times New Roman"/>
                    </w:rPr>
                    <w:t>118.64</w:t>
                  </w:r>
                </w:p>
              </w:tc>
              <w:tc>
                <w:tcPr>
                  <w:tcW w:w="440" w:type="pct"/>
                  <w:tcBorders>
                    <w:top w:val="single" w:color="auto" w:sz="4" w:space="0"/>
                    <w:left w:val="single" w:color="auto" w:sz="4" w:space="0"/>
                    <w:bottom w:val="single" w:color="auto" w:sz="4" w:space="0"/>
                    <w:right w:val="single" w:color="auto" w:sz="4" w:space="0"/>
                  </w:tcBorders>
                  <w:vAlign w:val="center"/>
                </w:tcPr>
                <w:p w14:paraId="648CB023">
                  <w:pPr>
                    <w:pStyle w:val="149"/>
                    <w:rPr>
                      <w:rFonts w:eastAsia="Times New Roman"/>
                    </w:rPr>
                  </w:pPr>
                  <w:r>
                    <w:rPr>
                      <w:rFonts w:hint="eastAsia" w:eastAsia="Times New Roman"/>
                    </w:rPr>
                    <w:t>14.12</w:t>
                  </w:r>
                </w:p>
              </w:tc>
              <w:tc>
                <w:tcPr>
                  <w:tcW w:w="457" w:type="pct"/>
                  <w:tcBorders>
                    <w:top w:val="single" w:color="auto" w:sz="4" w:space="0"/>
                    <w:left w:val="single" w:color="auto" w:sz="4" w:space="0"/>
                    <w:bottom w:val="single" w:color="auto" w:sz="4" w:space="0"/>
                    <w:right w:val="single" w:color="auto" w:sz="4" w:space="0"/>
                  </w:tcBorders>
                  <w:vAlign w:val="center"/>
                </w:tcPr>
                <w:p w14:paraId="38AA55F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49E7AA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8C4776F">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6CF02D1">
                  <w:pPr>
                    <w:pStyle w:val="149"/>
                    <w:rPr>
                      <w:rFonts w:eastAsia="Times New Roman"/>
                    </w:rPr>
                  </w:pPr>
                  <w:r>
                    <w:rPr>
                      <w:rFonts w:hint="eastAsia" w:ascii="宋体" w:hAnsi="宋体" w:eastAsia="宋体" w:cs="宋体"/>
                    </w:rPr>
                    <w:t>夜间</w:t>
                  </w:r>
                </w:p>
              </w:tc>
            </w:tr>
            <w:tr w14:paraId="7CFE61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B871E67">
                  <w:pPr>
                    <w:pStyle w:val="149"/>
                    <w:rPr>
                      <w:rFonts w:eastAsia="Times New Roman"/>
                    </w:rPr>
                  </w:pPr>
                  <w:r>
                    <w:rPr>
                      <w:rFonts w:eastAsia="Times New Roman"/>
                    </w:rPr>
                    <w:t>49</w:t>
                  </w:r>
                </w:p>
              </w:tc>
              <w:tc>
                <w:tcPr>
                  <w:tcW w:w="848" w:type="pct"/>
                  <w:tcBorders>
                    <w:top w:val="single" w:color="auto" w:sz="4" w:space="0"/>
                    <w:left w:val="single" w:color="auto" w:sz="4" w:space="0"/>
                    <w:bottom w:val="single" w:color="auto" w:sz="4" w:space="0"/>
                    <w:right w:val="single" w:color="auto" w:sz="4" w:space="0"/>
                  </w:tcBorders>
                  <w:vAlign w:val="center"/>
                </w:tcPr>
                <w:p w14:paraId="7D0679A1">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087AD5A">
                  <w:pPr>
                    <w:pStyle w:val="149"/>
                    <w:rPr>
                      <w:rFonts w:eastAsia="Times New Roman"/>
                    </w:rPr>
                  </w:pPr>
                  <w:r>
                    <w:rPr>
                      <w:rFonts w:hint="eastAsia" w:eastAsia="Times New Roman"/>
                    </w:rPr>
                    <w:t>114.1</w:t>
                  </w:r>
                </w:p>
              </w:tc>
              <w:tc>
                <w:tcPr>
                  <w:tcW w:w="440" w:type="pct"/>
                  <w:tcBorders>
                    <w:top w:val="single" w:color="auto" w:sz="4" w:space="0"/>
                    <w:left w:val="single" w:color="auto" w:sz="4" w:space="0"/>
                    <w:bottom w:val="single" w:color="auto" w:sz="4" w:space="0"/>
                    <w:right w:val="single" w:color="auto" w:sz="4" w:space="0"/>
                  </w:tcBorders>
                  <w:vAlign w:val="center"/>
                </w:tcPr>
                <w:p w14:paraId="679FA475">
                  <w:pPr>
                    <w:pStyle w:val="149"/>
                    <w:rPr>
                      <w:rFonts w:eastAsia="Times New Roman"/>
                    </w:rPr>
                  </w:pPr>
                  <w:r>
                    <w:rPr>
                      <w:rFonts w:hint="eastAsia" w:eastAsia="Times New Roman"/>
                    </w:rPr>
                    <w:t>14.74</w:t>
                  </w:r>
                </w:p>
              </w:tc>
              <w:tc>
                <w:tcPr>
                  <w:tcW w:w="457" w:type="pct"/>
                  <w:tcBorders>
                    <w:top w:val="single" w:color="auto" w:sz="4" w:space="0"/>
                    <w:left w:val="single" w:color="auto" w:sz="4" w:space="0"/>
                    <w:bottom w:val="single" w:color="auto" w:sz="4" w:space="0"/>
                    <w:right w:val="single" w:color="auto" w:sz="4" w:space="0"/>
                  </w:tcBorders>
                  <w:vAlign w:val="center"/>
                </w:tcPr>
                <w:p w14:paraId="3C4EB70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45BD26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3880F3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2C98D03">
                  <w:pPr>
                    <w:pStyle w:val="149"/>
                    <w:rPr>
                      <w:rFonts w:eastAsia="Times New Roman"/>
                    </w:rPr>
                  </w:pPr>
                  <w:r>
                    <w:rPr>
                      <w:rFonts w:hint="eastAsia" w:ascii="宋体" w:hAnsi="宋体" w:eastAsia="宋体" w:cs="宋体"/>
                    </w:rPr>
                    <w:t>昼间</w:t>
                  </w:r>
                </w:p>
              </w:tc>
            </w:tr>
            <w:tr w14:paraId="448AAE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4136F34">
                  <w:pPr>
                    <w:pStyle w:val="149"/>
                    <w:rPr>
                      <w:rFonts w:eastAsia="Times New Roman"/>
                    </w:rPr>
                  </w:pPr>
                  <w:r>
                    <w:rPr>
                      <w:rFonts w:eastAsia="Times New Roman"/>
                    </w:rPr>
                    <w:t>50</w:t>
                  </w:r>
                </w:p>
              </w:tc>
              <w:tc>
                <w:tcPr>
                  <w:tcW w:w="848" w:type="pct"/>
                  <w:tcBorders>
                    <w:top w:val="single" w:color="auto" w:sz="4" w:space="0"/>
                    <w:left w:val="single" w:color="auto" w:sz="4" w:space="0"/>
                    <w:bottom w:val="single" w:color="auto" w:sz="4" w:space="0"/>
                    <w:right w:val="single" w:color="auto" w:sz="4" w:space="0"/>
                  </w:tcBorders>
                  <w:vAlign w:val="center"/>
                </w:tcPr>
                <w:p w14:paraId="637C0F8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02CCC77">
                  <w:pPr>
                    <w:pStyle w:val="149"/>
                    <w:rPr>
                      <w:rFonts w:eastAsia="Times New Roman"/>
                    </w:rPr>
                  </w:pPr>
                  <w:r>
                    <w:rPr>
                      <w:rFonts w:hint="eastAsia" w:eastAsia="Times New Roman"/>
                    </w:rPr>
                    <w:t>114.1</w:t>
                  </w:r>
                </w:p>
              </w:tc>
              <w:tc>
                <w:tcPr>
                  <w:tcW w:w="440" w:type="pct"/>
                  <w:tcBorders>
                    <w:top w:val="single" w:color="auto" w:sz="4" w:space="0"/>
                    <w:left w:val="single" w:color="auto" w:sz="4" w:space="0"/>
                    <w:bottom w:val="single" w:color="auto" w:sz="4" w:space="0"/>
                    <w:right w:val="single" w:color="auto" w:sz="4" w:space="0"/>
                  </w:tcBorders>
                  <w:vAlign w:val="center"/>
                </w:tcPr>
                <w:p w14:paraId="1C7E9906">
                  <w:pPr>
                    <w:pStyle w:val="149"/>
                    <w:rPr>
                      <w:rFonts w:eastAsia="Times New Roman"/>
                    </w:rPr>
                  </w:pPr>
                  <w:r>
                    <w:rPr>
                      <w:rFonts w:hint="eastAsia" w:eastAsia="Times New Roman"/>
                    </w:rPr>
                    <w:t>14.74</w:t>
                  </w:r>
                </w:p>
              </w:tc>
              <w:tc>
                <w:tcPr>
                  <w:tcW w:w="457" w:type="pct"/>
                  <w:tcBorders>
                    <w:top w:val="single" w:color="auto" w:sz="4" w:space="0"/>
                    <w:left w:val="single" w:color="auto" w:sz="4" w:space="0"/>
                    <w:bottom w:val="single" w:color="auto" w:sz="4" w:space="0"/>
                    <w:right w:val="single" w:color="auto" w:sz="4" w:space="0"/>
                  </w:tcBorders>
                  <w:vAlign w:val="center"/>
                </w:tcPr>
                <w:p w14:paraId="72309B4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67EC06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35B8B7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0CAE9A4">
                  <w:pPr>
                    <w:pStyle w:val="149"/>
                    <w:rPr>
                      <w:rFonts w:eastAsia="Times New Roman"/>
                    </w:rPr>
                  </w:pPr>
                  <w:r>
                    <w:rPr>
                      <w:rFonts w:hint="eastAsia" w:ascii="宋体" w:hAnsi="宋体" w:eastAsia="宋体" w:cs="宋体"/>
                    </w:rPr>
                    <w:t>夜间</w:t>
                  </w:r>
                </w:p>
              </w:tc>
            </w:tr>
            <w:tr w14:paraId="326140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217B493">
                  <w:pPr>
                    <w:pStyle w:val="149"/>
                    <w:rPr>
                      <w:rFonts w:eastAsia="Times New Roman"/>
                    </w:rPr>
                  </w:pPr>
                  <w:r>
                    <w:rPr>
                      <w:rFonts w:eastAsia="Times New Roman"/>
                    </w:rPr>
                    <w:t>51</w:t>
                  </w:r>
                </w:p>
              </w:tc>
              <w:tc>
                <w:tcPr>
                  <w:tcW w:w="848" w:type="pct"/>
                  <w:tcBorders>
                    <w:top w:val="single" w:color="auto" w:sz="4" w:space="0"/>
                    <w:left w:val="single" w:color="auto" w:sz="4" w:space="0"/>
                    <w:bottom w:val="single" w:color="auto" w:sz="4" w:space="0"/>
                    <w:right w:val="single" w:color="auto" w:sz="4" w:space="0"/>
                  </w:tcBorders>
                  <w:vAlign w:val="center"/>
                </w:tcPr>
                <w:p w14:paraId="5AA9F7CB">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F68BCBA">
                  <w:pPr>
                    <w:pStyle w:val="149"/>
                    <w:rPr>
                      <w:rFonts w:eastAsia="Times New Roman"/>
                    </w:rPr>
                  </w:pPr>
                  <w:r>
                    <w:rPr>
                      <w:rFonts w:hint="eastAsia" w:eastAsia="Times New Roman"/>
                    </w:rPr>
                    <w:t>109.86</w:t>
                  </w:r>
                </w:p>
              </w:tc>
              <w:tc>
                <w:tcPr>
                  <w:tcW w:w="440" w:type="pct"/>
                  <w:tcBorders>
                    <w:top w:val="single" w:color="auto" w:sz="4" w:space="0"/>
                    <w:left w:val="single" w:color="auto" w:sz="4" w:space="0"/>
                    <w:bottom w:val="single" w:color="auto" w:sz="4" w:space="0"/>
                    <w:right w:val="single" w:color="auto" w:sz="4" w:space="0"/>
                  </w:tcBorders>
                  <w:vAlign w:val="center"/>
                </w:tcPr>
                <w:p w14:paraId="22D82CE6">
                  <w:pPr>
                    <w:pStyle w:val="149"/>
                    <w:rPr>
                      <w:rFonts w:eastAsia="Times New Roman"/>
                    </w:rPr>
                  </w:pPr>
                  <w:r>
                    <w:rPr>
                      <w:rFonts w:hint="eastAsia" w:eastAsia="Times New Roman"/>
                    </w:rPr>
                    <w:t>15.14</w:t>
                  </w:r>
                </w:p>
              </w:tc>
              <w:tc>
                <w:tcPr>
                  <w:tcW w:w="457" w:type="pct"/>
                  <w:tcBorders>
                    <w:top w:val="single" w:color="auto" w:sz="4" w:space="0"/>
                    <w:left w:val="single" w:color="auto" w:sz="4" w:space="0"/>
                    <w:bottom w:val="single" w:color="auto" w:sz="4" w:space="0"/>
                    <w:right w:val="single" w:color="auto" w:sz="4" w:space="0"/>
                  </w:tcBorders>
                  <w:vAlign w:val="center"/>
                </w:tcPr>
                <w:p w14:paraId="06796A3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6C7008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116ED1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59D50C9">
                  <w:pPr>
                    <w:pStyle w:val="149"/>
                    <w:rPr>
                      <w:rFonts w:eastAsia="Times New Roman"/>
                    </w:rPr>
                  </w:pPr>
                  <w:r>
                    <w:rPr>
                      <w:rFonts w:hint="eastAsia" w:ascii="宋体" w:hAnsi="宋体" w:eastAsia="宋体" w:cs="宋体"/>
                    </w:rPr>
                    <w:t>昼间</w:t>
                  </w:r>
                </w:p>
              </w:tc>
            </w:tr>
            <w:tr w14:paraId="52397D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DF0A5D3">
                  <w:pPr>
                    <w:pStyle w:val="149"/>
                    <w:rPr>
                      <w:rFonts w:eastAsia="Times New Roman"/>
                    </w:rPr>
                  </w:pPr>
                  <w:r>
                    <w:rPr>
                      <w:rFonts w:eastAsia="Times New Roman"/>
                    </w:rPr>
                    <w:t>52</w:t>
                  </w:r>
                </w:p>
              </w:tc>
              <w:tc>
                <w:tcPr>
                  <w:tcW w:w="848" w:type="pct"/>
                  <w:tcBorders>
                    <w:top w:val="single" w:color="auto" w:sz="4" w:space="0"/>
                    <w:left w:val="single" w:color="auto" w:sz="4" w:space="0"/>
                    <w:bottom w:val="single" w:color="auto" w:sz="4" w:space="0"/>
                    <w:right w:val="single" w:color="auto" w:sz="4" w:space="0"/>
                  </w:tcBorders>
                  <w:vAlign w:val="center"/>
                </w:tcPr>
                <w:p w14:paraId="446DCEA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5D5B294">
                  <w:pPr>
                    <w:pStyle w:val="149"/>
                    <w:rPr>
                      <w:rFonts w:eastAsia="Times New Roman"/>
                    </w:rPr>
                  </w:pPr>
                  <w:r>
                    <w:rPr>
                      <w:rFonts w:hint="eastAsia" w:eastAsia="Times New Roman"/>
                    </w:rPr>
                    <w:t>109.86</w:t>
                  </w:r>
                </w:p>
              </w:tc>
              <w:tc>
                <w:tcPr>
                  <w:tcW w:w="440" w:type="pct"/>
                  <w:tcBorders>
                    <w:top w:val="single" w:color="auto" w:sz="4" w:space="0"/>
                    <w:left w:val="single" w:color="auto" w:sz="4" w:space="0"/>
                    <w:bottom w:val="single" w:color="auto" w:sz="4" w:space="0"/>
                    <w:right w:val="single" w:color="auto" w:sz="4" w:space="0"/>
                  </w:tcBorders>
                  <w:vAlign w:val="center"/>
                </w:tcPr>
                <w:p w14:paraId="1F20EF41">
                  <w:pPr>
                    <w:pStyle w:val="149"/>
                    <w:rPr>
                      <w:rFonts w:eastAsia="Times New Roman"/>
                    </w:rPr>
                  </w:pPr>
                  <w:r>
                    <w:rPr>
                      <w:rFonts w:hint="eastAsia" w:eastAsia="Times New Roman"/>
                    </w:rPr>
                    <w:t>15.14</w:t>
                  </w:r>
                </w:p>
              </w:tc>
              <w:tc>
                <w:tcPr>
                  <w:tcW w:w="457" w:type="pct"/>
                  <w:tcBorders>
                    <w:top w:val="single" w:color="auto" w:sz="4" w:space="0"/>
                    <w:left w:val="single" w:color="auto" w:sz="4" w:space="0"/>
                    <w:bottom w:val="single" w:color="auto" w:sz="4" w:space="0"/>
                    <w:right w:val="single" w:color="auto" w:sz="4" w:space="0"/>
                  </w:tcBorders>
                  <w:vAlign w:val="center"/>
                </w:tcPr>
                <w:p w14:paraId="5B4C314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B90070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64C67B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900AC84">
                  <w:pPr>
                    <w:pStyle w:val="149"/>
                    <w:rPr>
                      <w:rFonts w:eastAsia="Times New Roman"/>
                    </w:rPr>
                  </w:pPr>
                  <w:r>
                    <w:rPr>
                      <w:rFonts w:hint="eastAsia" w:ascii="宋体" w:hAnsi="宋体" w:eastAsia="宋体" w:cs="宋体"/>
                    </w:rPr>
                    <w:t>夜间</w:t>
                  </w:r>
                </w:p>
              </w:tc>
            </w:tr>
            <w:tr w14:paraId="7325C9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942B7A8">
                  <w:pPr>
                    <w:pStyle w:val="149"/>
                    <w:rPr>
                      <w:rFonts w:eastAsia="Times New Roman"/>
                    </w:rPr>
                  </w:pPr>
                  <w:r>
                    <w:rPr>
                      <w:rFonts w:eastAsia="Times New Roman"/>
                    </w:rPr>
                    <w:t>53</w:t>
                  </w:r>
                </w:p>
              </w:tc>
              <w:tc>
                <w:tcPr>
                  <w:tcW w:w="848" w:type="pct"/>
                  <w:tcBorders>
                    <w:top w:val="single" w:color="auto" w:sz="4" w:space="0"/>
                    <w:left w:val="single" w:color="auto" w:sz="4" w:space="0"/>
                    <w:bottom w:val="single" w:color="auto" w:sz="4" w:space="0"/>
                    <w:right w:val="single" w:color="auto" w:sz="4" w:space="0"/>
                  </w:tcBorders>
                  <w:vAlign w:val="center"/>
                </w:tcPr>
                <w:p w14:paraId="742F1AFC">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08593FC">
                  <w:pPr>
                    <w:pStyle w:val="149"/>
                    <w:rPr>
                      <w:rFonts w:eastAsia="Times New Roman"/>
                    </w:rPr>
                  </w:pPr>
                  <w:r>
                    <w:rPr>
                      <w:rFonts w:hint="eastAsia" w:eastAsia="Times New Roman"/>
                    </w:rPr>
                    <w:t>105.55</w:t>
                  </w:r>
                </w:p>
              </w:tc>
              <w:tc>
                <w:tcPr>
                  <w:tcW w:w="440" w:type="pct"/>
                  <w:tcBorders>
                    <w:top w:val="single" w:color="auto" w:sz="4" w:space="0"/>
                    <w:left w:val="single" w:color="auto" w:sz="4" w:space="0"/>
                    <w:bottom w:val="single" w:color="auto" w:sz="4" w:space="0"/>
                    <w:right w:val="single" w:color="auto" w:sz="4" w:space="0"/>
                  </w:tcBorders>
                  <w:vAlign w:val="center"/>
                </w:tcPr>
                <w:p w14:paraId="0AEC7682">
                  <w:pPr>
                    <w:pStyle w:val="149"/>
                    <w:rPr>
                      <w:rFonts w:eastAsia="Times New Roman"/>
                    </w:rPr>
                  </w:pPr>
                  <w:r>
                    <w:rPr>
                      <w:rFonts w:hint="eastAsia" w:eastAsia="Times New Roman"/>
                    </w:rPr>
                    <w:t>15.64</w:t>
                  </w:r>
                </w:p>
              </w:tc>
              <w:tc>
                <w:tcPr>
                  <w:tcW w:w="457" w:type="pct"/>
                  <w:tcBorders>
                    <w:top w:val="single" w:color="auto" w:sz="4" w:space="0"/>
                    <w:left w:val="single" w:color="auto" w:sz="4" w:space="0"/>
                    <w:bottom w:val="single" w:color="auto" w:sz="4" w:space="0"/>
                    <w:right w:val="single" w:color="auto" w:sz="4" w:space="0"/>
                  </w:tcBorders>
                  <w:vAlign w:val="center"/>
                </w:tcPr>
                <w:p w14:paraId="3AAF4A1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EDDD36D">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A7E40E3">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7E36530">
                  <w:pPr>
                    <w:pStyle w:val="149"/>
                    <w:rPr>
                      <w:rFonts w:eastAsia="Times New Roman"/>
                    </w:rPr>
                  </w:pPr>
                  <w:r>
                    <w:rPr>
                      <w:rFonts w:hint="eastAsia" w:ascii="宋体" w:hAnsi="宋体" w:eastAsia="宋体" w:cs="宋体"/>
                    </w:rPr>
                    <w:t>昼间</w:t>
                  </w:r>
                </w:p>
              </w:tc>
            </w:tr>
            <w:tr w14:paraId="392D06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1345D87">
                  <w:pPr>
                    <w:pStyle w:val="149"/>
                    <w:rPr>
                      <w:rFonts w:eastAsia="Times New Roman"/>
                    </w:rPr>
                  </w:pPr>
                  <w:r>
                    <w:rPr>
                      <w:rFonts w:eastAsia="Times New Roman"/>
                    </w:rPr>
                    <w:t>54</w:t>
                  </w:r>
                </w:p>
              </w:tc>
              <w:tc>
                <w:tcPr>
                  <w:tcW w:w="848" w:type="pct"/>
                  <w:tcBorders>
                    <w:top w:val="single" w:color="auto" w:sz="4" w:space="0"/>
                    <w:left w:val="single" w:color="auto" w:sz="4" w:space="0"/>
                    <w:bottom w:val="single" w:color="auto" w:sz="4" w:space="0"/>
                    <w:right w:val="single" w:color="auto" w:sz="4" w:space="0"/>
                  </w:tcBorders>
                  <w:vAlign w:val="center"/>
                </w:tcPr>
                <w:p w14:paraId="491F3F5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44B6476">
                  <w:pPr>
                    <w:pStyle w:val="149"/>
                    <w:rPr>
                      <w:rFonts w:eastAsia="Times New Roman"/>
                    </w:rPr>
                  </w:pPr>
                  <w:r>
                    <w:rPr>
                      <w:rFonts w:hint="eastAsia" w:eastAsia="Times New Roman"/>
                    </w:rPr>
                    <w:t>105.55</w:t>
                  </w:r>
                </w:p>
              </w:tc>
              <w:tc>
                <w:tcPr>
                  <w:tcW w:w="440" w:type="pct"/>
                  <w:tcBorders>
                    <w:top w:val="single" w:color="auto" w:sz="4" w:space="0"/>
                    <w:left w:val="single" w:color="auto" w:sz="4" w:space="0"/>
                    <w:bottom w:val="single" w:color="auto" w:sz="4" w:space="0"/>
                    <w:right w:val="single" w:color="auto" w:sz="4" w:space="0"/>
                  </w:tcBorders>
                  <w:vAlign w:val="center"/>
                </w:tcPr>
                <w:p w14:paraId="06AB73B3">
                  <w:pPr>
                    <w:pStyle w:val="149"/>
                    <w:rPr>
                      <w:rFonts w:eastAsia="Times New Roman"/>
                    </w:rPr>
                  </w:pPr>
                  <w:r>
                    <w:rPr>
                      <w:rFonts w:hint="eastAsia" w:eastAsia="Times New Roman"/>
                    </w:rPr>
                    <w:t>15.64</w:t>
                  </w:r>
                </w:p>
              </w:tc>
              <w:tc>
                <w:tcPr>
                  <w:tcW w:w="457" w:type="pct"/>
                  <w:tcBorders>
                    <w:top w:val="single" w:color="auto" w:sz="4" w:space="0"/>
                    <w:left w:val="single" w:color="auto" w:sz="4" w:space="0"/>
                    <w:bottom w:val="single" w:color="auto" w:sz="4" w:space="0"/>
                    <w:right w:val="single" w:color="auto" w:sz="4" w:space="0"/>
                  </w:tcBorders>
                  <w:vAlign w:val="center"/>
                </w:tcPr>
                <w:p w14:paraId="10463FA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A46A76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8190B22">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C2B6293">
                  <w:pPr>
                    <w:pStyle w:val="149"/>
                    <w:rPr>
                      <w:rFonts w:eastAsia="Times New Roman"/>
                    </w:rPr>
                  </w:pPr>
                  <w:r>
                    <w:rPr>
                      <w:rFonts w:hint="eastAsia" w:ascii="宋体" w:hAnsi="宋体" w:eastAsia="宋体" w:cs="宋体"/>
                    </w:rPr>
                    <w:t>夜间</w:t>
                  </w:r>
                </w:p>
              </w:tc>
            </w:tr>
            <w:tr w14:paraId="113C34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30E9E8C">
                  <w:pPr>
                    <w:pStyle w:val="149"/>
                    <w:rPr>
                      <w:rFonts w:eastAsia="Times New Roman"/>
                    </w:rPr>
                  </w:pPr>
                  <w:r>
                    <w:rPr>
                      <w:rFonts w:eastAsia="Times New Roman"/>
                    </w:rPr>
                    <w:t>55</w:t>
                  </w:r>
                </w:p>
              </w:tc>
              <w:tc>
                <w:tcPr>
                  <w:tcW w:w="848" w:type="pct"/>
                  <w:tcBorders>
                    <w:top w:val="single" w:color="auto" w:sz="4" w:space="0"/>
                    <w:left w:val="single" w:color="auto" w:sz="4" w:space="0"/>
                    <w:bottom w:val="single" w:color="auto" w:sz="4" w:space="0"/>
                    <w:right w:val="single" w:color="auto" w:sz="4" w:space="0"/>
                  </w:tcBorders>
                  <w:vAlign w:val="center"/>
                </w:tcPr>
                <w:p w14:paraId="6CC9EB85">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4A4D303">
                  <w:pPr>
                    <w:pStyle w:val="149"/>
                    <w:rPr>
                      <w:rFonts w:eastAsia="Times New Roman"/>
                    </w:rPr>
                  </w:pPr>
                  <w:r>
                    <w:rPr>
                      <w:rFonts w:hint="eastAsia" w:eastAsia="Times New Roman"/>
                    </w:rPr>
                    <w:t>77.99</w:t>
                  </w:r>
                </w:p>
              </w:tc>
              <w:tc>
                <w:tcPr>
                  <w:tcW w:w="440" w:type="pct"/>
                  <w:tcBorders>
                    <w:top w:val="single" w:color="auto" w:sz="4" w:space="0"/>
                    <w:left w:val="single" w:color="auto" w:sz="4" w:space="0"/>
                    <w:bottom w:val="single" w:color="auto" w:sz="4" w:space="0"/>
                    <w:right w:val="single" w:color="auto" w:sz="4" w:space="0"/>
                  </w:tcBorders>
                  <w:vAlign w:val="center"/>
                </w:tcPr>
                <w:p w14:paraId="34549E69">
                  <w:pPr>
                    <w:pStyle w:val="149"/>
                    <w:rPr>
                      <w:rFonts w:eastAsia="Times New Roman"/>
                    </w:rPr>
                  </w:pPr>
                  <w:r>
                    <w:rPr>
                      <w:rFonts w:hint="eastAsia" w:eastAsia="Times New Roman"/>
                    </w:rPr>
                    <w:t>15.03</w:t>
                  </w:r>
                </w:p>
              </w:tc>
              <w:tc>
                <w:tcPr>
                  <w:tcW w:w="457" w:type="pct"/>
                  <w:tcBorders>
                    <w:top w:val="single" w:color="auto" w:sz="4" w:space="0"/>
                    <w:left w:val="single" w:color="auto" w:sz="4" w:space="0"/>
                    <w:bottom w:val="single" w:color="auto" w:sz="4" w:space="0"/>
                    <w:right w:val="single" w:color="auto" w:sz="4" w:space="0"/>
                  </w:tcBorders>
                  <w:vAlign w:val="center"/>
                </w:tcPr>
                <w:p w14:paraId="6BC343D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116FBA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E4B8F4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8D719C3">
                  <w:pPr>
                    <w:pStyle w:val="149"/>
                    <w:rPr>
                      <w:rFonts w:eastAsia="Times New Roman"/>
                    </w:rPr>
                  </w:pPr>
                  <w:r>
                    <w:rPr>
                      <w:rFonts w:hint="eastAsia" w:ascii="宋体" w:hAnsi="宋体" w:eastAsia="宋体" w:cs="宋体"/>
                    </w:rPr>
                    <w:t>昼间</w:t>
                  </w:r>
                </w:p>
              </w:tc>
            </w:tr>
            <w:tr w14:paraId="2FBCBC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4D646DB">
                  <w:pPr>
                    <w:pStyle w:val="149"/>
                    <w:rPr>
                      <w:rFonts w:eastAsia="Times New Roman"/>
                    </w:rPr>
                  </w:pPr>
                  <w:r>
                    <w:rPr>
                      <w:rFonts w:eastAsia="Times New Roman"/>
                    </w:rPr>
                    <w:t>56</w:t>
                  </w:r>
                </w:p>
              </w:tc>
              <w:tc>
                <w:tcPr>
                  <w:tcW w:w="848" w:type="pct"/>
                  <w:tcBorders>
                    <w:top w:val="single" w:color="auto" w:sz="4" w:space="0"/>
                    <w:left w:val="single" w:color="auto" w:sz="4" w:space="0"/>
                    <w:bottom w:val="single" w:color="auto" w:sz="4" w:space="0"/>
                    <w:right w:val="single" w:color="auto" w:sz="4" w:space="0"/>
                  </w:tcBorders>
                  <w:vAlign w:val="center"/>
                </w:tcPr>
                <w:p w14:paraId="49C82A5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828C950">
                  <w:pPr>
                    <w:pStyle w:val="149"/>
                    <w:rPr>
                      <w:rFonts w:eastAsia="Times New Roman"/>
                    </w:rPr>
                  </w:pPr>
                  <w:r>
                    <w:rPr>
                      <w:rFonts w:hint="eastAsia" w:eastAsia="Times New Roman"/>
                    </w:rPr>
                    <w:t>77.99</w:t>
                  </w:r>
                </w:p>
              </w:tc>
              <w:tc>
                <w:tcPr>
                  <w:tcW w:w="440" w:type="pct"/>
                  <w:tcBorders>
                    <w:top w:val="single" w:color="auto" w:sz="4" w:space="0"/>
                    <w:left w:val="single" w:color="auto" w:sz="4" w:space="0"/>
                    <w:bottom w:val="single" w:color="auto" w:sz="4" w:space="0"/>
                    <w:right w:val="single" w:color="auto" w:sz="4" w:space="0"/>
                  </w:tcBorders>
                  <w:vAlign w:val="center"/>
                </w:tcPr>
                <w:p w14:paraId="3DE0DE9A">
                  <w:pPr>
                    <w:pStyle w:val="149"/>
                    <w:rPr>
                      <w:rFonts w:eastAsia="Times New Roman"/>
                    </w:rPr>
                  </w:pPr>
                  <w:r>
                    <w:rPr>
                      <w:rFonts w:hint="eastAsia" w:eastAsia="Times New Roman"/>
                    </w:rPr>
                    <w:t>15.03</w:t>
                  </w:r>
                </w:p>
              </w:tc>
              <w:tc>
                <w:tcPr>
                  <w:tcW w:w="457" w:type="pct"/>
                  <w:tcBorders>
                    <w:top w:val="single" w:color="auto" w:sz="4" w:space="0"/>
                    <w:left w:val="single" w:color="auto" w:sz="4" w:space="0"/>
                    <w:bottom w:val="single" w:color="auto" w:sz="4" w:space="0"/>
                    <w:right w:val="single" w:color="auto" w:sz="4" w:space="0"/>
                  </w:tcBorders>
                  <w:vAlign w:val="center"/>
                </w:tcPr>
                <w:p w14:paraId="4986FF93">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69E368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DF7BE3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44070DC">
                  <w:pPr>
                    <w:pStyle w:val="149"/>
                    <w:rPr>
                      <w:rFonts w:eastAsia="Times New Roman"/>
                    </w:rPr>
                  </w:pPr>
                  <w:r>
                    <w:rPr>
                      <w:rFonts w:hint="eastAsia" w:ascii="宋体" w:hAnsi="宋体" w:eastAsia="宋体" w:cs="宋体"/>
                    </w:rPr>
                    <w:t>夜间</w:t>
                  </w:r>
                </w:p>
              </w:tc>
            </w:tr>
            <w:tr w14:paraId="541974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1A3E07B">
                  <w:pPr>
                    <w:pStyle w:val="149"/>
                    <w:rPr>
                      <w:rFonts w:eastAsia="Times New Roman"/>
                    </w:rPr>
                  </w:pPr>
                  <w:r>
                    <w:rPr>
                      <w:rFonts w:eastAsia="Times New Roman"/>
                    </w:rPr>
                    <w:t>57</w:t>
                  </w:r>
                </w:p>
              </w:tc>
              <w:tc>
                <w:tcPr>
                  <w:tcW w:w="848" w:type="pct"/>
                  <w:tcBorders>
                    <w:top w:val="single" w:color="auto" w:sz="4" w:space="0"/>
                    <w:left w:val="single" w:color="auto" w:sz="4" w:space="0"/>
                    <w:bottom w:val="single" w:color="auto" w:sz="4" w:space="0"/>
                    <w:right w:val="single" w:color="auto" w:sz="4" w:space="0"/>
                  </w:tcBorders>
                  <w:vAlign w:val="center"/>
                </w:tcPr>
                <w:p w14:paraId="1EBFEA2B">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0F8CF81">
                  <w:pPr>
                    <w:pStyle w:val="149"/>
                    <w:rPr>
                      <w:rFonts w:eastAsia="Times New Roman"/>
                    </w:rPr>
                  </w:pPr>
                  <w:r>
                    <w:rPr>
                      <w:rFonts w:hint="eastAsia" w:eastAsia="Times New Roman"/>
                    </w:rPr>
                    <w:t>57.81</w:t>
                  </w:r>
                </w:p>
              </w:tc>
              <w:tc>
                <w:tcPr>
                  <w:tcW w:w="440" w:type="pct"/>
                  <w:tcBorders>
                    <w:top w:val="single" w:color="auto" w:sz="4" w:space="0"/>
                    <w:left w:val="single" w:color="auto" w:sz="4" w:space="0"/>
                    <w:bottom w:val="single" w:color="auto" w:sz="4" w:space="0"/>
                    <w:right w:val="single" w:color="auto" w:sz="4" w:space="0"/>
                  </w:tcBorders>
                  <w:vAlign w:val="center"/>
                </w:tcPr>
                <w:p w14:paraId="51B02DED">
                  <w:pPr>
                    <w:pStyle w:val="149"/>
                    <w:rPr>
                      <w:rFonts w:eastAsia="Times New Roman"/>
                    </w:rPr>
                  </w:pPr>
                  <w:r>
                    <w:rPr>
                      <w:rFonts w:hint="eastAsia" w:eastAsia="Times New Roman"/>
                    </w:rPr>
                    <w:t>17.57</w:t>
                  </w:r>
                </w:p>
              </w:tc>
              <w:tc>
                <w:tcPr>
                  <w:tcW w:w="457" w:type="pct"/>
                  <w:tcBorders>
                    <w:top w:val="single" w:color="auto" w:sz="4" w:space="0"/>
                    <w:left w:val="single" w:color="auto" w:sz="4" w:space="0"/>
                    <w:bottom w:val="single" w:color="auto" w:sz="4" w:space="0"/>
                    <w:right w:val="single" w:color="auto" w:sz="4" w:space="0"/>
                  </w:tcBorders>
                  <w:vAlign w:val="center"/>
                </w:tcPr>
                <w:p w14:paraId="1135421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24018EC">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411535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2D161CE">
                  <w:pPr>
                    <w:pStyle w:val="149"/>
                    <w:rPr>
                      <w:rFonts w:eastAsia="Times New Roman"/>
                    </w:rPr>
                  </w:pPr>
                  <w:r>
                    <w:rPr>
                      <w:rFonts w:hint="eastAsia" w:ascii="宋体" w:hAnsi="宋体" w:eastAsia="宋体" w:cs="宋体"/>
                    </w:rPr>
                    <w:t>昼间</w:t>
                  </w:r>
                </w:p>
              </w:tc>
            </w:tr>
            <w:tr w14:paraId="59700F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7676452">
                  <w:pPr>
                    <w:pStyle w:val="149"/>
                    <w:rPr>
                      <w:rFonts w:eastAsia="Times New Roman"/>
                    </w:rPr>
                  </w:pPr>
                  <w:r>
                    <w:rPr>
                      <w:rFonts w:eastAsia="Times New Roman"/>
                    </w:rPr>
                    <w:t>58</w:t>
                  </w:r>
                </w:p>
              </w:tc>
              <w:tc>
                <w:tcPr>
                  <w:tcW w:w="848" w:type="pct"/>
                  <w:tcBorders>
                    <w:top w:val="single" w:color="auto" w:sz="4" w:space="0"/>
                    <w:left w:val="single" w:color="auto" w:sz="4" w:space="0"/>
                    <w:bottom w:val="single" w:color="auto" w:sz="4" w:space="0"/>
                    <w:right w:val="single" w:color="auto" w:sz="4" w:space="0"/>
                  </w:tcBorders>
                  <w:vAlign w:val="center"/>
                </w:tcPr>
                <w:p w14:paraId="2FD9154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4FF5D4B">
                  <w:pPr>
                    <w:pStyle w:val="149"/>
                    <w:rPr>
                      <w:rFonts w:eastAsia="Times New Roman"/>
                    </w:rPr>
                  </w:pPr>
                  <w:r>
                    <w:rPr>
                      <w:rFonts w:hint="eastAsia" w:eastAsia="Times New Roman"/>
                    </w:rPr>
                    <w:t>57.81</w:t>
                  </w:r>
                </w:p>
              </w:tc>
              <w:tc>
                <w:tcPr>
                  <w:tcW w:w="440" w:type="pct"/>
                  <w:tcBorders>
                    <w:top w:val="single" w:color="auto" w:sz="4" w:space="0"/>
                    <w:left w:val="single" w:color="auto" w:sz="4" w:space="0"/>
                    <w:bottom w:val="single" w:color="auto" w:sz="4" w:space="0"/>
                    <w:right w:val="single" w:color="auto" w:sz="4" w:space="0"/>
                  </w:tcBorders>
                  <w:vAlign w:val="center"/>
                </w:tcPr>
                <w:p w14:paraId="7BA08F65">
                  <w:pPr>
                    <w:pStyle w:val="149"/>
                    <w:rPr>
                      <w:rFonts w:eastAsia="Times New Roman"/>
                    </w:rPr>
                  </w:pPr>
                  <w:r>
                    <w:rPr>
                      <w:rFonts w:hint="eastAsia" w:eastAsia="Times New Roman"/>
                    </w:rPr>
                    <w:t>17.57</w:t>
                  </w:r>
                </w:p>
              </w:tc>
              <w:tc>
                <w:tcPr>
                  <w:tcW w:w="457" w:type="pct"/>
                  <w:tcBorders>
                    <w:top w:val="single" w:color="auto" w:sz="4" w:space="0"/>
                    <w:left w:val="single" w:color="auto" w:sz="4" w:space="0"/>
                    <w:bottom w:val="single" w:color="auto" w:sz="4" w:space="0"/>
                    <w:right w:val="single" w:color="auto" w:sz="4" w:space="0"/>
                  </w:tcBorders>
                  <w:vAlign w:val="center"/>
                </w:tcPr>
                <w:p w14:paraId="546EB5A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8B3B2D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03601E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294A7B3">
                  <w:pPr>
                    <w:pStyle w:val="149"/>
                    <w:rPr>
                      <w:rFonts w:eastAsia="Times New Roman"/>
                    </w:rPr>
                  </w:pPr>
                  <w:r>
                    <w:rPr>
                      <w:rFonts w:hint="eastAsia" w:ascii="宋体" w:hAnsi="宋体" w:eastAsia="宋体" w:cs="宋体"/>
                    </w:rPr>
                    <w:t>夜间</w:t>
                  </w:r>
                </w:p>
              </w:tc>
            </w:tr>
            <w:tr w14:paraId="25DB57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D5E9BFD">
                  <w:pPr>
                    <w:pStyle w:val="149"/>
                    <w:rPr>
                      <w:rFonts w:eastAsia="Times New Roman"/>
                    </w:rPr>
                  </w:pPr>
                  <w:r>
                    <w:rPr>
                      <w:rFonts w:eastAsia="Times New Roman"/>
                    </w:rPr>
                    <w:t>59</w:t>
                  </w:r>
                </w:p>
              </w:tc>
              <w:tc>
                <w:tcPr>
                  <w:tcW w:w="848" w:type="pct"/>
                  <w:tcBorders>
                    <w:top w:val="single" w:color="auto" w:sz="4" w:space="0"/>
                    <w:left w:val="single" w:color="auto" w:sz="4" w:space="0"/>
                    <w:bottom w:val="single" w:color="auto" w:sz="4" w:space="0"/>
                    <w:right w:val="single" w:color="auto" w:sz="4" w:space="0"/>
                  </w:tcBorders>
                  <w:vAlign w:val="center"/>
                </w:tcPr>
                <w:p w14:paraId="4606A68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BAFE801">
                  <w:pPr>
                    <w:pStyle w:val="149"/>
                    <w:rPr>
                      <w:rFonts w:eastAsia="Times New Roman"/>
                    </w:rPr>
                  </w:pPr>
                  <w:r>
                    <w:rPr>
                      <w:rFonts w:hint="eastAsia" w:eastAsia="Times New Roman"/>
                    </w:rPr>
                    <w:t>100.7</w:t>
                  </w:r>
                </w:p>
              </w:tc>
              <w:tc>
                <w:tcPr>
                  <w:tcW w:w="440" w:type="pct"/>
                  <w:tcBorders>
                    <w:top w:val="single" w:color="auto" w:sz="4" w:space="0"/>
                    <w:left w:val="single" w:color="auto" w:sz="4" w:space="0"/>
                    <w:bottom w:val="single" w:color="auto" w:sz="4" w:space="0"/>
                    <w:right w:val="single" w:color="auto" w:sz="4" w:space="0"/>
                  </w:tcBorders>
                  <w:vAlign w:val="center"/>
                </w:tcPr>
                <w:p w14:paraId="42300781">
                  <w:pPr>
                    <w:pStyle w:val="149"/>
                    <w:rPr>
                      <w:rFonts w:eastAsia="Times New Roman"/>
                    </w:rPr>
                  </w:pPr>
                  <w:r>
                    <w:rPr>
                      <w:rFonts w:hint="eastAsia" w:eastAsia="Times New Roman"/>
                    </w:rPr>
                    <w:t>16.24</w:t>
                  </w:r>
                </w:p>
              </w:tc>
              <w:tc>
                <w:tcPr>
                  <w:tcW w:w="457" w:type="pct"/>
                  <w:tcBorders>
                    <w:top w:val="single" w:color="auto" w:sz="4" w:space="0"/>
                    <w:left w:val="single" w:color="auto" w:sz="4" w:space="0"/>
                    <w:bottom w:val="single" w:color="auto" w:sz="4" w:space="0"/>
                    <w:right w:val="single" w:color="auto" w:sz="4" w:space="0"/>
                  </w:tcBorders>
                  <w:vAlign w:val="center"/>
                </w:tcPr>
                <w:p w14:paraId="74B0809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F7AF9E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14B83B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74E76EE">
                  <w:pPr>
                    <w:pStyle w:val="149"/>
                    <w:rPr>
                      <w:rFonts w:eastAsia="Times New Roman"/>
                    </w:rPr>
                  </w:pPr>
                  <w:r>
                    <w:rPr>
                      <w:rFonts w:hint="eastAsia" w:ascii="宋体" w:hAnsi="宋体" w:eastAsia="宋体" w:cs="宋体"/>
                    </w:rPr>
                    <w:t>昼间</w:t>
                  </w:r>
                </w:p>
              </w:tc>
            </w:tr>
            <w:tr w14:paraId="590EA6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E8030AF">
                  <w:pPr>
                    <w:pStyle w:val="149"/>
                    <w:rPr>
                      <w:rFonts w:eastAsia="Times New Roman"/>
                    </w:rPr>
                  </w:pPr>
                  <w:r>
                    <w:rPr>
                      <w:rFonts w:eastAsia="Times New Roman"/>
                    </w:rPr>
                    <w:t>60</w:t>
                  </w:r>
                </w:p>
              </w:tc>
              <w:tc>
                <w:tcPr>
                  <w:tcW w:w="848" w:type="pct"/>
                  <w:tcBorders>
                    <w:top w:val="single" w:color="auto" w:sz="4" w:space="0"/>
                    <w:left w:val="single" w:color="auto" w:sz="4" w:space="0"/>
                    <w:bottom w:val="single" w:color="auto" w:sz="4" w:space="0"/>
                    <w:right w:val="single" w:color="auto" w:sz="4" w:space="0"/>
                  </w:tcBorders>
                  <w:vAlign w:val="center"/>
                </w:tcPr>
                <w:p w14:paraId="0985A020">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BC63B96">
                  <w:pPr>
                    <w:pStyle w:val="149"/>
                    <w:rPr>
                      <w:rFonts w:eastAsia="Times New Roman"/>
                    </w:rPr>
                  </w:pPr>
                  <w:r>
                    <w:rPr>
                      <w:rFonts w:hint="eastAsia" w:eastAsia="Times New Roman"/>
                    </w:rPr>
                    <w:t>100.7</w:t>
                  </w:r>
                </w:p>
              </w:tc>
              <w:tc>
                <w:tcPr>
                  <w:tcW w:w="440" w:type="pct"/>
                  <w:tcBorders>
                    <w:top w:val="single" w:color="auto" w:sz="4" w:space="0"/>
                    <w:left w:val="single" w:color="auto" w:sz="4" w:space="0"/>
                    <w:bottom w:val="single" w:color="auto" w:sz="4" w:space="0"/>
                    <w:right w:val="single" w:color="auto" w:sz="4" w:space="0"/>
                  </w:tcBorders>
                  <w:vAlign w:val="center"/>
                </w:tcPr>
                <w:p w14:paraId="2A82B539">
                  <w:pPr>
                    <w:pStyle w:val="149"/>
                    <w:rPr>
                      <w:rFonts w:eastAsia="Times New Roman"/>
                    </w:rPr>
                  </w:pPr>
                  <w:r>
                    <w:rPr>
                      <w:rFonts w:hint="eastAsia" w:eastAsia="Times New Roman"/>
                    </w:rPr>
                    <w:t>16.24</w:t>
                  </w:r>
                </w:p>
              </w:tc>
              <w:tc>
                <w:tcPr>
                  <w:tcW w:w="457" w:type="pct"/>
                  <w:tcBorders>
                    <w:top w:val="single" w:color="auto" w:sz="4" w:space="0"/>
                    <w:left w:val="single" w:color="auto" w:sz="4" w:space="0"/>
                    <w:bottom w:val="single" w:color="auto" w:sz="4" w:space="0"/>
                    <w:right w:val="single" w:color="auto" w:sz="4" w:space="0"/>
                  </w:tcBorders>
                  <w:vAlign w:val="center"/>
                </w:tcPr>
                <w:p w14:paraId="200515E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E81C96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AB3ADC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4DDDFFE">
                  <w:pPr>
                    <w:pStyle w:val="149"/>
                    <w:rPr>
                      <w:rFonts w:eastAsia="Times New Roman"/>
                    </w:rPr>
                  </w:pPr>
                  <w:r>
                    <w:rPr>
                      <w:rFonts w:hint="eastAsia" w:ascii="宋体" w:hAnsi="宋体" w:eastAsia="宋体" w:cs="宋体"/>
                    </w:rPr>
                    <w:t>夜间</w:t>
                  </w:r>
                </w:p>
              </w:tc>
            </w:tr>
            <w:tr w14:paraId="181626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0FA196A">
                  <w:pPr>
                    <w:pStyle w:val="149"/>
                    <w:rPr>
                      <w:rFonts w:eastAsia="Times New Roman"/>
                    </w:rPr>
                  </w:pPr>
                  <w:r>
                    <w:rPr>
                      <w:rFonts w:eastAsia="Times New Roman"/>
                    </w:rPr>
                    <w:t>61</w:t>
                  </w:r>
                </w:p>
              </w:tc>
              <w:tc>
                <w:tcPr>
                  <w:tcW w:w="848" w:type="pct"/>
                  <w:tcBorders>
                    <w:top w:val="single" w:color="auto" w:sz="4" w:space="0"/>
                    <w:left w:val="single" w:color="auto" w:sz="4" w:space="0"/>
                    <w:bottom w:val="single" w:color="auto" w:sz="4" w:space="0"/>
                    <w:right w:val="single" w:color="auto" w:sz="4" w:space="0"/>
                  </w:tcBorders>
                  <w:vAlign w:val="center"/>
                </w:tcPr>
                <w:p w14:paraId="598DCE58">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0D72EC2">
                  <w:pPr>
                    <w:pStyle w:val="149"/>
                    <w:rPr>
                      <w:rFonts w:eastAsia="Times New Roman"/>
                    </w:rPr>
                  </w:pPr>
                  <w:r>
                    <w:rPr>
                      <w:rFonts w:hint="eastAsia" w:eastAsia="Times New Roman"/>
                    </w:rPr>
                    <w:t>95.34</w:t>
                  </w:r>
                </w:p>
              </w:tc>
              <w:tc>
                <w:tcPr>
                  <w:tcW w:w="440" w:type="pct"/>
                  <w:tcBorders>
                    <w:top w:val="single" w:color="auto" w:sz="4" w:space="0"/>
                    <w:left w:val="single" w:color="auto" w:sz="4" w:space="0"/>
                    <w:bottom w:val="single" w:color="auto" w:sz="4" w:space="0"/>
                    <w:right w:val="single" w:color="auto" w:sz="4" w:space="0"/>
                  </w:tcBorders>
                  <w:vAlign w:val="center"/>
                </w:tcPr>
                <w:p w14:paraId="6E84B648">
                  <w:pPr>
                    <w:pStyle w:val="149"/>
                    <w:rPr>
                      <w:rFonts w:eastAsia="Times New Roman"/>
                    </w:rPr>
                  </w:pPr>
                  <w:r>
                    <w:rPr>
                      <w:rFonts w:hint="eastAsia" w:eastAsia="Times New Roman"/>
                    </w:rPr>
                    <w:t>17.18</w:t>
                  </w:r>
                </w:p>
              </w:tc>
              <w:tc>
                <w:tcPr>
                  <w:tcW w:w="457" w:type="pct"/>
                  <w:tcBorders>
                    <w:top w:val="single" w:color="auto" w:sz="4" w:space="0"/>
                    <w:left w:val="single" w:color="auto" w:sz="4" w:space="0"/>
                    <w:bottom w:val="single" w:color="auto" w:sz="4" w:space="0"/>
                    <w:right w:val="single" w:color="auto" w:sz="4" w:space="0"/>
                  </w:tcBorders>
                  <w:vAlign w:val="center"/>
                </w:tcPr>
                <w:p w14:paraId="6232AFAD">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A64594D">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5A3C7F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649A782">
                  <w:pPr>
                    <w:pStyle w:val="149"/>
                    <w:rPr>
                      <w:rFonts w:eastAsia="Times New Roman"/>
                    </w:rPr>
                  </w:pPr>
                  <w:r>
                    <w:rPr>
                      <w:rFonts w:hint="eastAsia" w:ascii="宋体" w:hAnsi="宋体" w:eastAsia="宋体" w:cs="宋体"/>
                    </w:rPr>
                    <w:t>昼间</w:t>
                  </w:r>
                </w:p>
              </w:tc>
            </w:tr>
            <w:tr w14:paraId="0F0188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0107542">
                  <w:pPr>
                    <w:pStyle w:val="149"/>
                    <w:rPr>
                      <w:rFonts w:eastAsia="Times New Roman"/>
                    </w:rPr>
                  </w:pPr>
                  <w:r>
                    <w:rPr>
                      <w:rFonts w:eastAsia="Times New Roman"/>
                    </w:rPr>
                    <w:t>62</w:t>
                  </w:r>
                </w:p>
              </w:tc>
              <w:tc>
                <w:tcPr>
                  <w:tcW w:w="848" w:type="pct"/>
                  <w:tcBorders>
                    <w:top w:val="single" w:color="auto" w:sz="4" w:space="0"/>
                    <w:left w:val="single" w:color="auto" w:sz="4" w:space="0"/>
                    <w:bottom w:val="single" w:color="auto" w:sz="4" w:space="0"/>
                    <w:right w:val="single" w:color="auto" w:sz="4" w:space="0"/>
                  </w:tcBorders>
                  <w:vAlign w:val="center"/>
                </w:tcPr>
                <w:p w14:paraId="1B3E3630">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CD68857">
                  <w:pPr>
                    <w:pStyle w:val="149"/>
                    <w:rPr>
                      <w:rFonts w:eastAsia="Times New Roman"/>
                    </w:rPr>
                  </w:pPr>
                  <w:r>
                    <w:rPr>
                      <w:rFonts w:hint="eastAsia" w:eastAsia="Times New Roman"/>
                    </w:rPr>
                    <w:t>95.34</w:t>
                  </w:r>
                </w:p>
              </w:tc>
              <w:tc>
                <w:tcPr>
                  <w:tcW w:w="440" w:type="pct"/>
                  <w:tcBorders>
                    <w:top w:val="single" w:color="auto" w:sz="4" w:space="0"/>
                    <w:left w:val="single" w:color="auto" w:sz="4" w:space="0"/>
                    <w:bottom w:val="single" w:color="auto" w:sz="4" w:space="0"/>
                    <w:right w:val="single" w:color="auto" w:sz="4" w:space="0"/>
                  </w:tcBorders>
                  <w:vAlign w:val="center"/>
                </w:tcPr>
                <w:p w14:paraId="1C85906B">
                  <w:pPr>
                    <w:pStyle w:val="149"/>
                    <w:rPr>
                      <w:rFonts w:eastAsia="Times New Roman"/>
                    </w:rPr>
                  </w:pPr>
                  <w:r>
                    <w:rPr>
                      <w:rFonts w:hint="eastAsia" w:eastAsia="Times New Roman"/>
                    </w:rPr>
                    <w:t>17.18</w:t>
                  </w:r>
                </w:p>
              </w:tc>
              <w:tc>
                <w:tcPr>
                  <w:tcW w:w="457" w:type="pct"/>
                  <w:tcBorders>
                    <w:top w:val="single" w:color="auto" w:sz="4" w:space="0"/>
                    <w:left w:val="single" w:color="auto" w:sz="4" w:space="0"/>
                    <w:bottom w:val="single" w:color="auto" w:sz="4" w:space="0"/>
                    <w:right w:val="single" w:color="auto" w:sz="4" w:space="0"/>
                  </w:tcBorders>
                  <w:vAlign w:val="center"/>
                </w:tcPr>
                <w:p w14:paraId="1AF1B0B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41C7738">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1BCDA13">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D19FC53">
                  <w:pPr>
                    <w:pStyle w:val="149"/>
                    <w:rPr>
                      <w:rFonts w:eastAsia="Times New Roman"/>
                    </w:rPr>
                  </w:pPr>
                  <w:r>
                    <w:rPr>
                      <w:rFonts w:hint="eastAsia" w:ascii="宋体" w:hAnsi="宋体" w:eastAsia="宋体" w:cs="宋体"/>
                    </w:rPr>
                    <w:t>夜间</w:t>
                  </w:r>
                </w:p>
              </w:tc>
            </w:tr>
            <w:tr w14:paraId="3B2C8B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20A17BD">
                  <w:pPr>
                    <w:pStyle w:val="149"/>
                    <w:rPr>
                      <w:rFonts w:eastAsia="Times New Roman"/>
                    </w:rPr>
                  </w:pPr>
                  <w:r>
                    <w:rPr>
                      <w:rFonts w:eastAsia="Times New Roman"/>
                    </w:rPr>
                    <w:t>63</w:t>
                  </w:r>
                </w:p>
              </w:tc>
              <w:tc>
                <w:tcPr>
                  <w:tcW w:w="848" w:type="pct"/>
                  <w:tcBorders>
                    <w:top w:val="single" w:color="auto" w:sz="4" w:space="0"/>
                    <w:left w:val="single" w:color="auto" w:sz="4" w:space="0"/>
                    <w:bottom w:val="single" w:color="auto" w:sz="4" w:space="0"/>
                    <w:right w:val="single" w:color="auto" w:sz="4" w:space="0"/>
                  </w:tcBorders>
                  <w:vAlign w:val="center"/>
                </w:tcPr>
                <w:p w14:paraId="18CD03D4">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4574086">
                  <w:pPr>
                    <w:pStyle w:val="149"/>
                    <w:rPr>
                      <w:rFonts w:eastAsia="Times New Roman"/>
                    </w:rPr>
                  </w:pPr>
                  <w:r>
                    <w:rPr>
                      <w:rFonts w:hint="eastAsia" w:eastAsia="Times New Roman"/>
                    </w:rPr>
                    <w:t>90.75</w:t>
                  </w:r>
                </w:p>
              </w:tc>
              <w:tc>
                <w:tcPr>
                  <w:tcW w:w="440" w:type="pct"/>
                  <w:tcBorders>
                    <w:top w:val="single" w:color="auto" w:sz="4" w:space="0"/>
                    <w:left w:val="single" w:color="auto" w:sz="4" w:space="0"/>
                    <w:bottom w:val="single" w:color="auto" w:sz="4" w:space="0"/>
                    <w:right w:val="single" w:color="auto" w:sz="4" w:space="0"/>
                  </w:tcBorders>
                  <w:vAlign w:val="center"/>
                </w:tcPr>
                <w:p w14:paraId="67F6D2FF">
                  <w:pPr>
                    <w:pStyle w:val="149"/>
                    <w:rPr>
                      <w:rFonts w:eastAsia="Times New Roman"/>
                    </w:rPr>
                  </w:pPr>
                  <w:r>
                    <w:rPr>
                      <w:rFonts w:hint="eastAsia" w:eastAsia="Times New Roman"/>
                    </w:rPr>
                    <w:t>18.08</w:t>
                  </w:r>
                </w:p>
              </w:tc>
              <w:tc>
                <w:tcPr>
                  <w:tcW w:w="457" w:type="pct"/>
                  <w:tcBorders>
                    <w:top w:val="single" w:color="auto" w:sz="4" w:space="0"/>
                    <w:left w:val="single" w:color="auto" w:sz="4" w:space="0"/>
                    <w:bottom w:val="single" w:color="auto" w:sz="4" w:space="0"/>
                    <w:right w:val="single" w:color="auto" w:sz="4" w:space="0"/>
                  </w:tcBorders>
                  <w:vAlign w:val="center"/>
                </w:tcPr>
                <w:p w14:paraId="001EC6A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A6B1E6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CA2131F">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FF7BC22">
                  <w:pPr>
                    <w:pStyle w:val="149"/>
                    <w:rPr>
                      <w:rFonts w:eastAsia="Times New Roman"/>
                    </w:rPr>
                  </w:pPr>
                  <w:r>
                    <w:rPr>
                      <w:rFonts w:hint="eastAsia" w:ascii="宋体" w:hAnsi="宋体" w:eastAsia="宋体" w:cs="宋体"/>
                    </w:rPr>
                    <w:t>昼间</w:t>
                  </w:r>
                </w:p>
              </w:tc>
            </w:tr>
            <w:tr w14:paraId="4DB39B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F4BB363">
                  <w:pPr>
                    <w:pStyle w:val="149"/>
                    <w:rPr>
                      <w:rFonts w:eastAsia="Times New Roman"/>
                    </w:rPr>
                  </w:pPr>
                  <w:r>
                    <w:rPr>
                      <w:rFonts w:eastAsia="Times New Roman"/>
                    </w:rPr>
                    <w:t>64</w:t>
                  </w:r>
                </w:p>
              </w:tc>
              <w:tc>
                <w:tcPr>
                  <w:tcW w:w="848" w:type="pct"/>
                  <w:tcBorders>
                    <w:top w:val="single" w:color="auto" w:sz="4" w:space="0"/>
                    <w:left w:val="single" w:color="auto" w:sz="4" w:space="0"/>
                    <w:bottom w:val="single" w:color="auto" w:sz="4" w:space="0"/>
                    <w:right w:val="single" w:color="auto" w:sz="4" w:space="0"/>
                  </w:tcBorders>
                  <w:vAlign w:val="center"/>
                </w:tcPr>
                <w:p w14:paraId="78BD73C1">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27BF836">
                  <w:pPr>
                    <w:pStyle w:val="149"/>
                    <w:rPr>
                      <w:rFonts w:eastAsia="Times New Roman"/>
                    </w:rPr>
                  </w:pPr>
                  <w:r>
                    <w:rPr>
                      <w:rFonts w:hint="eastAsia" w:eastAsia="Times New Roman"/>
                    </w:rPr>
                    <w:t>90.75</w:t>
                  </w:r>
                </w:p>
              </w:tc>
              <w:tc>
                <w:tcPr>
                  <w:tcW w:w="440" w:type="pct"/>
                  <w:tcBorders>
                    <w:top w:val="single" w:color="auto" w:sz="4" w:space="0"/>
                    <w:left w:val="single" w:color="auto" w:sz="4" w:space="0"/>
                    <w:bottom w:val="single" w:color="auto" w:sz="4" w:space="0"/>
                    <w:right w:val="single" w:color="auto" w:sz="4" w:space="0"/>
                  </w:tcBorders>
                  <w:vAlign w:val="center"/>
                </w:tcPr>
                <w:p w14:paraId="331F66A4">
                  <w:pPr>
                    <w:pStyle w:val="149"/>
                    <w:rPr>
                      <w:rFonts w:eastAsia="Times New Roman"/>
                    </w:rPr>
                  </w:pPr>
                  <w:r>
                    <w:rPr>
                      <w:rFonts w:hint="eastAsia" w:eastAsia="Times New Roman"/>
                    </w:rPr>
                    <w:t>18.08</w:t>
                  </w:r>
                </w:p>
              </w:tc>
              <w:tc>
                <w:tcPr>
                  <w:tcW w:w="457" w:type="pct"/>
                  <w:tcBorders>
                    <w:top w:val="single" w:color="auto" w:sz="4" w:space="0"/>
                    <w:left w:val="single" w:color="auto" w:sz="4" w:space="0"/>
                    <w:bottom w:val="single" w:color="auto" w:sz="4" w:space="0"/>
                    <w:right w:val="single" w:color="auto" w:sz="4" w:space="0"/>
                  </w:tcBorders>
                  <w:vAlign w:val="center"/>
                </w:tcPr>
                <w:p w14:paraId="25B8911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958BE2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28E35F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FD70DCE">
                  <w:pPr>
                    <w:pStyle w:val="149"/>
                    <w:rPr>
                      <w:rFonts w:eastAsia="Times New Roman"/>
                    </w:rPr>
                  </w:pPr>
                  <w:r>
                    <w:rPr>
                      <w:rFonts w:hint="eastAsia" w:ascii="宋体" w:hAnsi="宋体" w:eastAsia="宋体" w:cs="宋体"/>
                    </w:rPr>
                    <w:t>夜间</w:t>
                  </w:r>
                </w:p>
              </w:tc>
            </w:tr>
            <w:tr w14:paraId="2872E3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AD71FA1">
                  <w:pPr>
                    <w:pStyle w:val="149"/>
                    <w:rPr>
                      <w:rFonts w:eastAsia="Times New Roman"/>
                    </w:rPr>
                  </w:pPr>
                  <w:r>
                    <w:rPr>
                      <w:rFonts w:eastAsia="Times New Roman"/>
                    </w:rPr>
                    <w:t>65</w:t>
                  </w:r>
                </w:p>
              </w:tc>
              <w:tc>
                <w:tcPr>
                  <w:tcW w:w="848" w:type="pct"/>
                  <w:tcBorders>
                    <w:top w:val="single" w:color="auto" w:sz="4" w:space="0"/>
                    <w:left w:val="single" w:color="auto" w:sz="4" w:space="0"/>
                    <w:bottom w:val="single" w:color="auto" w:sz="4" w:space="0"/>
                    <w:right w:val="single" w:color="auto" w:sz="4" w:space="0"/>
                  </w:tcBorders>
                  <w:vAlign w:val="center"/>
                </w:tcPr>
                <w:p w14:paraId="6E3C3553">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F708F13">
                  <w:pPr>
                    <w:pStyle w:val="149"/>
                    <w:rPr>
                      <w:rFonts w:eastAsia="Times New Roman"/>
                    </w:rPr>
                  </w:pPr>
                  <w:r>
                    <w:rPr>
                      <w:rFonts w:hint="eastAsia" w:eastAsia="Times New Roman"/>
                    </w:rPr>
                    <w:t>86.39</w:t>
                  </w:r>
                </w:p>
              </w:tc>
              <w:tc>
                <w:tcPr>
                  <w:tcW w:w="440" w:type="pct"/>
                  <w:tcBorders>
                    <w:top w:val="single" w:color="auto" w:sz="4" w:space="0"/>
                    <w:left w:val="single" w:color="auto" w:sz="4" w:space="0"/>
                    <w:bottom w:val="single" w:color="auto" w:sz="4" w:space="0"/>
                    <w:right w:val="single" w:color="auto" w:sz="4" w:space="0"/>
                  </w:tcBorders>
                  <w:vAlign w:val="center"/>
                </w:tcPr>
                <w:p w14:paraId="233528E2">
                  <w:pPr>
                    <w:pStyle w:val="149"/>
                    <w:rPr>
                      <w:rFonts w:eastAsia="Times New Roman"/>
                    </w:rPr>
                  </w:pPr>
                  <w:r>
                    <w:rPr>
                      <w:rFonts w:hint="eastAsia" w:eastAsia="Times New Roman"/>
                    </w:rPr>
                    <w:t>18.6</w:t>
                  </w:r>
                </w:p>
              </w:tc>
              <w:tc>
                <w:tcPr>
                  <w:tcW w:w="457" w:type="pct"/>
                  <w:tcBorders>
                    <w:top w:val="single" w:color="auto" w:sz="4" w:space="0"/>
                    <w:left w:val="single" w:color="auto" w:sz="4" w:space="0"/>
                    <w:bottom w:val="single" w:color="auto" w:sz="4" w:space="0"/>
                    <w:right w:val="single" w:color="auto" w:sz="4" w:space="0"/>
                  </w:tcBorders>
                  <w:vAlign w:val="center"/>
                </w:tcPr>
                <w:p w14:paraId="563BB2B3">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255B84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C30E1E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12878B4">
                  <w:pPr>
                    <w:pStyle w:val="149"/>
                    <w:rPr>
                      <w:rFonts w:eastAsia="Times New Roman"/>
                    </w:rPr>
                  </w:pPr>
                  <w:r>
                    <w:rPr>
                      <w:rFonts w:hint="eastAsia" w:ascii="宋体" w:hAnsi="宋体" w:eastAsia="宋体" w:cs="宋体"/>
                    </w:rPr>
                    <w:t>昼间</w:t>
                  </w:r>
                </w:p>
              </w:tc>
            </w:tr>
            <w:tr w14:paraId="5463AE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E912A4C">
                  <w:pPr>
                    <w:pStyle w:val="149"/>
                    <w:rPr>
                      <w:rFonts w:eastAsia="Times New Roman"/>
                    </w:rPr>
                  </w:pPr>
                  <w:r>
                    <w:rPr>
                      <w:rFonts w:eastAsia="Times New Roman"/>
                    </w:rPr>
                    <w:t>66</w:t>
                  </w:r>
                </w:p>
              </w:tc>
              <w:tc>
                <w:tcPr>
                  <w:tcW w:w="848" w:type="pct"/>
                  <w:tcBorders>
                    <w:top w:val="single" w:color="auto" w:sz="4" w:space="0"/>
                    <w:left w:val="single" w:color="auto" w:sz="4" w:space="0"/>
                    <w:bottom w:val="single" w:color="auto" w:sz="4" w:space="0"/>
                    <w:right w:val="single" w:color="auto" w:sz="4" w:space="0"/>
                  </w:tcBorders>
                  <w:vAlign w:val="center"/>
                </w:tcPr>
                <w:p w14:paraId="42CBA18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1B5FFC1">
                  <w:pPr>
                    <w:pStyle w:val="149"/>
                    <w:rPr>
                      <w:rFonts w:eastAsia="Times New Roman"/>
                    </w:rPr>
                  </w:pPr>
                  <w:r>
                    <w:rPr>
                      <w:rFonts w:hint="eastAsia" w:eastAsia="Times New Roman"/>
                    </w:rPr>
                    <w:t>86.39</w:t>
                  </w:r>
                </w:p>
              </w:tc>
              <w:tc>
                <w:tcPr>
                  <w:tcW w:w="440" w:type="pct"/>
                  <w:tcBorders>
                    <w:top w:val="single" w:color="auto" w:sz="4" w:space="0"/>
                    <w:left w:val="single" w:color="auto" w:sz="4" w:space="0"/>
                    <w:bottom w:val="single" w:color="auto" w:sz="4" w:space="0"/>
                    <w:right w:val="single" w:color="auto" w:sz="4" w:space="0"/>
                  </w:tcBorders>
                  <w:vAlign w:val="center"/>
                </w:tcPr>
                <w:p w14:paraId="0EB3B527">
                  <w:pPr>
                    <w:pStyle w:val="149"/>
                    <w:rPr>
                      <w:rFonts w:eastAsia="Times New Roman"/>
                    </w:rPr>
                  </w:pPr>
                  <w:r>
                    <w:rPr>
                      <w:rFonts w:hint="eastAsia" w:eastAsia="Times New Roman"/>
                    </w:rPr>
                    <w:t>18.6</w:t>
                  </w:r>
                </w:p>
              </w:tc>
              <w:tc>
                <w:tcPr>
                  <w:tcW w:w="457" w:type="pct"/>
                  <w:tcBorders>
                    <w:top w:val="single" w:color="auto" w:sz="4" w:space="0"/>
                    <w:left w:val="single" w:color="auto" w:sz="4" w:space="0"/>
                    <w:bottom w:val="single" w:color="auto" w:sz="4" w:space="0"/>
                    <w:right w:val="single" w:color="auto" w:sz="4" w:space="0"/>
                  </w:tcBorders>
                  <w:vAlign w:val="center"/>
                </w:tcPr>
                <w:p w14:paraId="32E33A4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F8F95E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7BBFAF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AE85404">
                  <w:pPr>
                    <w:pStyle w:val="149"/>
                    <w:rPr>
                      <w:rFonts w:eastAsia="Times New Roman"/>
                    </w:rPr>
                  </w:pPr>
                  <w:r>
                    <w:rPr>
                      <w:rFonts w:hint="eastAsia" w:ascii="宋体" w:hAnsi="宋体" w:eastAsia="宋体" w:cs="宋体"/>
                    </w:rPr>
                    <w:t>夜间</w:t>
                  </w:r>
                </w:p>
              </w:tc>
            </w:tr>
            <w:tr w14:paraId="05F9A5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05BAAA1">
                  <w:pPr>
                    <w:pStyle w:val="149"/>
                    <w:rPr>
                      <w:rFonts w:eastAsia="Times New Roman"/>
                    </w:rPr>
                  </w:pPr>
                  <w:r>
                    <w:rPr>
                      <w:rFonts w:eastAsia="Times New Roman"/>
                    </w:rPr>
                    <w:t>67</w:t>
                  </w:r>
                </w:p>
              </w:tc>
              <w:tc>
                <w:tcPr>
                  <w:tcW w:w="848" w:type="pct"/>
                  <w:tcBorders>
                    <w:top w:val="single" w:color="auto" w:sz="4" w:space="0"/>
                    <w:left w:val="single" w:color="auto" w:sz="4" w:space="0"/>
                    <w:bottom w:val="single" w:color="auto" w:sz="4" w:space="0"/>
                    <w:right w:val="single" w:color="auto" w:sz="4" w:space="0"/>
                  </w:tcBorders>
                  <w:vAlign w:val="center"/>
                </w:tcPr>
                <w:p w14:paraId="18F948C4">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6628D3E">
                  <w:pPr>
                    <w:pStyle w:val="149"/>
                    <w:rPr>
                      <w:rFonts w:eastAsia="Times New Roman"/>
                    </w:rPr>
                  </w:pPr>
                  <w:r>
                    <w:rPr>
                      <w:rFonts w:hint="eastAsia" w:eastAsia="Times New Roman"/>
                    </w:rPr>
                    <w:t>67.18</w:t>
                  </w:r>
                </w:p>
              </w:tc>
              <w:tc>
                <w:tcPr>
                  <w:tcW w:w="440" w:type="pct"/>
                  <w:tcBorders>
                    <w:top w:val="single" w:color="auto" w:sz="4" w:space="0"/>
                    <w:left w:val="single" w:color="auto" w:sz="4" w:space="0"/>
                    <w:bottom w:val="single" w:color="auto" w:sz="4" w:space="0"/>
                    <w:right w:val="single" w:color="auto" w:sz="4" w:space="0"/>
                  </w:tcBorders>
                  <w:vAlign w:val="center"/>
                </w:tcPr>
                <w:p w14:paraId="196BC461">
                  <w:pPr>
                    <w:pStyle w:val="149"/>
                    <w:rPr>
                      <w:rFonts w:eastAsia="Times New Roman"/>
                    </w:rPr>
                  </w:pPr>
                  <w:r>
                    <w:rPr>
                      <w:rFonts w:hint="eastAsia" w:eastAsia="Times New Roman"/>
                    </w:rPr>
                    <w:t>16.18</w:t>
                  </w:r>
                </w:p>
              </w:tc>
              <w:tc>
                <w:tcPr>
                  <w:tcW w:w="457" w:type="pct"/>
                  <w:tcBorders>
                    <w:top w:val="single" w:color="auto" w:sz="4" w:space="0"/>
                    <w:left w:val="single" w:color="auto" w:sz="4" w:space="0"/>
                    <w:bottom w:val="single" w:color="auto" w:sz="4" w:space="0"/>
                    <w:right w:val="single" w:color="auto" w:sz="4" w:space="0"/>
                  </w:tcBorders>
                  <w:vAlign w:val="center"/>
                </w:tcPr>
                <w:p w14:paraId="743AAE1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936E98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42F5E7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FF00375">
                  <w:pPr>
                    <w:pStyle w:val="149"/>
                    <w:rPr>
                      <w:rFonts w:eastAsia="Times New Roman"/>
                    </w:rPr>
                  </w:pPr>
                  <w:r>
                    <w:rPr>
                      <w:rFonts w:hint="eastAsia" w:ascii="宋体" w:hAnsi="宋体" w:eastAsia="宋体" w:cs="宋体"/>
                    </w:rPr>
                    <w:t>昼间</w:t>
                  </w:r>
                </w:p>
              </w:tc>
            </w:tr>
            <w:tr w14:paraId="607070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0914799">
                  <w:pPr>
                    <w:pStyle w:val="149"/>
                    <w:rPr>
                      <w:rFonts w:eastAsia="Times New Roman"/>
                    </w:rPr>
                  </w:pPr>
                  <w:r>
                    <w:rPr>
                      <w:rFonts w:eastAsia="Times New Roman"/>
                    </w:rPr>
                    <w:t>68</w:t>
                  </w:r>
                </w:p>
              </w:tc>
              <w:tc>
                <w:tcPr>
                  <w:tcW w:w="848" w:type="pct"/>
                  <w:tcBorders>
                    <w:top w:val="single" w:color="auto" w:sz="4" w:space="0"/>
                    <w:left w:val="single" w:color="auto" w:sz="4" w:space="0"/>
                    <w:bottom w:val="single" w:color="auto" w:sz="4" w:space="0"/>
                    <w:right w:val="single" w:color="auto" w:sz="4" w:space="0"/>
                  </w:tcBorders>
                  <w:vAlign w:val="center"/>
                </w:tcPr>
                <w:p w14:paraId="280C38AA">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70D1733">
                  <w:pPr>
                    <w:pStyle w:val="149"/>
                    <w:rPr>
                      <w:rFonts w:eastAsia="Times New Roman"/>
                    </w:rPr>
                  </w:pPr>
                  <w:r>
                    <w:rPr>
                      <w:rFonts w:hint="eastAsia" w:eastAsia="Times New Roman"/>
                    </w:rPr>
                    <w:t>67.18</w:t>
                  </w:r>
                </w:p>
              </w:tc>
              <w:tc>
                <w:tcPr>
                  <w:tcW w:w="440" w:type="pct"/>
                  <w:tcBorders>
                    <w:top w:val="single" w:color="auto" w:sz="4" w:space="0"/>
                    <w:left w:val="single" w:color="auto" w:sz="4" w:space="0"/>
                    <w:bottom w:val="single" w:color="auto" w:sz="4" w:space="0"/>
                    <w:right w:val="single" w:color="auto" w:sz="4" w:space="0"/>
                  </w:tcBorders>
                  <w:vAlign w:val="center"/>
                </w:tcPr>
                <w:p w14:paraId="417C5067">
                  <w:pPr>
                    <w:pStyle w:val="149"/>
                    <w:rPr>
                      <w:rFonts w:eastAsia="Times New Roman"/>
                    </w:rPr>
                  </w:pPr>
                  <w:r>
                    <w:rPr>
                      <w:rFonts w:hint="eastAsia" w:eastAsia="Times New Roman"/>
                    </w:rPr>
                    <w:t>16.18</w:t>
                  </w:r>
                </w:p>
              </w:tc>
              <w:tc>
                <w:tcPr>
                  <w:tcW w:w="457" w:type="pct"/>
                  <w:tcBorders>
                    <w:top w:val="single" w:color="auto" w:sz="4" w:space="0"/>
                    <w:left w:val="single" w:color="auto" w:sz="4" w:space="0"/>
                    <w:bottom w:val="single" w:color="auto" w:sz="4" w:space="0"/>
                    <w:right w:val="single" w:color="auto" w:sz="4" w:space="0"/>
                  </w:tcBorders>
                  <w:vAlign w:val="center"/>
                </w:tcPr>
                <w:p w14:paraId="7E7E998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73B99B8">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BC777B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B7F0DAA">
                  <w:pPr>
                    <w:pStyle w:val="149"/>
                    <w:rPr>
                      <w:rFonts w:eastAsia="Times New Roman"/>
                    </w:rPr>
                  </w:pPr>
                  <w:r>
                    <w:rPr>
                      <w:rFonts w:hint="eastAsia" w:ascii="宋体" w:hAnsi="宋体" w:eastAsia="宋体" w:cs="宋体"/>
                    </w:rPr>
                    <w:t>夜间</w:t>
                  </w:r>
                </w:p>
              </w:tc>
            </w:tr>
            <w:tr w14:paraId="418D8E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660A905">
                  <w:pPr>
                    <w:pStyle w:val="149"/>
                    <w:rPr>
                      <w:rFonts w:eastAsia="Times New Roman"/>
                    </w:rPr>
                  </w:pPr>
                  <w:r>
                    <w:rPr>
                      <w:rFonts w:eastAsia="Times New Roman"/>
                    </w:rPr>
                    <w:t>69</w:t>
                  </w:r>
                </w:p>
              </w:tc>
              <w:tc>
                <w:tcPr>
                  <w:tcW w:w="848" w:type="pct"/>
                  <w:tcBorders>
                    <w:top w:val="single" w:color="auto" w:sz="4" w:space="0"/>
                    <w:left w:val="single" w:color="auto" w:sz="4" w:space="0"/>
                    <w:bottom w:val="single" w:color="auto" w:sz="4" w:space="0"/>
                    <w:right w:val="single" w:color="auto" w:sz="4" w:space="0"/>
                  </w:tcBorders>
                  <w:vAlign w:val="center"/>
                </w:tcPr>
                <w:p w14:paraId="063DE467">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567FBA9">
                  <w:pPr>
                    <w:pStyle w:val="149"/>
                    <w:rPr>
                      <w:rFonts w:eastAsia="Times New Roman"/>
                    </w:rPr>
                  </w:pPr>
                  <w:r>
                    <w:rPr>
                      <w:rFonts w:hint="eastAsia" w:eastAsia="Times New Roman"/>
                    </w:rPr>
                    <w:t>81.13</w:t>
                  </w:r>
                </w:p>
              </w:tc>
              <w:tc>
                <w:tcPr>
                  <w:tcW w:w="440" w:type="pct"/>
                  <w:tcBorders>
                    <w:top w:val="single" w:color="auto" w:sz="4" w:space="0"/>
                    <w:left w:val="single" w:color="auto" w:sz="4" w:space="0"/>
                    <w:bottom w:val="single" w:color="auto" w:sz="4" w:space="0"/>
                    <w:right w:val="single" w:color="auto" w:sz="4" w:space="0"/>
                  </w:tcBorders>
                  <w:vAlign w:val="center"/>
                </w:tcPr>
                <w:p w14:paraId="1862D3A4">
                  <w:pPr>
                    <w:pStyle w:val="149"/>
                    <w:rPr>
                      <w:rFonts w:eastAsia="Times New Roman"/>
                    </w:rPr>
                  </w:pPr>
                  <w:r>
                    <w:rPr>
                      <w:rFonts w:hint="eastAsia" w:eastAsia="Times New Roman"/>
                    </w:rPr>
                    <w:t>19.2</w:t>
                  </w:r>
                </w:p>
              </w:tc>
              <w:tc>
                <w:tcPr>
                  <w:tcW w:w="457" w:type="pct"/>
                  <w:tcBorders>
                    <w:top w:val="single" w:color="auto" w:sz="4" w:space="0"/>
                    <w:left w:val="single" w:color="auto" w:sz="4" w:space="0"/>
                    <w:bottom w:val="single" w:color="auto" w:sz="4" w:space="0"/>
                    <w:right w:val="single" w:color="auto" w:sz="4" w:space="0"/>
                  </w:tcBorders>
                  <w:vAlign w:val="center"/>
                </w:tcPr>
                <w:p w14:paraId="2981068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8A5B35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E2CB11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6A110A2">
                  <w:pPr>
                    <w:pStyle w:val="149"/>
                    <w:rPr>
                      <w:rFonts w:eastAsia="Times New Roman"/>
                    </w:rPr>
                  </w:pPr>
                  <w:r>
                    <w:rPr>
                      <w:rFonts w:hint="eastAsia" w:ascii="宋体" w:hAnsi="宋体" w:eastAsia="宋体" w:cs="宋体"/>
                    </w:rPr>
                    <w:t>昼间</w:t>
                  </w:r>
                </w:p>
              </w:tc>
            </w:tr>
            <w:tr w14:paraId="4F4A50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5F48AB9">
                  <w:pPr>
                    <w:pStyle w:val="149"/>
                    <w:rPr>
                      <w:rFonts w:eastAsia="Times New Roman"/>
                    </w:rPr>
                  </w:pPr>
                  <w:r>
                    <w:rPr>
                      <w:rFonts w:eastAsia="Times New Roman"/>
                    </w:rPr>
                    <w:t>70</w:t>
                  </w:r>
                </w:p>
              </w:tc>
              <w:tc>
                <w:tcPr>
                  <w:tcW w:w="848" w:type="pct"/>
                  <w:tcBorders>
                    <w:top w:val="single" w:color="auto" w:sz="4" w:space="0"/>
                    <w:left w:val="single" w:color="auto" w:sz="4" w:space="0"/>
                    <w:bottom w:val="single" w:color="auto" w:sz="4" w:space="0"/>
                    <w:right w:val="single" w:color="auto" w:sz="4" w:space="0"/>
                  </w:tcBorders>
                  <w:vAlign w:val="center"/>
                </w:tcPr>
                <w:p w14:paraId="01DA808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F962271">
                  <w:pPr>
                    <w:pStyle w:val="149"/>
                    <w:rPr>
                      <w:rFonts w:eastAsia="Times New Roman"/>
                    </w:rPr>
                  </w:pPr>
                  <w:r>
                    <w:rPr>
                      <w:rFonts w:hint="eastAsia" w:eastAsia="Times New Roman"/>
                    </w:rPr>
                    <w:t>81.13</w:t>
                  </w:r>
                </w:p>
              </w:tc>
              <w:tc>
                <w:tcPr>
                  <w:tcW w:w="440" w:type="pct"/>
                  <w:tcBorders>
                    <w:top w:val="single" w:color="auto" w:sz="4" w:space="0"/>
                    <w:left w:val="single" w:color="auto" w:sz="4" w:space="0"/>
                    <w:bottom w:val="single" w:color="auto" w:sz="4" w:space="0"/>
                    <w:right w:val="single" w:color="auto" w:sz="4" w:space="0"/>
                  </w:tcBorders>
                  <w:vAlign w:val="center"/>
                </w:tcPr>
                <w:p w14:paraId="4F3410FF">
                  <w:pPr>
                    <w:pStyle w:val="149"/>
                    <w:rPr>
                      <w:rFonts w:eastAsia="Times New Roman"/>
                    </w:rPr>
                  </w:pPr>
                  <w:r>
                    <w:rPr>
                      <w:rFonts w:hint="eastAsia" w:eastAsia="Times New Roman"/>
                    </w:rPr>
                    <w:t>19.2</w:t>
                  </w:r>
                </w:p>
              </w:tc>
              <w:tc>
                <w:tcPr>
                  <w:tcW w:w="457" w:type="pct"/>
                  <w:tcBorders>
                    <w:top w:val="single" w:color="auto" w:sz="4" w:space="0"/>
                    <w:left w:val="single" w:color="auto" w:sz="4" w:space="0"/>
                    <w:bottom w:val="single" w:color="auto" w:sz="4" w:space="0"/>
                    <w:right w:val="single" w:color="auto" w:sz="4" w:space="0"/>
                  </w:tcBorders>
                  <w:vAlign w:val="center"/>
                </w:tcPr>
                <w:p w14:paraId="213B315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9218C7C">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DBB5332">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C646974">
                  <w:pPr>
                    <w:pStyle w:val="149"/>
                    <w:rPr>
                      <w:rFonts w:eastAsia="Times New Roman"/>
                    </w:rPr>
                  </w:pPr>
                  <w:r>
                    <w:rPr>
                      <w:rFonts w:hint="eastAsia" w:ascii="宋体" w:hAnsi="宋体" w:eastAsia="宋体" w:cs="宋体"/>
                    </w:rPr>
                    <w:t>夜间</w:t>
                  </w:r>
                </w:p>
              </w:tc>
            </w:tr>
            <w:tr w14:paraId="2239A3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2F93048">
                  <w:pPr>
                    <w:pStyle w:val="149"/>
                    <w:rPr>
                      <w:rFonts w:eastAsia="Times New Roman"/>
                    </w:rPr>
                  </w:pPr>
                  <w:r>
                    <w:rPr>
                      <w:rFonts w:eastAsia="Times New Roman"/>
                    </w:rPr>
                    <w:t>71</w:t>
                  </w:r>
                </w:p>
              </w:tc>
              <w:tc>
                <w:tcPr>
                  <w:tcW w:w="848" w:type="pct"/>
                  <w:tcBorders>
                    <w:top w:val="single" w:color="auto" w:sz="4" w:space="0"/>
                    <w:left w:val="single" w:color="auto" w:sz="4" w:space="0"/>
                    <w:bottom w:val="single" w:color="auto" w:sz="4" w:space="0"/>
                    <w:right w:val="single" w:color="auto" w:sz="4" w:space="0"/>
                  </w:tcBorders>
                  <w:vAlign w:val="center"/>
                </w:tcPr>
                <w:p w14:paraId="64A6CA64">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1CB204E">
                  <w:pPr>
                    <w:pStyle w:val="149"/>
                    <w:rPr>
                      <w:rFonts w:eastAsia="Times New Roman"/>
                    </w:rPr>
                  </w:pPr>
                  <w:r>
                    <w:rPr>
                      <w:rFonts w:hint="eastAsia" w:eastAsia="Times New Roman"/>
                    </w:rPr>
                    <w:t>75.75</w:t>
                  </w:r>
                </w:p>
              </w:tc>
              <w:tc>
                <w:tcPr>
                  <w:tcW w:w="440" w:type="pct"/>
                  <w:tcBorders>
                    <w:top w:val="single" w:color="auto" w:sz="4" w:space="0"/>
                    <w:left w:val="single" w:color="auto" w:sz="4" w:space="0"/>
                    <w:bottom w:val="single" w:color="auto" w:sz="4" w:space="0"/>
                    <w:right w:val="single" w:color="auto" w:sz="4" w:space="0"/>
                  </w:tcBorders>
                  <w:vAlign w:val="center"/>
                </w:tcPr>
                <w:p w14:paraId="3B97A7C6">
                  <w:pPr>
                    <w:pStyle w:val="149"/>
                    <w:rPr>
                      <w:rFonts w:eastAsia="Times New Roman"/>
                    </w:rPr>
                  </w:pPr>
                  <w:r>
                    <w:rPr>
                      <w:rFonts w:hint="eastAsia" w:eastAsia="Times New Roman"/>
                    </w:rPr>
                    <w:t>19.93</w:t>
                  </w:r>
                </w:p>
              </w:tc>
              <w:tc>
                <w:tcPr>
                  <w:tcW w:w="457" w:type="pct"/>
                  <w:tcBorders>
                    <w:top w:val="single" w:color="auto" w:sz="4" w:space="0"/>
                    <w:left w:val="single" w:color="auto" w:sz="4" w:space="0"/>
                    <w:bottom w:val="single" w:color="auto" w:sz="4" w:space="0"/>
                    <w:right w:val="single" w:color="auto" w:sz="4" w:space="0"/>
                  </w:tcBorders>
                  <w:vAlign w:val="center"/>
                </w:tcPr>
                <w:p w14:paraId="1A20D4C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4893E7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7E615F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F43F650">
                  <w:pPr>
                    <w:pStyle w:val="149"/>
                    <w:rPr>
                      <w:rFonts w:eastAsia="Times New Roman"/>
                    </w:rPr>
                  </w:pPr>
                  <w:r>
                    <w:rPr>
                      <w:rFonts w:hint="eastAsia" w:ascii="宋体" w:hAnsi="宋体" w:eastAsia="宋体" w:cs="宋体"/>
                    </w:rPr>
                    <w:t>昼间</w:t>
                  </w:r>
                </w:p>
              </w:tc>
            </w:tr>
            <w:tr w14:paraId="6EB086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065E2CB">
                  <w:pPr>
                    <w:pStyle w:val="149"/>
                    <w:rPr>
                      <w:rFonts w:eastAsia="Times New Roman"/>
                    </w:rPr>
                  </w:pPr>
                  <w:r>
                    <w:rPr>
                      <w:rFonts w:eastAsia="Times New Roman"/>
                    </w:rPr>
                    <w:t>72</w:t>
                  </w:r>
                </w:p>
              </w:tc>
              <w:tc>
                <w:tcPr>
                  <w:tcW w:w="848" w:type="pct"/>
                  <w:tcBorders>
                    <w:top w:val="single" w:color="auto" w:sz="4" w:space="0"/>
                    <w:left w:val="single" w:color="auto" w:sz="4" w:space="0"/>
                    <w:bottom w:val="single" w:color="auto" w:sz="4" w:space="0"/>
                    <w:right w:val="single" w:color="auto" w:sz="4" w:space="0"/>
                  </w:tcBorders>
                  <w:vAlign w:val="center"/>
                </w:tcPr>
                <w:p w14:paraId="54CAF1BF">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554BEA3">
                  <w:pPr>
                    <w:pStyle w:val="149"/>
                    <w:rPr>
                      <w:rFonts w:eastAsia="Times New Roman"/>
                    </w:rPr>
                  </w:pPr>
                  <w:r>
                    <w:rPr>
                      <w:rFonts w:hint="eastAsia" w:eastAsia="Times New Roman"/>
                    </w:rPr>
                    <w:t>75.75</w:t>
                  </w:r>
                </w:p>
              </w:tc>
              <w:tc>
                <w:tcPr>
                  <w:tcW w:w="440" w:type="pct"/>
                  <w:tcBorders>
                    <w:top w:val="single" w:color="auto" w:sz="4" w:space="0"/>
                    <w:left w:val="single" w:color="auto" w:sz="4" w:space="0"/>
                    <w:bottom w:val="single" w:color="auto" w:sz="4" w:space="0"/>
                    <w:right w:val="single" w:color="auto" w:sz="4" w:space="0"/>
                  </w:tcBorders>
                  <w:vAlign w:val="center"/>
                </w:tcPr>
                <w:p w14:paraId="6CEA0E7C">
                  <w:pPr>
                    <w:pStyle w:val="149"/>
                    <w:rPr>
                      <w:rFonts w:eastAsia="Times New Roman"/>
                    </w:rPr>
                  </w:pPr>
                  <w:r>
                    <w:rPr>
                      <w:rFonts w:hint="eastAsia" w:eastAsia="Times New Roman"/>
                    </w:rPr>
                    <w:t>19.93</w:t>
                  </w:r>
                </w:p>
              </w:tc>
              <w:tc>
                <w:tcPr>
                  <w:tcW w:w="457" w:type="pct"/>
                  <w:tcBorders>
                    <w:top w:val="single" w:color="auto" w:sz="4" w:space="0"/>
                    <w:left w:val="single" w:color="auto" w:sz="4" w:space="0"/>
                    <w:bottom w:val="single" w:color="auto" w:sz="4" w:space="0"/>
                    <w:right w:val="single" w:color="auto" w:sz="4" w:space="0"/>
                  </w:tcBorders>
                  <w:vAlign w:val="center"/>
                </w:tcPr>
                <w:p w14:paraId="150DE5D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EA42F6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E3F7DA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BF3240D">
                  <w:pPr>
                    <w:pStyle w:val="149"/>
                    <w:rPr>
                      <w:rFonts w:eastAsia="Times New Roman"/>
                    </w:rPr>
                  </w:pPr>
                  <w:r>
                    <w:rPr>
                      <w:rFonts w:hint="eastAsia" w:ascii="宋体" w:hAnsi="宋体" w:eastAsia="宋体" w:cs="宋体"/>
                    </w:rPr>
                    <w:t>夜间</w:t>
                  </w:r>
                </w:p>
              </w:tc>
            </w:tr>
            <w:tr w14:paraId="39A825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6B9F5B9">
                  <w:pPr>
                    <w:pStyle w:val="149"/>
                    <w:rPr>
                      <w:rFonts w:eastAsia="Times New Roman"/>
                    </w:rPr>
                  </w:pPr>
                  <w:r>
                    <w:rPr>
                      <w:rFonts w:eastAsia="Times New Roman"/>
                    </w:rPr>
                    <w:t>73</w:t>
                  </w:r>
                </w:p>
              </w:tc>
              <w:tc>
                <w:tcPr>
                  <w:tcW w:w="848" w:type="pct"/>
                  <w:tcBorders>
                    <w:top w:val="single" w:color="auto" w:sz="4" w:space="0"/>
                    <w:left w:val="single" w:color="auto" w:sz="4" w:space="0"/>
                    <w:bottom w:val="single" w:color="auto" w:sz="4" w:space="0"/>
                    <w:right w:val="single" w:color="auto" w:sz="4" w:space="0"/>
                  </w:tcBorders>
                  <w:vAlign w:val="center"/>
                </w:tcPr>
                <w:p w14:paraId="64DA380F">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735732D">
                  <w:pPr>
                    <w:pStyle w:val="149"/>
                    <w:rPr>
                      <w:rFonts w:eastAsia="Times New Roman"/>
                    </w:rPr>
                  </w:pPr>
                  <w:r>
                    <w:rPr>
                      <w:rFonts w:hint="eastAsia" w:eastAsia="Times New Roman"/>
                    </w:rPr>
                    <w:t>71.02</w:t>
                  </w:r>
                </w:p>
              </w:tc>
              <w:tc>
                <w:tcPr>
                  <w:tcW w:w="440" w:type="pct"/>
                  <w:tcBorders>
                    <w:top w:val="single" w:color="auto" w:sz="4" w:space="0"/>
                    <w:left w:val="single" w:color="auto" w:sz="4" w:space="0"/>
                    <w:bottom w:val="single" w:color="auto" w:sz="4" w:space="0"/>
                    <w:right w:val="single" w:color="auto" w:sz="4" w:space="0"/>
                  </w:tcBorders>
                  <w:vAlign w:val="center"/>
                </w:tcPr>
                <w:p w14:paraId="211FFAE1">
                  <w:pPr>
                    <w:pStyle w:val="149"/>
                    <w:rPr>
                      <w:rFonts w:eastAsia="Times New Roman"/>
                    </w:rPr>
                  </w:pPr>
                  <w:r>
                    <w:rPr>
                      <w:rFonts w:hint="eastAsia" w:eastAsia="Times New Roman"/>
                    </w:rPr>
                    <w:t>20.02</w:t>
                  </w:r>
                </w:p>
              </w:tc>
              <w:tc>
                <w:tcPr>
                  <w:tcW w:w="457" w:type="pct"/>
                  <w:tcBorders>
                    <w:top w:val="single" w:color="auto" w:sz="4" w:space="0"/>
                    <w:left w:val="single" w:color="auto" w:sz="4" w:space="0"/>
                    <w:bottom w:val="single" w:color="auto" w:sz="4" w:space="0"/>
                    <w:right w:val="single" w:color="auto" w:sz="4" w:space="0"/>
                  </w:tcBorders>
                  <w:vAlign w:val="center"/>
                </w:tcPr>
                <w:p w14:paraId="48FF2DA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2B18BCC">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A539992">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A7BAF00">
                  <w:pPr>
                    <w:pStyle w:val="149"/>
                    <w:rPr>
                      <w:rFonts w:eastAsia="Times New Roman"/>
                    </w:rPr>
                  </w:pPr>
                  <w:r>
                    <w:rPr>
                      <w:rFonts w:hint="eastAsia" w:ascii="宋体" w:hAnsi="宋体" w:eastAsia="宋体" w:cs="宋体"/>
                    </w:rPr>
                    <w:t>昼间</w:t>
                  </w:r>
                </w:p>
              </w:tc>
            </w:tr>
            <w:tr w14:paraId="143686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8342C4E">
                  <w:pPr>
                    <w:pStyle w:val="149"/>
                    <w:rPr>
                      <w:rFonts w:eastAsia="Times New Roman"/>
                    </w:rPr>
                  </w:pPr>
                  <w:r>
                    <w:rPr>
                      <w:rFonts w:eastAsia="Times New Roman"/>
                    </w:rPr>
                    <w:t>74</w:t>
                  </w:r>
                </w:p>
              </w:tc>
              <w:tc>
                <w:tcPr>
                  <w:tcW w:w="848" w:type="pct"/>
                  <w:tcBorders>
                    <w:top w:val="single" w:color="auto" w:sz="4" w:space="0"/>
                    <w:left w:val="single" w:color="auto" w:sz="4" w:space="0"/>
                    <w:bottom w:val="single" w:color="auto" w:sz="4" w:space="0"/>
                    <w:right w:val="single" w:color="auto" w:sz="4" w:space="0"/>
                  </w:tcBorders>
                  <w:vAlign w:val="center"/>
                </w:tcPr>
                <w:p w14:paraId="456C79B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814DFEA">
                  <w:pPr>
                    <w:pStyle w:val="149"/>
                    <w:rPr>
                      <w:rFonts w:eastAsia="Times New Roman"/>
                    </w:rPr>
                  </w:pPr>
                  <w:r>
                    <w:rPr>
                      <w:rFonts w:hint="eastAsia" w:eastAsia="Times New Roman"/>
                    </w:rPr>
                    <w:t>71.02</w:t>
                  </w:r>
                </w:p>
              </w:tc>
              <w:tc>
                <w:tcPr>
                  <w:tcW w:w="440" w:type="pct"/>
                  <w:tcBorders>
                    <w:top w:val="single" w:color="auto" w:sz="4" w:space="0"/>
                    <w:left w:val="single" w:color="auto" w:sz="4" w:space="0"/>
                    <w:bottom w:val="single" w:color="auto" w:sz="4" w:space="0"/>
                    <w:right w:val="single" w:color="auto" w:sz="4" w:space="0"/>
                  </w:tcBorders>
                  <w:vAlign w:val="center"/>
                </w:tcPr>
                <w:p w14:paraId="116D8E5B">
                  <w:pPr>
                    <w:pStyle w:val="149"/>
                    <w:rPr>
                      <w:rFonts w:eastAsia="Times New Roman"/>
                    </w:rPr>
                  </w:pPr>
                  <w:r>
                    <w:rPr>
                      <w:rFonts w:hint="eastAsia" w:eastAsia="Times New Roman"/>
                    </w:rPr>
                    <w:t>20.02</w:t>
                  </w:r>
                </w:p>
              </w:tc>
              <w:tc>
                <w:tcPr>
                  <w:tcW w:w="457" w:type="pct"/>
                  <w:tcBorders>
                    <w:top w:val="single" w:color="auto" w:sz="4" w:space="0"/>
                    <w:left w:val="single" w:color="auto" w:sz="4" w:space="0"/>
                    <w:bottom w:val="single" w:color="auto" w:sz="4" w:space="0"/>
                    <w:right w:val="single" w:color="auto" w:sz="4" w:space="0"/>
                  </w:tcBorders>
                  <w:vAlign w:val="center"/>
                </w:tcPr>
                <w:p w14:paraId="5E55066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3496BD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7ACA7F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EF59408">
                  <w:pPr>
                    <w:pStyle w:val="149"/>
                    <w:rPr>
                      <w:rFonts w:eastAsia="Times New Roman"/>
                    </w:rPr>
                  </w:pPr>
                  <w:r>
                    <w:rPr>
                      <w:rFonts w:hint="eastAsia" w:ascii="宋体" w:hAnsi="宋体" w:eastAsia="宋体" w:cs="宋体"/>
                    </w:rPr>
                    <w:t>夜间</w:t>
                  </w:r>
                </w:p>
              </w:tc>
            </w:tr>
            <w:tr w14:paraId="7A054F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78B6CF8">
                  <w:pPr>
                    <w:pStyle w:val="149"/>
                    <w:rPr>
                      <w:rFonts w:eastAsia="Times New Roman"/>
                    </w:rPr>
                  </w:pPr>
                  <w:r>
                    <w:rPr>
                      <w:rFonts w:eastAsia="Times New Roman"/>
                    </w:rPr>
                    <w:t>75</w:t>
                  </w:r>
                </w:p>
              </w:tc>
              <w:tc>
                <w:tcPr>
                  <w:tcW w:w="848" w:type="pct"/>
                  <w:tcBorders>
                    <w:top w:val="single" w:color="auto" w:sz="4" w:space="0"/>
                    <w:left w:val="single" w:color="auto" w:sz="4" w:space="0"/>
                    <w:bottom w:val="single" w:color="auto" w:sz="4" w:space="0"/>
                    <w:right w:val="single" w:color="auto" w:sz="4" w:space="0"/>
                  </w:tcBorders>
                  <w:vAlign w:val="center"/>
                </w:tcPr>
                <w:p w14:paraId="2134D59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63D9F0D">
                  <w:pPr>
                    <w:pStyle w:val="149"/>
                    <w:rPr>
                      <w:rFonts w:eastAsia="Times New Roman"/>
                    </w:rPr>
                  </w:pPr>
                  <w:r>
                    <w:rPr>
                      <w:rFonts w:hint="eastAsia" w:eastAsia="Times New Roman"/>
                    </w:rPr>
                    <w:t>60.64</w:t>
                  </w:r>
                </w:p>
              </w:tc>
              <w:tc>
                <w:tcPr>
                  <w:tcW w:w="440" w:type="pct"/>
                  <w:tcBorders>
                    <w:top w:val="single" w:color="auto" w:sz="4" w:space="0"/>
                    <w:left w:val="single" w:color="auto" w:sz="4" w:space="0"/>
                    <w:bottom w:val="single" w:color="auto" w:sz="4" w:space="0"/>
                    <w:right w:val="single" w:color="auto" w:sz="4" w:space="0"/>
                  </w:tcBorders>
                  <w:vAlign w:val="center"/>
                </w:tcPr>
                <w:p w14:paraId="0B31897B">
                  <w:pPr>
                    <w:pStyle w:val="149"/>
                    <w:rPr>
                      <w:rFonts w:eastAsia="Times New Roman"/>
                    </w:rPr>
                  </w:pPr>
                  <w:r>
                    <w:rPr>
                      <w:rFonts w:hint="eastAsia" w:eastAsia="Times New Roman"/>
                    </w:rPr>
                    <w:t>21.51</w:t>
                  </w:r>
                </w:p>
              </w:tc>
              <w:tc>
                <w:tcPr>
                  <w:tcW w:w="457" w:type="pct"/>
                  <w:tcBorders>
                    <w:top w:val="single" w:color="auto" w:sz="4" w:space="0"/>
                    <w:left w:val="single" w:color="auto" w:sz="4" w:space="0"/>
                    <w:bottom w:val="single" w:color="auto" w:sz="4" w:space="0"/>
                    <w:right w:val="single" w:color="auto" w:sz="4" w:space="0"/>
                  </w:tcBorders>
                  <w:vAlign w:val="center"/>
                </w:tcPr>
                <w:p w14:paraId="4BA816F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F07931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4C7A36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B617C45">
                  <w:pPr>
                    <w:pStyle w:val="149"/>
                    <w:rPr>
                      <w:rFonts w:eastAsia="Times New Roman"/>
                    </w:rPr>
                  </w:pPr>
                  <w:r>
                    <w:rPr>
                      <w:rFonts w:hint="eastAsia" w:ascii="宋体" w:hAnsi="宋体" w:eastAsia="宋体" w:cs="宋体"/>
                    </w:rPr>
                    <w:t>昼间</w:t>
                  </w:r>
                </w:p>
              </w:tc>
            </w:tr>
            <w:tr w14:paraId="093D08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FB28306">
                  <w:pPr>
                    <w:pStyle w:val="149"/>
                    <w:rPr>
                      <w:rFonts w:eastAsia="Times New Roman"/>
                    </w:rPr>
                  </w:pPr>
                  <w:r>
                    <w:rPr>
                      <w:rFonts w:eastAsia="Times New Roman"/>
                    </w:rPr>
                    <w:t>76</w:t>
                  </w:r>
                </w:p>
              </w:tc>
              <w:tc>
                <w:tcPr>
                  <w:tcW w:w="848" w:type="pct"/>
                  <w:tcBorders>
                    <w:top w:val="single" w:color="auto" w:sz="4" w:space="0"/>
                    <w:left w:val="single" w:color="auto" w:sz="4" w:space="0"/>
                    <w:bottom w:val="single" w:color="auto" w:sz="4" w:space="0"/>
                    <w:right w:val="single" w:color="auto" w:sz="4" w:space="0"/>
                  </w:tcBorders>
                  <w:vAlign w:val="center"/>
                </w:tcPr>
                <w:p w14:paraId="49E5A561">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F30E7F0">
                  <w:pPr>
                    <w:pStyle w:val="149"/>
                    <w:rPr>
                      <w:rFonts w:eastAsia="Times New Roman"/>
                    </w:rPr>
                  </w:pPr>
                  <w:r>
                    <w:rPr>
                      <w:rFonts w:hint="eastAsia" w:eastAsia="Times New Roman"/>
                    </w:rPr>
                    <w:t>60.64</w:t>
                  </w:r>
                </w:p>
              </w:tc>
              <w:tc>
                <w:tcPr>
                  <w:tcW w:w="440" w:type="pct"/>
                  <w:tcBorders>
                    <w:top w:val="single" w:color="auto" w:sz="4" w:space="0"/>
                    <w:left w:val="single" w:color="auto" w:sz="4" w:space="0"/>
                    <w:bottom w:val="single" w:color="auto" w:sz="4" w:space="0"/>
                    <w:right w:val="single" w:color="auto" w:sz="4" w:space="0"/>
                  </w:tcBorders>
                  <w:vAlign w:val="center"/>
                </w:tcPr>
                <w:p w14:paraId="0D29EFBB">
                  <w:pPr>
                    <w:pStyle w:val="149"/>
                    <w:rPr>
                      <w:rFonts w:eastAsia="Times New Roman"/>
                    </w:rPr>
                  </w:pPr>
                  <w:r>
                    <w:rPr>
                      <w:rFonts w:hint="eastAsia" w:eastAsia="Times New Roman"/>
                    </w:rPr>
                    <w:t>21.51</w:t>
                  </w:r>
                </w:p>
              </w:tc>
              <w:tc>
                <w:tcPr>
                  <w:tcW w:w="457" w:type="pct"/>
                  <w:tcBorders>
                    <w:top w:val="single" w:color="auto" w:sz="4" w:space="0"/>
                    <w:left w:val="single" w:color="auto" w:sz="4" w:space="0"/>
                    <w:bottom w:val="single" w:color="auto" w:sz="4" w:space="0"/>
                    <w:right w:val="single" w:color="auto" w:sz="4" w:space="0"/>
                  </w:tcBorders>
                  <w:vAlign w:val="center"/>
                </w:tcPr>
                <w:p w14:paraId="5843F2BC">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4336649">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349EB6F">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2D4E70C">
                  <w:pPr>
                    <w:pStyle w:val="149"/>
                    <w:rPr>
                      <w:rFonts w:eastAsia="Times New Roman"/>
                    </w:rPr>
                  </w:pPr>
                  <w:r>
                    <w:rPr>
                      <w:rFonts w:hint="eastAsia" w:ascii="宋体" w:hAnsi="宋体" w:eastAsia="宋体" w:cs="宋体"/>
                    </w:rPr>
                    <w:t>夜间</w:t>
                  </w:r>
                </w:p>
              </w:tc>
            </w:tr>
            <w:tr w14:paraId="6EB25E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36D6BD3">
                  <w:pPr>
                    <w:pStyle w:val="149"/>
                    <w:rPr>
                      <w:rFonts w:eastAsia="Times New Roman"/>
                    </w:rPr>
                  </w:pPr>
                  <w:r>
                    <w:rPr>
                      <w:rFonts w:eastAsia="Times New Roman"/>
                    </w:rPr>
                    <w:t>77</w:t>
                  </w:r>
                </w:p>
              </w:tc>
              <w:tc>
                <w:tcPr>
                  <w:tcW w:w="848" w:type="pct"/>
                  <w:tcBorders>
                    <w:top w:val="single" w:color="auto" w:sz="4" w:space="0"/>
                    <w:left w:val="single" w:color="auto" w:sz="4" w:space="0"/>
                    <w:bottom w:val="single" w:color="auto" w:sz="4" w:space="0"/>
                    <w:right w:val="single" w:color="auto" w:sz="4" w:space="0"/>
                  </w:tcBorders>
                  <w:vAlign w:val="center"/>
                </w:tcPr>
                <w:p w14:paraId="02504B6A">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A5D2AAC">
                  <w:pPr>
                    <w:pStyle w:val="149"/>
                    <w:rPr>
                      <w:rFonts w:eastAsia="Times New Roman"/>
                    </w:rPr>
                  </w:pPr>
                  <w:r>
                    <w:rPr>
                      <w:rFonts w:hint="eastAsia" w:eastAsia="Times New Roman"/>
                    </w:rPr>
                    <w:t>87.75</w:t>
                  </w:r>
                </w:p>
              </w:tc>
              <w:tc>
                <w:tcPr>
                  <w:tcW w:w="440" w:type="pct"/>
                  <w:tcBorders>
                    <w:top w:val="single" w:color="auto" w:sz="4" w:space="0"/>
                    <w:left w:val="single" w:color="auto" w:sz="4" w:space="0"/>
                    <w:bottom w:val="single" w:color="auto" w:sz="4" w:space="0"/>
                    <w:right w:val="single" w:color="auto" w:sz="4" w:space="0"/>
                  </w:tcBorders>
                  <w:vAlign w:val="center"/>
                </w:tcPr>
                <w:p w14:paraId="5BE97001">
                  <w:pPr>
                    <w:pStyle w:val="149"/>
                    <w:rPr>
                      <w:rFonts w:eastAsia="Times New Roman"/>
                    </w:rPr>
                  </w:pPr>
                  <w:r>
                    <w:rPr>
                      <w:rFonts w:hint="eastAsia" w:eastAsia="Times New Roman"/>
                    </w:rPr>
                    <w:t>13.59</w:t>
                  </w:r>
                </w:p>
              </w:tc>
              <w:tc>
                <w:tcPr>
                  <w:tcW w:w="457" w:type="pct"/>
                  <w:tcBorders>
                    <w:top w:val="single" w:color="auto" w:sz="4" w:space="0"/>
                    <w:left w:val="single" w:color="auto" w:sz="4" w:space="0"/>
                    <w:bottom w:val="single" w:color="auto" w:sz="4" w:space="0"/>
                    <w:right w:val="single" w:color="auto" w:sz="4" w:space="0"/>
                  </w:tcBorders>
                  <w:vAlign w:val="center"/>
                </w:tcPr>
                <w:p w14:paraId="0843E1A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73F653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5290DF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B290EBF">
                  <w:pPr>
                    <w:pStyle w:val="149"/>
                    <w:rPr>
                      <w:rFonts w:eastAsia="Times New Roman"/>
                    </w:rPr>
                  </w:pPr>
                  <w:r>
                    <w:rPr>
                      <w:rFonts w:hint="eastAsia" w:ascii="宋体" w:hAnsi="宋体" w:eastAsia="宋体" w:cs="宋体"/>
                    </w:rPr>
                    <w:t>昼间</w:t>
                  </w:r>
                </w:p>
              </w:tc>
            </w:tr>
            <w:tr w14:paraId="1A0DD1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E8CEB83">
                  <w:pPr>
                    <w:pStyle w:val="149"/>
                    <w:rPr>
                      <w:rFonts w:eastAsia="Times New Roman"/>
                    </w:rPr>
                  </w:pPr>
                  <w:r>
                    <w:rPr>
                      <w:rFonts w:eastAsia="Times New Roman"/>
                    </w:rPr>
                    <w:t>78</w:t>
                  </w:r>
                </w:p>
              </w:tc>
              <w:tc>
                <w:tcPr>
                  <w:tcW w:w="848" w:type="pct"/>
                  <w:tcBorders>
                    <w:top w:val="single" w:color="auto" w:sz="4" w:space="0"/>
                    <w:left w:val="single" w:color="auto" w:sz="4" w:space="0"/>
                    <w:bottom w:val="single" w:color="auto" w:sz="4" w:space="0"/>
                    <w:right w:val="single" w:color="auto" w:sz="4" w:space="0"/>
                  </w:tcBorders>
                  <w:vAlign w:val="center"/>
                </w:tcPr>
                <w:p w14:paraId="3E6A9F6C">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FE6215F">
                  <w:pPr>
                    <w:pStyle w:val="149"/>
                    <w:rPr>
                      <w:rFonts w:eastAsia="Times New Roman"/>
                    </w:rPr>
                  </w:pPr>
                  <w:r>
                    <w:rPr>
                      <w:rFonts w:hint="eastAsia" w:eastAsia="Times New Roman"/>
                    </w:rPr>
                    <w:t>87.75</w:t>
                  </w:r>
                </w:p>
              </w:tc>
              <w:tc>
                <w:tcPr>
                  <w:tcW w:w="440" w:type="pct"/>
                  <w:tcBorders>
                    <w:top w:val="single" w:color="auto" w:sz="4" w:space="0"/>
                    <w:left w:val="single" w:color="auto" w:sz="4" w:space="0"/>
                    <w:bottom w:val="single" w:color="auto" w:sz="4" w:space="0"/>
                    <w:right w:val="single" w:color="auto" w:sz="4" w:space="0"/>
                  </w:tcBorders>
                  <w:vAlign w:val="center"/>
                </w:tcPr>
                <w:p w14:paraId="6CCD9FB9">
                  <w:pPr>
                    <w:pStyle w:val="149"/>
                    <w:rPr>
                      <w:rFonts w:eastAsia="Times New Roman"/>
                    </w:rPr>
                  </w:pPr>
                  <w:r>
                    <w:rPr>
                      <w:rFonts w:hint="eastAsia" w:eastAsia="Times New Roman"/>
                    </w:rPr>
                    <w:t>13.59</w:t>
                  </w:r>
                </w:p>
              </w:tc>
              <w:tc>
                <w:tcPr>
                  <w:tcW w:w="457" w:type="pct"/>
                  <w:tcBorders>
                    <w:top w:val="single" w:color="auto" w:sz="4" w:space="0"/>
                    <w:left w:val="single" w:color="auto" w:sz="4" w:space="0"/>
                    <w:bottom w:val="single" w:color="auto" w:sz="4" w:space="0"/>
                    <w:right w:val="single" w:color="auto" w:sz="4" w:space="0"/>
                  </w:tcBorders>
                  <w:vAlign w:val="center"/>
                </w:tcPr>
                <w:p w14:paraId="224887C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D9BF7E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2A3390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65088FC">
                  <w:pPr>
                    <w:pStyle w:val="149"/>
                    <w:rPr>
                      <w:rFonts w:eastAsia="Times New Roman"/>
                    </w:rPr>
                  </w:pPr>
                  <w:r>
                    <w:rPr>
                      <w:rFonts w:hint="eastAsia" w:ascii="宋体" w:hAnsi="宋体" w:eastAsia="宋体" w:cs="宋体"/>
                    </w:rPr>
                    <w:t>夜间</w:t>
                  </w:r>
                </w:p>
              </w:tc>
            </w:tr>
            <w:tr w14:paraId="19C7AB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5B236FE">
                  <w:pPr>
                    <w:pStyle w:val="149"/>
                    <w:rPr>
                      <w:rFonts w:eastAsia="Times New Roman"/>
                    </w:rPr>
                  </w:pPr>
                  <w:r>
                    <w:rPr>
                      <w:rFonts w:eastAsia="Times New Roman"/>
                    </w:rPr>
                    <w:t>79</w:t>
                  </w:r>
                </w:p>
              </w:tc>
              <w:tc>
                <w:tcPr>
                  <w:tcW w:w="848" w:type="pct"/>
                  <w:tcBorders>
                    <w:top w:val="single" w:color="auto" w:sz="4" w:space="0"/>
                    <w:left w:val="single" w:color="auto" w:sz="4" w:space="0"/>
                    <w:bottom w:val="single" w:color="auto" w:sz="4" w:space="0"/>
                    <w:right w:val="single" w:color="auto" w:sz="4" w:space="0"/>
                  </w:tcBorders>
                  <w:vAlign w:val="center"/>
                </w:tcPr>
                <w:p w14:paraId="6C3F612E">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57E7F2D">
                  <w:pPr>
                    <w:pStyle w:val="149"/>
                    <w:rPr>
                      <w:rFonts w:eastAsia="Times New Roman"/>
                    </w:rPr>
                  </w:pPr>
                  <w:r>
                    <w:rPr>
                      <w:rFonts w:hint="eastAsia" w:eastAsia="Times New Roman"/>
                    </w:rPr>
                    <w:t>57.41</w:t>
                  </w:r>
                </w:p>
              </w:tc>
              <w:tc>
                <w:tcPr>
                  <w:tcW w:w="440" w:type="pct"/>
                  <w:tcBorders>
                    <w:top w:val="single" w:color="auto" w:sz="4" w:space="0"/>
                    <w:left w:val="single" w:color="auto" w:sz="4" w:space="0"/>
                    <w:bottom w:val="single" w:color="auto" w:sz="4" w:space="0"/>
                    <w:right w:val="single" w:color="auto" w:sz="4" w:space="0"/>
                  </w:tcBorders>
                  <w:vAlign w:val="center"/>
                </w:tcPr>
                <w:p w14:paraId="04DDEDA6">
                  <w:pPr>
                    <w:pStyle w:val="149"/>
                    <w:rPr>
                      <w:rFonts w:eastAsia="Times New Roman"/>
                    </w:rPr>
                  </w:pPr>
                  <w:r>
                    <w:rPr>
                      <w:rFonts w:hint="eastAsia" w:eastAsia="Times New Roman"/>
                    </w:rPr>
                    <w:t>36.19</w:t>
                  </w:r>
                </w:p>
              </w:tc>
              <w:tc>
                <w:tcPr>
                  <w:tcW w:w="457" w:type="pct"/>
                  <w:tcBorders>
                    <w:top w:val="single" w:color="auto" w:sz="4" w:space="0"/>
                    <w:left w:val="single" w:color="auto" w:sz="4" w:space="0"/>
                    <w:bottom w:val="single" w:color="auto" w:sz="4" w:space="0"/>
                    <w:right w:val="single" w:color="auto" w:sz="4" w:space="0"/>
                  </w:tcBorders>
                  <w:vAlign w:val="center"/>
                </w:tcPr>
                <w:p w14:paraId="3DA5724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ACA287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14ECD4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5D51788">
                  <w:pPr>
                    <w:pStyle w:val="149"/>
                    <w:rPr>
                      <w:rFonts w:eastAsia="Times New Roman"/>
                    </w:rPr>
                  </w:pPr>
                  <w:r>
                    <w:rPr>
                      <w:rFonts w:hint="eastAsia" w:ascii="宋体" w:hAnsi="宋体" w:eastAsia="宋体" w:cs="宋体"/>
                    </w:rPr>
                    <w:t>昼间</w:t>
                  </w:r>
                </w:p>
              </w:tc>
            </w:tr>
            <w:tr w14:paraId="527A37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11F890D">
                  <w:pPr>
                    <w:pStyle w:val="149"/>
                    <w:rPr>
                      <w:rFonts w:eastAsia="Times New Roman"/>
                    </w:rPr>
                  </w:pPr>
                  <w:r>
                    <w:rPr>
                      <w:rFonts w:eastAsia="Times New Roman"/>
                    </w:rPr>
                    <w:t>80</w:t>
                  </w:r>
                </w:p>
              </w:tc>
              <w:tc>
                <w:tcPr>
                  <w:tcW w:w="848" w:type="pct"/>
                  <w:tcBorders>
                    <w:top w:val="single" w:color="auto" w:sz="4" w:space="0"/>
                    <w:left w:val="single" w:color="auto" w:sz="4" w:space="0"/>
                    <w:bottom w:val="single" w:color="auto" w:sz="4" w:space="0"/>
                    <w:right w:val="single" w:color="auto" w:sz="4" w:space="0"/>
                  </w:tcBorders>
                  <w:vAlign w:val="center"/>
                </w:tcPr>
                <w:p w14:paraId="4F0898D3">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38A932A">
                  <w:pPr>
                    <w:pStyle w:val="149"/>
                    <w:rPr>
                      <w:rFonts w:eastAsia="Times New Roman"/>
                    </w:rPr>
                  </w:pPr>
                  <w:r>
                    <w:rPr>
                      <w:rFonts w:hint="eastAsia" w:eastAsia="Times New Roman"/>
                    </w:rPr>
                    <w:t>57.41</w:t>
                  </w:r>
                </w:p>
              </w:tc>
              <w:tc>
                <w:tcPr>
                  <w:tcW w:w="440" w:type="pct"/>
                  <w:tcBorders>
                    <w:top w:val="single" w:color="auto" w:sz="4" w:space="0"/>
                    <w:left w:val="single" w:color="auto" w:sz="4" w:space="0"/>
                    <w:bottom w:val="single" w:color="auto" w:sz="4" w:space="0"/>
                    <w:right w:val="single" w:color="auto" w:sz="4" w:space="0"/>
                  </w:tcBorders>
                  <w:vAlign w:val="center"/>
                </w:tcPr>
                <w:p w14:paraId="68FE3EFF">
                  <w:pPr>
                    <w:pStyle w:val="149"/>
                    <w:rPr>
                      <w:rFonts w:eastAsia="Times New Roman"/>
                    </w:rPr>
                  </w:pPr>
                  <w:r>
                    <w:rPr>
                      <w:rFonts w:hint="eastAsia" w:eastAsia="Times New Roman"/>
                    </w:rPr>
                    <w:t>36.19</w:t>
                  </w:r>
                </w:p>
              </w:tc>
              <w:tc>
                <w:tcPr>
                  <w:tcW w:w="457" w:type="pct"/>
                  <w:tcBorders>
                    <w:top w:val="single" w:color="auto" w:sz="4" w:space="0"/>
                    <w:left w:val="single" w:color="auto" w:sz="4" w:space="0"/>
                    <w:bottom w:val="single" w:color="auto" w:sz="4" w:space="0"/>
                    <w:right w:val="single" w:color="auto" w:sz="4" w:space="0"/>
                  </w:tcBorders>
                  <w:vAlign w:val="center"/>
                </w:tcPr>
                <w:p w14:paraId="48803B4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467DC5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C4FE0B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0CD122D">
                  <w:pPr>
                    <w:pStyle w:val="149"/>
                    <w:rPr>
                      <w:rFonts w:eastAsia="Times New Roman"/>
                    </w:rPr>
                  </w:pPr>
                  <w:r>
                    <w:rPr>
                      <w:rFonts w:hint="eastAsia" w:ascii="宋体" w:hAnsi="宋体" w:eastAsia="宋体" w:cs="宋体"/>
                    </w:rPr>
                    <w:t>夜间</w:t>
                  </w:r>
                </w:p>
              </w:tc>
            </w:tr>
            <w:tr w14:paraId="11E483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41A6750">
                  <w:pPr>
                    <w:pStyle w:val="149"/>
                    <w:rPr>
                      <w:rFonts w:eastAsia="Times New Roman"/>
                    </w:rPr>
                  </w:pPr>
                  <w:r>
                    <w:rPr>
                      <w:rFonts w:eastAsia="Times New Roman"/>
                    </w:rPr>
                    <w:t>81</w:t>
                  </w:r>
                </w:p>
              </w:tc>
              <w:tc>
                <w:tcPr>
                  <w:tcW w:w="848" w:type="pct"/>
                  <w:tcBorders>
                    <w:top w:val="single" w:color="auto" w:sz="4" w:space="0"/>
                    <w:left w:val="single" w:color="auto" w:sz="4" w:space="0"/>
                    <w:bottom w:val="single" w:color="auto" w:sz="4" w:space="0"/>
                    <w:right w:val="single" w:color="auto" w:sz="4" w:space="0"/>
                  </w:tcBorders>
                  <w:vAlign w:val="center"/>
                </w:tcPr>
                <w:p w14:paraId="2631F327">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4C6F8A4">
                  <w:pPr>
                    <w:pStyle w:val="149"/>
                    <w:rPr>
                      <w:rFonts w:eastAsia="Times New Roman"/>
                    </w:rPr>
                  </w:pPr>
                  <w:r>
                    <w:rPr>
                      <w:rFonts w:hint="eastAsia" w:eastAsia="Times New Roman"/>
                    </w:rPr>
                    <w:t>109.75</w:t>
                  </w:r>
                </w:p>
              </w:tc>
              <w:tc>
                <w:tcPr>
                  <w:tcW w:w="440" w:type="pct"/>
                  <w:tcBorders>
                    <w:top w:val="single" w:color="auto" w:sz="4" w:space="0"/>
                    <w:left w:val="single" w:color="auto" w:sz="4" w:space="0"/>
                    <w:bottom w:val="single" w:color="auto" w:sz="4" w:space="0"/>
                    <w:right w:val="single" w:color="auto" w:sz="4" w:space="0"/>
                  </w:tcBorders>
                  <w:vAlign w:val="center"/>
                </w:tcPr>
                <w:p w14:paraId="4561D4DE">
                  <w:pPr>
                    <w:pStyle w:val="149"/>
                    <w:rPr>
                      <w:rFonts w:eastAsia="Times New Roman"/>
                    </w:rPr>
                  </w:pPr>
                  <w:r>
                    <w:rPr>
                      <w:rFonts w:hint="eastAsia" w:eastAsia="Times New Roman"/>
                    </w:rPr>
                    <w:t>33.78</w:t>
                  </w:r>
                </w:p>
              </w:tc>
              <w:tc>
                <w:tcPr>
                  <w:tcW w:w="457" w:type="pct"/>
                  <w:tcBorders>
                    <w:top w:val="single" w:color="auto" w:sz="4" w:space="0"/>
                    <w:left w:val="single" w:color="auto" w:sz="4" w:space="0"/>
                    <w:bottom w:val="single" w:color="auto" w:sz="4" w:space="0"/>
                    <w:right w:val="single" w:color="auto" w:sz="4" w:space="0"/>
                  </w:tcBorders>
                  <w:vAlign w:val="center"/>
                </w:tcPr>
                <w:p w14:paraId="1E1E672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397CD19">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1CF601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D0A7F94">
                  <w:pPr>
                    <w:pStyle w:val="149"/>
                    <w:rPr>
                      <w:rFonts w:eastAsia="Times New Roman"/>
                    </w:rPr>
                  </w:pPr>
                  <w:r>
                    <w:rPr>
                      <w:rFonts w:hint="eastAsia" w:ascii="宋体" w:hAnsi="宋体" w:eastAsia="宋体" w:cs="宋体"/>
                    </w:rPr>
                    <w:t>昼间</w:t>
                  </w:r>
                </w:p>
              </w:tc>
            </w:tr>
            <w:tr w14:paraId="1D8FFA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CE65E22">
                  <w:pPr>
                    <w:pStyle w:val="149"/>
                    <w:rPr>
                      <w:rFonts w:eastAsia="Times New Roman"/>
                    </w:rPr>
                  </w:pPr>
                  <w:r>
                    <w:rPr>
                      <w:rFonts w:eastAsia="Times New Roman"/>
                    </w:rPr>
                    <w:t>82</w:t>
                  </w:r>
                </w:p>
              </w:tc>
              <w:tc>
                <w:tcPr>
                  <w:tcW w:w="848" w:type="pct"/>
                  <w:tcBorders>
                    <w:top w:val="single" w:color="auto" w:sz="4" w:space="0"/>
                    <w:left w:val="single" w:color="auto" w:sz="4" w:space="0"/>
                    <w:bottom w:val="single" w:color="auto" w:sz="4" w:space="0"/>
                    <w:right w:val="single" w:color="auto" w:sz="4" w:space="0"/>
                  </w:tcBorders>
                  <w:vAlign w:val="center"/>
                </w:tcPr>
                <w:p w14:paraId="48890835">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7C6D4F5">
                  <w:pPr>
                    <w:pStyle w:val="149"/>
                    <w:rPr>
                      <w:rFonts w:eastAsia="Times New Roman"/>
                    </w:rPr>
                  </w:pPr>
                  <w:r>
                    <w:rPr>
                      <w:rFonts w:hint="eastAsia" w:eastAsia="Times New Roman"/>
                    </w:rPr>
                    <w:t>109.75</w:t>
                  </w:r>
                </w:p>
              </w:tc>
              <w:tc>
                <w:tcPr>
                  <w:tcW w:w="440" w:type="pct"/>
                  <w:tcBorders>
                    <w:top w:val="single" w:color="auto" w:sz="4" w:space="0"/>
                    <w:left w:val="single" w:color="auto" w:sz="4" w:space="0"/>
                    <w:bottom w:val="single" w:color="auto" w:sz="4" w:space="0"/>
                    <w:right w:val="single" w:color="auto" w:sz="4" w:space="0"/>
                  </w:tcBorders>
                  <w:vAlign w:val="center"/>
                </w:tcPr>
                <w:p w14:paraId="59435EE1">
                  <w:pPr>
                    <w:pStyle w:val="149"/>
                    <w:rPr>
                      <w:rFonts w:eastAsia="Times New Roman"/>
                    </w:rPr>
                  </w:pPr>
                  <w:r>
                    <w:rPr>
                      <w:rFonts w:hint="eastAsia" w:eastAsia="Times New Roman"/>
                    </w:rPr>
                    <w:t>33.78</w:t>
                  </w:r>
                </w:p>
              </w:tc>
              <w:tc>
                <w:tcPr>
                  <w:tcW w:w="457" w:type="pct"/>
                  <w:tcBorders>
                    <w:top w:val="single" w:color="auto" w:sz="4" w:space="0"/>
                    <w:left w:val="single" w:color="auto" w:sz="4" w:space="0"/>
                    <w:bottom w:val="single" w:color="auto" w:sz="4" w:space="0"/>
                    <w:right w:val="single" w:color="auto" w:sz="4" w:space="0"/>
                  </w:tcBorders>
                  <w:vAlign w:val="center"/>
                </w:tcPr>
                <w:p w14:paraId="13A7A3E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01D633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774760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441AE0A">
                  <w:pPr>
                    <w:pStyle w:val="149"/>
                    <w:rPr>
                      <w:rFonts w:eastAsia="Times New Roman"/>
                    </w:rPr>
                  </w:pPr>
                  <w:r>
                    <w:rPr>
                      <w:rFonts w:hint="eastAsia" w:ascii="宋体" w:hAnsi="宋体" w:eastAsia="宋体" w:cs="宋体"/>
                    </w:rPr>
                    <w:t>夜间</w:t>
                  </w:r>
                </w:p>
              </w:tc>
            </w:tr>
            <w:tr w14:paraId="6B71E7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0544A4C">
                  <w:pPr>
                    <w:pStyle w:val="149"/>
                    <w:rPr>
                      <w:rFonts w:eastAsia="Times New Roman"/>
                    </w:rPr>
                  </w:pPr>
                  <w:r>
                    <w:rPr>
                      <w:rFonts w:eastAsia="Times New Roman"/>
                    </w:rPr>
                    <w:t>83</w:t>
                  </w:r>
                </w:p>
              </w:tc>
              <w:tc>
                <w:tcPr>
                  <w:tcW w:w="848" w:type="pct"/>
                  <w:tcBorders>
                    <w:top w:val="single" w:color="auto" w:sz="4" w:space="0"/>
                    <w:left w:val="single" w:color="auto" w:sz="4" w:space="0"/>
                    <w:bottom w:val="single" w:color="auto" w:sz="4" w:space="0"/>
                    <w:right w:val="single" w:color="auto" w:sz="4" w:space="0"/>
                  </w:tcBorders>
                  <w:vAlign w:val="center"/>
                </w:tcPr>
                <w:p w14:paraId="1CE7A0F5">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F92C270">
                  <w:pPr>
                    <w:pStyle w:val="149"/>
                    <w:rPr>
                      <w:rFonts w:eastAsia="Times New Roman"/>
                    </w:rPr>
                  </w:pPr>
                  <w:r>
                    <w:rPr>
                      <w:rFonts w:hint="eastAsia" w:eastAsia="Times New Roman"/>
                    </w:rPr>
                    <w:t>118.84</w:t>
                  </w:r>
                </w:p>
              </w:tc>
              <w:tc>
                <w:tcPr>
                  <w:tcW w:w="440" w:type="pct"/>
                  <w:tcBorders>
                    <w:top w:val="single" w:color="auto" w:sz="4" w:space="0"/>
                    <w:left w:val="single" w:color="auto" w:sz="4" w:space="0"/>
                    <w:bottom w:val="single" w:color="auto" w:sz="4" w:space="0"/>
                    <w:right w:val="single" w:color="auto" w:sz="4" w:space="0"/>
                  </w:tcBorders>
                  <w:vAlign w:val="center"/>
                </w:tcPr>
                <w:p w14:paraId="3E9A7772">
                  <w:pPr>
                    <w:pStyle w:val="149"/>
                    <w:rPr>
                      <w:rFonts w:eastAsia="Times New Roman"/>
                    </w:rPr>
                  </w:pPr>
                  <w:r>
                    <w:rPr>
                      <w:rFonts w:hint="eastAsia" w:eastAsia="Times New Roman"/>
                    </w:rPr>
                    <w:t>32.57</w:t>
                  </w:r>
                </w:p>
              </w:tc>
              <w:tc>
                <w:tcPr>
                  <w:tcW w:w="457" w:type="pct"/>
                  <w:tcBorders>
                    <w:top w:val="single" w:color="auto" w:sz="4" w:space="0"/>
                    <w:left w:val="single" w:color="auto" w:sz="4" w:space="0"/>
                    <w:bottom w:val="single" w:color="auto" w:sz="4" w:space="0"/>
                    <w:right w:val="single" w:color="auto" w:sz="4" w:space="0"/>
                  </w:tcBorders>
                  <w:vAlign w:val="center"/>
                </w:tcPr>
                <w:p w14:paraId="2FF9215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77332B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FE723C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5C82C20">
                  <w:pPr>
                    <w:pStyle w:val="149"/>
                    <w:rPr>
                      <w:rFonts w:eastAsia="Times New Roman"/>
                    </w:rPr>
                  </w:pPr>
                  <w:r>
                    <w:rPr>
                      <w:rFonts w:hint="eastAsia" w:ascii="宋体" w:hAnsi="宋体" w:eastAsia="宋体" w:cs="宋体"/>
                    </w:rPr>
                    <w:t>昼间</w:t>
                  </w:r>
                </w:p>
              </w:tc>
            </w:tr>
            <w:tr w14:paraId="2AD092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C5458B2">
                  <w:pPr>
                    <w:pStyle w:val="149"/>
                    <w:rPr>
                      <w:rFonts w:eastAsia="Times New Roman"/>
                    </w:rPr>
                  </w:pPr>
                  <w:r>
                    <w:rPr>
                      <w:rFonts w:eastAsia="Times New Roman"/>
                    </w:rPr>
                    <w:t>84</w:t>
                  </w:r>
                </w:p>
              </w:tc>
              <w:tc>
                <w:tcPr>
                  <w:tcW w:w="848" w:type="pct"/>
                  <w:tcBorders>
                    <w:top w:val="single" w:color="auto" w:sz="4" w:space="0"/>
                    <w:left w:val="single" w:color="auto" w:sz="4" w:space="0"/>
                    <w:bottom w:val="single" w:color="auto" w:sz="4" w:space="0"/>
                    <w:right w:val="single" w:color="auto" w:sz="4" w:space="0"/>
                  </w:tcBorders>
                  <w:vAlign w:val="center"/>
                </w:tcPr>
                <w:p w14:paraId="521B0C5B">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5DC6563">
                  <w:pPr>
                    <w:pStyle w:val="149"/>
                    <w:rPr>
                      <w:rFonts w:eastAsia="Times New Roman"/>
                    </w:rPr>
                  </w:pPr>
                  <w:r>
                    <w:rPr>
                      <w:rFonts w:hint="eastAsia" w:eastAsia="Times New Roman"/>
                    </w:rPr>
                    <w:t>118.84</w:t>
                  </w:r>
                </w:p>
              </w:tc>
              <w:tc>
                <w:tcPr>
                  <w:tcW w:w="440" w:type="pct"/>
                  <w:tcBorders>
                    <w:top w:val="single" w:color="auto" w:sz="4" w:space="0"/>
                    <w:left w:val="single" w:color="auto" w:sz="4" w:space="0"/>
                    <w:bottom w:val="single" w:color="auto" w:sz="4" w:space="0"/>
                    <w:right w:val="single" w:color="auto" w:sz="4" w:space="0"/>
                  </w:tcBorders>
                  <w:vAlign w:val="center"/>
                </w:tcPr>
                <w:p w14:paraId="3E8FA3A7">
                  <w:pPr>
                    <w:pStyle w:val="149"/>
                    <w:rPr>
                      <w:rFonts w:eastAsia="Times New Roman"/>
                    </w:rPr>
                  </w:pPr>
                  <w:r>
                    <w:rPr>
                      <w:rFonts w:hint="eastAsia" w:eastAsia="Times New Roman"/>
                    </w:rPr>
                    <w:t>32.57</w:t>
                  </w:r>
                </w:p>
              </w:tc>
              <w:tc>
                <w:tcPr>
                  <w:tcW w:w="457" w:type="pct"/>
                  <w:tcBorders>
                    <w:top w:val="single" w:color="auto" w:sz="4" w:space="0"/>
                    <w:left w:val="single" w:color="auto" w:sz="4" w:space="0"/>
                    <w:bottom w:val="single" w:color="auto" w:sz="4" w:space="0"/>
                    <w:right w:val="single" w:color="auto" w:sz="4" w:space="0"/>
                  </w:tcBorders>
                  <w:vAlign w:val="center"/>
                </w:tcPr>
                <w:p w14:paraId="09759C73">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B6FB06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4F5675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80E6FE5">
                  <w:pPr>
                    <w:pStyle w:val="149"/>
                    <w:rPr>
                      <w:rFonts w:eastAsia="Times New Roman"/>
                    </w:rPr>
                  </w:pPr>
                  <w:r>
                    <w:rPr>
                      <w:rFonts w:hint="eastAsia" w:ascii="宋体" w:hAnsi="宋体" w:eastAsia="宋体" w:cs="宋体"/>
                    </w:rPr>
                    <w:t>夜间</w:t>
                  </w:r>
                </w:p>
              </w:tc>
            </w:tr>
            <w:tr w14:paraId="6CD298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FC57060">
                  <w:pPr>
                    <w:pStyle w:val="149"/>
                    <w:rPr>
                      <w:rFonts w:eastAsia="Times New Roman"/>
                    </w:rPr>
                  </w:pPr>
                  <w:r>
                    <w:rPr>
                      <w:rFonts w:eastAsia="Times New Roman"/>
                    </w:rPr>
                    <w:t>85</w:t>
                  </w:r>
                </w:p>
              </w:tc>
              <w:tc>
                <w:tcPr>
                  <w:tcW w:w="848" w:type="pct"/>
                  <w:tcBorders>
                    <w:top w:val="single" w:color="auto" w:sz="4" w:space="0"/>
                    <w:left w:val="single" w:color="auto" w:sz="4" w:space="0"/>
                    <w:bottom w:val="single" w:color="auto" w:sz="4" w:space="0"/>
                    <w:right w:val="single" w:color="auto" w:sz="4" w:space="0"/>
                  </w:tcBorders>
                  <w:vAlign w:val="center"/>
                </w:tcPr>
                <w:p w14:paraId="7027C0C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3D93FEA">
                  <w:pPr>
                    <w:pStyle w:val="149"/>
                    <w:rPr>
                      <w:rFonts w:eastAsia="Times New Roman"/>
                    </w:rPr>
                  </w:pPr>
                  <w:r>
                    <w:rPr>
                      <w:rFonts w:hint="eastAsia" w:eastAsia="Times New Roman"/>
                    </w:rPr>
                    <w:t>120.75</w:t>
                  </w:r>
                </w:p>
              </w:tc>
              <w:tc>
                <w:tcPr>
                  <w:tcW w:w="440" w:type="pct"/>
                  <w:tcBorders>
                    <w:top w:val="single" w:color="auto" w:sz="4" w:space="0"/>
                    <w:left w:val="single" w:color="auto" w:sz="4" w:space="0"/>
                    <w:bottom w:val="single" w:color="auto" w:sz="4" w:space="0"/>
                    <w:right w:val="single" w:color="auto" w:sz="4" w:space="0"/>
                  </w:tcBorders>
                  <w:vAlign w:val="center"/>
                </w:tcPr>
                <w:p w14:paraId="51F1C639">
                  <w:pPr>
                    <w:pStyle w:val="149"/>
                    <w:rPr>
                      <w:rFonts w:eastAsia="Times New Roman"/>
                    </w:rPr>
                  </w:pPr>
                  <w:r>
                    <w:rPr>
                      <w:rFonts w:hint="eastAsia" w:eastAsia="Times New Roman"/>
                    </w:rPr>
                    <w:t>27.79</w:t>
                  </w:r>
                </w:p>
              </w:tc>
              <w:tc>
                <w:tcPr>
                  <w:tcW w:w="457" w:type="pct"/>
                  <w:tcBorders>
                    <w:top w:val="single" w:color="auto" w:sz="4" w:space="0"/>
                    <w:left w:val="single" w:color="auto" w:sz="4" w:space="0"/>
                    <w:bottom w:val="single" w:color="auto" w:sz="4" w:space="0"/>
                    <w:right w:val="single" w:color="auto" w:sz="4" w:space="0"/>
                  </w:tcBorders>
                  <w:vAlign w:val="center"/>
                </w:tcPr>
                <w:p w14:paraId="09C55DC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83ECE4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CD7E79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E7F9101">
                  <w:pPr>
                    <w:pStyle w:val="149"/>
                    <w:rPr>
                      <w:rFonts w:eastAsia="Times New Roman"/>
                    </w:rPr>
                  </w:pPr>
                  <w:r>
                    <w:rPr>
                      <w:rFonts w:hint="eastAsia" w:ascii="宋体" w:hAnsi="宋体" w:eastAsia="宋体" w:cs="宋体"/>
                    </w:rPr>
                    <w:t>昼间</w:t>
                  </w:r>
                </w:p>
              </w:tc>
            </w:tr>
            <w:tr w14:paraId="2A4CF5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4E629A4">
                  <w:pPr>
                    <w:pStyle w:val="149"/>
                    <w:rPr>
                      <w:rFonts w:eastAsia="Times New Roman"/>
                    </w:rPr>
                  </w:pPr>
                  <w:r>
                    <w:rPr>
                      <w:rFonts w:eastAsia="Times New Roman"/>
                    </w:rPr>
                    <w:t>86</w:t>
                  </w:r>
                </w:p>
              </w:tc>
              <w:tc>
                <w:tcPr>
                  <w:tcW w:w="848" w:type="pct"/>
                  <w:tcBorders>
                    <w:top w:val="single" w:color="auto" w:sz="4" w:space="0"/>
                    <w:left w:val="single" w:color="auto" w:sz="4" w:space="0"/>
                    <w:bottom w:val="single" w:color="auto" w:sz="4" w:space="0"/>
                    <w:right w:val="single" w:color="auto" w:sz="4" w:space="0"/>
                  </w:tcBorders>
                  <w:vAlign w:val="center"/>
                </w:tcPr>
                <w:p w14:paraId="786564D5">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0A6FE5E">
                  <w:pPr>
                    <w:pStyle w:val="149"/>
                    <w:rPr>
                      <w:rFonts w:eastAsia="Times New Roman"/>
                    </w:rPr>
                  </w:pPr>
                  <w:r>
                    <w:rPr>
                      <w:rFonts w:hint="eastAsia" w:eastAsia="Times New Roman"/>
                    </w:rPr>
                    <w:t>120.75</w:t>
                  </w:r>
                </w:p>
              </w:tc>
              <w:tc>
                <w:tcPr>
                  <w:tcW w:w="440" w:type="pct"/>
                  <w:tcBorders>
                    <w:top w:val="single" w:color="auto" w:sz="4" w:space="0"/>
                    <w:left w:val="single" w:color="auto" w:sz="4" w:space="0"/>
                    <w:bottom w:val="single" w:color="auto" w:sz="4" w:space="0"/>
                    <w:right w:val="single" w:color="auto" w:sz="4" w:space="0"/>
                  </w:tcBorders>
                  <w:vAlign w:val="center"/>
                </w:tcPr>
                <w:p w14:paraId="5511916C">
                  <w:pPr>
                    <w:pStyle w:val="149"/>
                    <w:rPr>
                      <w:rFonts w:eastAsia="Times New Roman"/>
                    </w:rPr>
                  </w:pPr>
                  <w:r>
                    <w:rPr>
                      <w:rFonts w:hint="eastAsia" w:eastAsia="Times New Roman"/>
                    </w:rPr>
                    <w:t>27.79</w:t>
                  </w:r>
                </w:p>
              </w:tc>
              <w:tc>
                <w:tcPr>
                  <w:tcW w:w="457" w:type="pct"/>
                  <w:tcBorders>
                    <w:top w:val="single" w:color="auto" w:sz="4" w:space="0"/>
                    <w:left w:val="single" w:color="auto" w:sz="4" w:space="0"/>
                    <w:bottom w:val="single" w:color="auto" w:sz="4" w:space="0"/>
                    <w:right w:val="single" w:color="auto" w:sz="4" w:space="0"/>
                  </w:tcBorders>
                  <w:vAlign w:val="center"/>
                </w:tcPr>
                <w:p w14:paraId="58FC689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13FDD7D">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C00E51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85175E4">
                  <w:pPr>
                    <w:pStyle w:val="149"/>
                    <w:rPr>
                      <w:rFonts w:eastAsia="Times New Roman"/>
                    </w:rPr>
                  </w:pPr>
                  <w:r>
                    <w:rPr>
                      <w:rFonts w:hint="eastAsia" w:ascii="宋体" w:hAnsi="宋体" w:eastAsia="宋体" w:cs="宋体"/>
                    </w:rPr>
                    <w:t>夜间</w:t>
                  </w:r>
                </w:p>
              </w:tc>
            </w:tr>
            <w:tr w14:paraId="374615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959B85B">
                  <w:pPr>
                    <w:pStyle w:val="149"/>
                    <w:rPr>
                      <w:rFonts w:eastAsia="Times New Roman"/>
                    </w:rPr>
                  </w:pPr>
                  <w:r>
                    <w:rPr>
                      <w:rFonts w:eastAsia="Times New Roman"/>
                    </w:rPr>
                    <w:t>87</w:t>
                  </w:r>
                </w:p>
              </w:tc>
              <w:tc>
                <w:tcPr>
                  <w:tcW w:w="848" w:type="pct"/>
                  <w:tcBorders>
                    <w:top w:val="single" w:color="auto" w:sz="4" w:space="0"/>
                    <w:left w:val="single" w:color="auto" w:sz="4" w:space="0"/>
                    <w:bottom w:val="single" w:color="auto" w:sz="4" w:space="0"/>
                    <w:right w:val="single" w:color="auto" w:sz="4" w:space="0"/>
                  </w:tcBorders>
                  <w:vAlign w:val="center"/>
                </w:tcPr>
                <w:p w14:paraId="25B45605">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42BE262">
                  <w:pPr>
                    <w:pStyle w:val="149"/>
                    <w:rPr>
                      <w:rFonts w:eastAsia="Times New Roman"/>
                    </w:rPr>
                  </w:pPr>
                  <w:r>
                    <w:rPr>
                      <w:rFonts w:hint="eastAsia" w:eastAsia="Times New Roman"/>
                    </w:rPr>
                    <w:t>116.24</w:t>
                  </w:r>
                </w:p>
              </w:tc>
              <w:tc>
                <w:tcPr>
                  <w:tcW w:w="440" w:type="pct"/>
                  <w:tcBorders>
                    <w:top w:val="single" w:color="auto" w:sz="4" w:space="0"/>
                    <w:left w:val="single" w:color="auto" w:sz="4" w:space="0"/>
                    <w:bottom w:val="single" w:color="auto" w:sz="4" w:space="0"/>
                    <w:right w:val="single" w:color="auto" w:sz="4" w:space="0"/>
                  </w:tcBorders>
                  <w:vAlign w:val="center"/>
                </w:tcPr>
                <w:p w14:paraId="18C226CA">
                  <w:pPr>
                    <w:pStyle w:val="149"/>
                    <w:rPr>
                      <w:rFonts w:eastAsia="Times New Roman"/>
                    </w:rPr>
                  </w:pPr>
                  <w:r>
                    <w:rPr>
                      <w:rFonts w:hint="eastAsia" w:eastAsia="Times New Roman"/>
                    </w:rPr>
                    <w:t>28.47</w:t>
                  </w:r>
                </w:p>
              </w:tc>
              <w:tc>
                <w:tcPr>
                  <w:tcW w:w="457" w:type="pct"/>
                  <w:tcBorders>
                    <w:top w:val="single" w:color="auto" w:sz="4" w:space="0"/>
                    <w:left w:val="single" w:color="auto" w:sz="4" w:space="0"/>
                    <w:bottom w:val="single" w:color="auto" w:sz="4" w:space="0"/>
                    <w:right w:val="single" w:color="auto" w:sz="4" w:space="0"/>
                  </w:tcBorders>
                  <w:vAlign w:val="center"/>
                </w:tcPr>
                <w:p w14:paraId="2D51CD3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B7D904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04DD34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869534E">
                  <w:pPr>
                    <w:pStyle w:val="149"/>
                    <w:rPr>
                      <w:rFonts w:eastAsia="Times New Roman"/>
                    </w:rPr>
                  </w:pPr>
                  <w:r>
                    <w:rPr>
                      <w:rFonts w:hint="eastAsia" w:ascii="宋体" w:hAnsi="宋体" w:eastAsia="宋体" w:cs="宋体"/>
                    </w:rPr>
                    <w:t>昼间</w:t>
                  </w:r>
                </w:p>
              </w:tc>
            </w:tr>
            <w:tr w14:paraId="1BA9B5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556F2FD">
                  <w:pPr>
                    <w:pStyle w:val="149"/>
                    <w:rPr>
                      <w:rFonts w:eastAsia="Times New Roman"/>
                    </w:rPr>
                  </w:pPr>
                  <w:r>
                    <w:rPr>
                      <w:rFonts w:eastAsia="Times New Roman"/>
                    </w:rPr>
                    <w:t>88</w:t>
                  </w:r>
                </w:p>
              </w:tc>
              <w:tc>
                <w:tcPr>
                  <w:tcW w:w="848" w:type="pct"/>
                  <w:tcBorders>
                    <w:top w:val="single" w:color="auto" w:sz="4" w:space="0"/>
                    <w:left w:val="single" w:color="auto" w:sz="4" w:space="0"/>
                    <w:bottom w:val="single" w:color="auto" w:sz="4" w:space="0"/>
                    <w:right w:val="single" w:color="auto" w:sz="4" w:space="0"/>
                  </w:tcBorders>
                  <w:vAlign w:val="center"/>
                </w:tcPr>
                <w:p w14:paraId="7EDDF1B8">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5030F51">
                  <w:pPr>
                    <w:pStyle w:val="149"/>
                    <w:rPr>
                      <w:rFonts w:eastAsia="Times New Roman"/>
                    </w:rPr>
                  </w:pPr>
                  <w:r>
                    <w:rPr>
                      <w:rFonts w:hint="eastAsia" w:eastAsia="Times New Roman"/>
                    </w:rPr>
                    <w:t>116.24</w:t>
                  </w:r>
                </w:p>
              </w:tc>
              <w:tc>
                <w:tcPr>
                  <w:tcW w:w="440" w:type="pct"/>
                  <w:tcBorders>
                    <w:top w:val="single" w:color="auto" w:sz="4" w:space="0"/>
                    <w:left w:val="single" w:color="auto" w:sz="4" w:space="0"/>
                    <w:bottom w:val="single" w:color="auto" w:sz="4" w:space="0"/>
                    <w:right w:val="single" w:color="auto" w:sz="4" w:space="0"/>
                  </w:tcBorders>
                  <w:vAlign w:val="center"/>
                </w:tcPr>
                <w:p w14:paraId="25CF5A3C">
                  <w:pPr>
                    <w:pStyle w:val="149"/>
                    <w:rPr>
                      <w:rFonts w:eastAsia="Times New Roman"/>
                    </w:rPr>
                  </w:pPr>
                  <w:r>
                    <w:rPr>
                      <w:rFonts w:hint="eastAsia" w:eastAsia="Times New Roman"/>
                    </w:rPr>
                    <w:t>28.47</w:t>
                  </w:r>
                </w:p>
              </w:tc>
              <w:tc>
                <w:tcPr>
                  <w:tcW w:w="457" w:type="pct"/>
                  <w:tcBorders>
                    <w:top w:val="single" w:color="auto" w:sz="4" w:space="0"/>
                    <w:left w:val="single" w:color="auto" w:sz="4" w:space="0"/>
                    <w:bottom w:val="single" w:color="auto" w:sz="4" w:space="0"/>
                    <w:right w:val="single" w:color="auto" w:sz="4" w:space="0"/>
                  </w:tcBorders>
                  <w:vAlign w:val="center"/>
                </w:tcPr>
                <w:p w14:paraId="1045252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CAD4AC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24C0BEF">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360410C">
                  <w:pPr>
                    <w:pStyle w:val="149"/>
                    <w:rPr>
                      <w:rFonts w:eastAsia="Times New Roman"/>
                    </w:rPr>
                  </w:pPr>
                  <w:r>
                    <w:rPr>
                      <w:rFonts w:hint="eastAsia" w:ascii="宋体" w:hAnsi="宋体" w:eastAsia="宋体" w:cs="宋体"/>
                    </w:rPr>
                    <w:t>夜间</w:t>
                  </w:r>
                </w:p>
              </w:tc>
            </w:tr>
            <w:tr w14:paraId="35281B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16174DE">
                  <w:pPr>
                    <w:pStyle w:val="149"/>
                    <w:rPr>
                      <w:rFonts w:eastAsia="Times New Roman"/>
                    </w:rPr>
                  </w:pPr>
                  <w:r>
                    <w:rPr>
                      <w:rFonts w:eastAsia="Times New Roman"/>
                    </w:rPr>
                    <w:t>89</w:t>
                  </w:r>
                </w:p>
              </w:tc>
              <w:tc>
                <w:tcPr>
                  <w:tcW w:w="848" w:type="pct"/>
                  <w:tcBorders>
                    <w:top w:val="single" w:color="auto" w:sz="4" w:space="0"/>
                    <w:left w:val="single" w:color="auto" w:sz="4" w:space="0"/>
                    <w:bottom w:val="single" w:color="auto" w:sz="4" w:space="0"/>
                    <w:right w:val="single" w:color="auto" w:sz="4" w:space="0"/>
                  </w:tcBorders>
                  <w:vAlign w:val="center"/>
                </w:tcPr>
                <w:p w14:paraId="33C6FAA7">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7A4FAC3">
                  <w:pPr>
                    <w:pStyle w:val="149"/>
                    <w:rPr>
                      <w:rFonts w:eastAsia="Times New Roman"/>
                    </w:rPr>
                  </w:pPr>
                  <w:r>
                    <w:rPr>
                      <w:rFonts w:hint="eastAsia" w:eastAsia="Times New Roman"/>
                    </w:rPr>
                    <w:t>112</w:t>
                  </w:r>
                </w:p>
              </w:tc>
              <w:tc>
                <w:tcPr>
                  <w:tcW w:w="440" w:type="pct"/>
                  <w:tcBorders>
                    <w:top w:val="single" w:color="auto" w:sz="4" w:space="0"/>
                    <w:left w:val="single" w:color="auto" w:sz="4" w:space="0"/>
                    <w:bottom w:val="single" w:color="auto" w:sz="4" w:space="0"/>
                    <w:right w:val="single" w:color="auto" w:sz="4" w:space="0"/>
                  </w:tcBorders>
                  <w:vAlign w:val="center"/>
                </w:tcPr>
                <w:p w14:paraId="770D8059">
                  <w:pPr>
                    <w:pStyle w:val="149"/>
                    <w:rPr>
                      <w:rFonts w:eastAsia="Times New Roman"/>
                    </w:rPr>
                  </w:pPr>
                  <w:r>
                    <w:rPr>
                      <w:rFonts w:hint="eastAsia" w:eastAsia="Times New Roman"/>
                    </w:rPr>
                    <w:t>28.87</w:t>
                  </w:r>
                </w:p>
              </w:tc>
              <w:tc>
                <w:tcPr>
                  <w:tcW w:w="457" w:type="pct"/>
                  <w:tcBorders>
                    <w:top w:val="single" w:color="auto" w:sz="4" w:space="0"/>
                    <w:left w:val="single" w:color="auto" w:sz="4" w:space="0"/>
                    <w:bottom w:val="single" w:color="auto" w:sz="4" w:space="0"/>
                    <w:right w:val="single" w:color="auto" w:sz="4" w:space="0"/>
                  </w:tcBorders>
                  <w:vAlign w:val="center"/>
                </w:tcPr>
                <w:p w14:paraId="2FF2EE5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7675BD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706686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17FAE16">
                  <w:pPr>
                    <w:pStyle w:val="149"/>
                    <w:rPr>
                      <w:rFonts w:eastAsia="Times New Roman"/>
                    </w:rPr>
                  </w:pPr>
                  <w:r>
                    <w:rPr>
                      <w:rFonts w:hint="eastAsia" w:ascii="宋体" w:hAnsi="宋体" w:eastAsia="宋体" w:cs="宋体"/>
                    </w:rPr>
                    <w:t>昼间</w:t>
                  </w:r>
                </w:p>
              </w:tc>
            </w:tr>
            <w:tr w14:paraId="65F772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746DABD">
                  <w:pPr>
                    <w:pStyle w:val="149"/>
                    <w:rPr>
                      <w:rFonts w:eastAsia="Times New Roman"/>
                    </w:rPr>
                  </w:pPr>
                  <w:r>
                    <w:rPr>
                      <w:rFonts w:eastAsia="Times New Roman"/>
                    </w:rPr>
                    <w:t>90</w:t>
                  </w:r>
                </w:p>
              </w:tc>
              <w:tc>
                <w:tcPr>
                  <w:tcW w:w="848" w:type="pct"/>
                  <w:tcBorders>
                    <w:top w:val="single" w:color="auto" w:sz="4" w:space="0"/>
                    <w:left w:val="single" w:color="auto" w:sz="4" w:space="0"/>
                    <w:bottom w:val="single" w:color="auto" w:sz="4" w:space="0"/>
                    <w:right w:val="single" w:color="auto" w:sz="4" w:space="0"/>
                  </w:tcBorders>
                  <w:vAlign w:val="center"/>
                </w:tcPr>
                <w:p w14:paraId="3D6E78E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340965C">
                  <w:pPr>
                    <w:pStyle w:val="149"/>
                    <w:rPr>
                      <w:rFonts w:eastAsia="Times New Roman"/>
                    </w:rPr>
                  </w:pPr>
                  <w:r>
                    <w:rPr>
                      <w:rFonts w:hint="eastAsia" w:eastAsia="Times New Roman"/>
                    </w:rPr>
                    <w:t>112</w:t>
                  </w:r>
                </w:p>
              </w:tc>
              <w:tc>
                <w:tcPr>
                  <w:tcW w:w="440" w:type="pct"/>
                  <w:tcBorders>
                    <w:top w:val="single" w:color="auto" w:sz="4" w:space="0"/>
                    <w:left w:val="single" w:color="auto" w:sz="4" w:space="0"/>
                    <w:bottom w:val="single" w:color="auto" w:sz="4" w:space="0"/>
                    <w:right w:val="single" w:color="auto" w:sz="4" w:space="0"/>
                  </w:tcBorders>
                  <w:vAlign w:val="center"/>
                </w:tcPr>
                <w:p w14:paraId="61C0C900">
                  <w:pPr>
                    <w:pStyle w:val="149"/>
                    <w:rPr>
                      <w:rFonts w:eastAsia="Times New Roman"/>
                    </w:rPr>
                  </w:pPr>
                  <w:r>
                    <w:rPr>
                      <w:rFonts w:hint="eastAsia" w:eastAsia="Times New Roman"/>
                    </w:rPr>
                    <w:t>28.87</w:t>
                  </w:r>
                </w:p>
              </w:tc>
              <w:tc>
                <w:tcPr>
                  <w:tcW w:w="457" w:type="pct"/>
                  <w:tcBorders>
                    <w:top w:val="single" w:color="auto" w:sz="4" w:space="0"/>
                    <w:left w:val="single" w:color="auto" w:sz="4" w:space="0"/>
                    <w:bottom w:val="single" w:color="auto" w:sz="4" w:space="0"/>
                    <w:right w:val="single" w:color="auto" w:sz="4" w:space="0"/>
                  </w:tcBorders>
                  <w:vAlign w:val="center"/>
                </w:tcPr>
                <w:p w14:paraId="0B6B64A3">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9F8BFA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505CEF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BE2445C">
                  <w:pPr>
                    <w:pStyle w:val="149"/>
                    <w:rPr>
                      <w:rFonts w:eastAsia="Times New Roman"/>
                    </w:rPr>
                  </w:pPr>
                  <w:r>
                    <w:rPr>
                      <w:rFonts w:hint="eastAsia" w:ascii="宋体" w:hAnsi="宋体" w:eastAsia="宋体" w:cs="宋体"/>
                    </w:rPr>
                    <w:t>夜间</w:t>
                  </w:r>
                </w:p>
              </w:tc>
            </w:tr>
            <w:tr w14:paraId="54BEEE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02156A1">
                  <w:pPr>
                    <w:pStyle w:val="149"/>
                    <w:rPr>
                      <w:rFonts w:eastAsia="Times New Roman"/>
                    </w:rPr>
                  </w:pPr>
                  <w:r>
                    <w:rPr>
                      <w:rFonts w:eastAsia="Times New Roman"/>
                    </w:rPr>
                    <w:t>91</w:t>
                  </w:r>
                </w:p>
              </w:tc>
              <w:tc>
                <w:tcPr>
                  <w:tcW w:w="848" w:type="pct"/>
                  <w:tcBorders>
                    <w:top w:val="single" w:color="auto" w:sz="4" w:space="0"/>
                    <w:left w:val="single" w:color="auto" w:sz="4" w:space="0"/>
                    <w:bottom w:val="single" w:color="auto" w:sz="4" w:space="0"/>
                    <w:right w:val="single" w:color="auto" w:sz="4" w:space="0"/>
                  </w:tcBorders>
                  <w:vAlign w:val="center"/>
                </w:tcPr>
                <w:p w14:paraId="16450AE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2801A9D">
                  <w:pPr>
                    <w:pStyle w:val="149"/>
                    <w:rPr>
                      <w:rFonts w:eastAsia="Times New Roman"/>
                    </w:rPr>
                  </w:pPr>
                  <w:r>
                    <w:rPr>
                      <w:rFonts w:hint="eastAsia" w:eastAsia="Times New Roman"/>
                    </w:rPr>
                    <w:t>107.69</w:t>
                  </w:r>
                </w:p>
              </w:tc>
              <w:tc>
                <w:tcPr>
                  <w:tcW w:w="440" w:type="pct"/>
                  <w:tcBorders>
                    <w:top w:val="single" w:color="auto" w:sz="4" w:space="0"/>
                    <w:left w:val="single" w:color="auto" w:sz="4" w:space="0"/>
                    <w:bottom w:val="single" w:color="auto" w:sz="4" w:space="0"/>
                    <w:right w:val="single" w:color="auto" w:sz="4" w:space="0"/>
                  </w:tcBorders>
                  <w:vAlign w:val="center"/>
                </w:tcPr>
                <w:p w14:paraId="3FFC7635">
                  <w:pPr>
                    <w:pStyle w:val="149"/>
                    <w:rPr>
                      <w:rFonts w:eastAsia="Times New Roman"/>
                    </w:rPr>
                  </w:pPr>
                  <w:r>
                    <w:rPr>
                      <w:rFonts w:hint="eastAsia" w:eastAsia="Times New Roman"/>
                    </w:rPr>
                    <w:t>29.37</w:t>
                  </w:r>
                </w:p>
              </w:tc>
              <w:tc>
                <w:tcPr>
                  <w:tcW w:w="457" w:type="pct"/>
                  <w:tcBorders>
                    <w:top w:val="single" w:color="auto" w:sz="4" w:space="0"/>
                    <w:left w:val="single" w:color="auto" w:sz="4" w:space="0"/>
                    <w:bottom w:val="single" w:color="auto" w:sz="4" w:space="0"/>
                    <w:right w:val="single" w:color="auto" w:sz="4" w:space="0"/>
                  </w:tcBorders>
                  <w:vAlign w:val="center"/>
                </w:tcPr>
                <w:p w14:paraId="68F3581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8382B8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D0A445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6D8AFBA">
                  <w:pPr>
                    <w:pStyle w:val="149"/>
                    <w:rPr>
                      <w:rFonts w:eastAsia="Times New Roman"/>
                    </w:rPr>
                  </w:pPr>
                  <w:r>
                    <w:rPr>
                      <w:rFonts w:hint="eastAsia" w:ascii="宋体" w:hAnsi="宋体" w:eastAsia="宋体" w:cs="宋体"/>
                    </w:rPr>
                    <w:t>昼间</w:t>
                  </w:r>
                </w:p>
              </w:tc>
            </w:tr>
            <w:tr w14:paraId="0BB0C9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DD681A7">
                  <w:pPr>
                    <w:pStyle w:val="149"/>
                    <w:rPr>
                      <w:rFonts w:eastAsia="Times New Roman"/>
                    </w:rPr>
                  </w:pPr>
                  <w:r>
                    <w:rPr>
                      <w:rFonts w:eastAsia="Times New Roman"/>
                    </w:rPr>
                    <w:t>92</w:t>
                  </w:r>
                </w:p>
              </w:tc>
              <w:tc>
                <w:tcPr>
                  <w:tcW w:w="848" w:type="pct"/>
                  <w:tcBorders>
                    <w:top w:val="single" w:color="auto" w:sz="4" w:space="0"/>
                    <w:left w:val="single" w:color="auto" w:sz="4" w:space="0"/>
                    <w:bottom w:val="single" w:color="auto" w:sz="4" w:space="0"/>
                    <w:right w:val="single" w:color="auto" w:sz="4" w:space="0"/>
                  </w:tcBorders>
                  <w:vAlign w:val="center"/>
                </w:tcPr>
                <w:p w14:paraId="5D36482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474D819">
                  <w:pPr>
                    <w:pStyle w:val="149"/>
                    <w:rPr>
                      <w:rFonts w:eastAsia="Times New Roman"/>
                    </w:rPr>
                  </w:pPr>
                  <w:r>
                    <w:rPr>
                      <w:rFonts w:hint="eastAsia" w:eastAsia="Times New Roman"/>
                    </w:rPr>
                    <w:t>107.69</w:t>
                  </w:r>
                </w:p>
              </w:tc>
              <w:tc>
                <w:tcPr>
                  <w:tcW w:w="440" w:type="pct"/>
                  <w:tcBorders>
                    <w:top w:val="single" w:color="auto" w:sz="4" w:space="0"/>
                    <w:left w:val="single" w:color="auto" w:sz="4" w:space="0"/>
                    <w:bottom w:val="single" w:color="auto" w:sz="4" w:space="0"/>
                    <w:right w:val="single" w:color="auto" w:sz="4" w:space="0"/>
                  </w:tcBorders>
                  <w:vAlign w:val="center"/>
                </w:tcPr>
                <w:p w14:paraId="2DB4C49E">
                  <w:pPr>
                    <w:pStyle w:val="149"/>
                    <w:rPr>
                      <w:rFonts w:eastAsia="Times New Roman"/>
                    </w:rPr>
                  </w:pPr>
                  <w:r>
                    <w:rPr>
                      <w:rFonts w:hint="eastAsia" w:eastAsia="Times New Roman"/>
                    </w:rPr>
                    <w:t>29.37</w:t>
                  </w:r>
                </w:p>
              </w:tc>
              <w:tc>
                <w:tcPr>
                  <w:tcW w:w="457" w:type="pct"/>
                  <w:tcBorders>
                    <w:top w:val="single" w:color="auto" w:sz="4" w:space="0"/>
                    <w:left w:val="single" w:color="auto" w:sz="4" w:space="0"/>
                    <w:bottom w:val="single" w:color="auto" w:sz="4" w:space="0"/>
                    <w:right w:val="single" w:color="auto" w:sz="4" w:space="0"/>
                  </w:tcBorders>
                  <w:vAlign w:val="center"/>
                </w:tcPr>
                <w:p w14:paraId="70298B9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E399D8D">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358DF7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CC96276">
                  <w:pPr>
                    <w:pStyle w:val="149"/>
                    <w:rPr>
                      <w:rFonts w:eastAsia="Times New Roman"/>
                    </w:rPr>
                  </w:pPr>
                  <w:r>
                    <w:rPr>
                      <w:rFonts w:hint="eastAsia" w:ascii="宋体" w:hAnsi="宋体" w:eastAsia="宋体" w:cs="宋体"/>
                    </w:rPr>
                    <w:t>夜间</w:t>
                  </w:r>
                </w:p>
              </w:tc>
            </w:tr>
            <w:tr w14:paraId="7B5927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6802754">
                  <w:pPr>
                    <w:pStyle w:val="149"/>
                    <w:rPr>
                      <w:rFonts w:eastAsia="Times New Roman"/>
                    </w:rPr>
                  </w:pPr>
                  <w:r>
                    <w:rPr>
                      <w:rFonts w:eastAsia="Times New Roman"/>
                    </w:rPr>
                    <w:t>93</w:t>
                  </w:r>
                </w:p>
              </w:tc>
              <w:tc>
                <w:tcPr>
                  <w:tcW w:w="848" w:type="pct"/>
                  <w:tcBorders>
                    <w:top w:val="single" w:color="auto" w:sz="4" w:space="0"/>
                    <w:left w:val="single" w:color="auto" w:sz="4" w:space="0"/>
                    <w:bottom w:val="single" w:color="auto" w:sz="4" w:space="0"/>
                    <w:right w:val="single" w:color="auto" w:sz="4" w:space="0"/>
                  </w:tcBorders>
                  <w:vAlign w:val="center"/>
                </w:tcPr>
                <w:p w14:paraId="5840BF15">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40DF012">
                  <w:pPr>
                    <w:pStyle w:val="149"/>
                    <w:rPr>
                      <w:rFonts w:eastAsia="Times New Roman"/>
                    </w:rPr>
                  </w:pPr>
                  <w:r>
                    <w:rPr>
                      <w:rFonts w:hint="eastAsia" w:eastAsia="Times New Roman"/>
                    </w:rPr>
                    <w:t>80.92</w:t>
                  </w:r>
                </w:p>
              </w:tc>
              <w:tc>
                <w:tcPr>
                  <w:tcW w:w="440" w:type="pct"/>
                  <w:tcBorders>
                    <w:top w:val="single" w:color="auto" w:sz="4" w:space="0"/>
                    <w:left w:val="single" w:color="auto" w:sz="4" w:space="0"/>
                    <w:bottom w:val="single" w:color="auto" w:sz="4" w:space="0"/>
                    <w:right w:val="single" w:color="auto" w:sz="4" w:space="0"/>
                  </w:tcBorders>
                  <w:vAlign w:val="center"/>
                </w:tcPr>
                <w:p w14:paraId="007871E4">
                  <w:pPr>
                    <w:pStyle w:val="149"/>
                    <w:rPr>
                      <w:rFonts w:eastAsia="Times New Roman"/>
                    </w:rPr>
                  </w:pPr>
                  <w:r>
                    <w:rPr>
                      <w:rFonts w:hint="eastAsia" w:eastAsia="Times New Roman"/>
                    </w:rPr>
                    <w:t>37.31</w:t>
                  </w:r>
                </w:p>
              </w:tc>
              <w:tc>
                <w:tcPr>
                  <w:tcW w:w="457" w:type="pct"/>
                  <w:tcBorders>
                    <w:top w:val="single" w:color="auto" w:sz="4" w:space="0"/>
                    <w:left w:val="single" w:color="auto" w:sz="4" w:space="0"/>
                    <w:bottom w:val="single" w:color="auto" w:sz="4" w:space="0"/>
                    <w:right w:val="single" w:color="auto" w:sz="4" w:space="0"/>
                  </w:tcBorders>
                  <w:vAlign w:val="center"/>
                </w:tcPr>
                <w:p w14:paraId="4D20AD7C">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F0433B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C122E6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5A22E84">
                  <w:pPr>
                    <w:pStyle w:val="149"/>
                    <w:rPr>
                      <w:rFonts w:eastAsia="Times New Roman"/>
                    </w:rPr>
                  </w:pPr>
                  <w:r>
                    <w:rPr>
                      <w:rFonts w:hint="eastAsia" w:ascii="宋体" w:hAnsi="宋体" w:eastAsia="宋体" w:cs="宋体"/>
                    </w:rPr>
                    <w:t>昼间</w:t>
                  </w:r>
                </w:p>
              </w:tc>
            </w:tr>
            <w:tr w14:paraId="284EB8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A87088B">
                  <w:pPr>
                    <w:pStyle w:val="149"/>
                    <w:rPr>
                      <w:rFonts w:eastAsia="Times New Roman"/>
                    </w:rPr>
                  </w:pPr>
                  <w:r>
                    <w:rPr>
                      <w:rFonts w:eastAsia="Times New Roman"/>
                    </w:rPr>
                    <w:t>94</w:t>
                  </w:r>
                </w:p>
              </w:tc>
              <w:tc>
                <w:tcPr>
                  <w:tcW w:w="848" w:type="pct"/>
                  <w:tcBorders>
                    <w:top w:val="single" w:color="auto" w:sz="4" w:space="0"/>
                    <w:left w:val="single" w:color="auto" w:sz="4" w:space="0"/>
                    <w:bottom w:val="single" w:color="auto" w:sz="4" w:space="0"/>
                    <w:right w:val="single" w:color="auto" w:sz="4" w:space="0"/>
                  </w:tcBorders>
                  <w:vAlign w:val="center"/>
                </w:tcPr>
                <w:p w14:paraId="674655AF">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AC74551">
                  <w:pPr>
                    <w:pStyle w:val="149"/>
                    <w:rPr>
                      <w:rFonts w:eastAsia="Times New Roman"/>
                    </w:rPr>
                  </w:pPr>
                  <w:r>
                    <w:rPr>
                      <w:rFonts w:hint="eastAsia" w:eastAsia="Times New Roman"/>
                    </w:rPr>
                    <w:t>80.92</w:t>
                  </w:r>
                </w:p>
              </w:tc>
              <w:tc>
                <w:tcPr>
                  <w:tcW w:w="440" w:type="pct"/>
                  <w:tcBorders>
                    <w:top w:val="single" w:color="auto" w:sz="4" w:space="0"/>
                    <w:left w:val="single" w:color="auto" w:sz="4" w:space="0"/>
                    <w:bottom w:val="single" w:color="auto" w:sz="4" w:space="0"/>
                    <w:right w:val="single" w:color="auto" w:sz="4" w:space="0"/>
                  </w:tcBorders>
                  <w:vAlign w:val="center"/>
                </w:tcPr>
                <w:p w14:paraId="22C429DF">
                  <w:pPr>
                    <w:pStyle w:val="149"/>
                    <w:rPr>
                      <w:rFonts w:eastAsia="Times New Roman"/>
                    </w:rPr>
                  </w:pPr>
                  <w:r>
                    <w:rPr>
                      <w:rFonts w:hint="eastAsia" w:eastAsia="Times New Roman"/>
                    </w:rPr>
                    <w:t>37.31</w:t>
                  </w:r>
                </w:p>
              </w:tc>
              <w:tc>
                <w:tcPr>
                  <w:tcW w:w="457" w:type="pct"/>
                  <w:tcBorders>
                    <w:top w:val="single" w:color="auto" w:sz="4" w:space="0"/>
                    <w:left w:val="single" w:color="auto" w:sz="4" w:space="0"/>
                    <w:bottom w:val="single" w:color="auto" w:sz="4" w:space="0"/>
                    <w:right w:val="single" w:color="auto" w:sz="4" w:space="0"/>
                  </w:tcBorders>
                  <w:vAlign w:val="center"/>
                </w:tcPr>
                <w:p w14:paraId="0438F58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473DDA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AC7DAF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CB9CC53">
                  <w:pPr>
                    <w:pStyle w:val="149"/>
                    <w:rPr>
                      <w:rFonts w:eastAsia="Times New Roman"/>
                    </w:rPr>
                  </w:pPr>
                  <w:r>
                    <w:rPr>
                      <w:rFonts w:hint="eastAsia" w:ascii="宋体" w:hAnsi="宋体" w:eastAsia="宋体" w:cs="宋体"/>
                    </w:rPr>
                    <w:t>夜间</w:t>
                  </w:r>
                </w:p>
              </w:tc>
            </w:tr>
            <w:tr w14:paraId="1AA827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87C7ED0">
                  <w:pPr>
                    <w:pStyle w:val="149"/>
                    <w:rPr>
                      <w:rFonts w:eastAsia="Times New Roman"/>
                    </w:rPr>
                  </w:pPr>
                  <w:r>
                    <w:rPr>
                      <w:rFonts w:eastAsia="Times New Roman"/>
                    </w:rPr>
                    <w:t>95</w:t>
                  </w:r>
                </w:p>
              </w:tc>
              <w:tc>
                <w:tcPr>
                  <w:tcW w:w="848" w:type="pct"/>
                  <w:tcBorders>
                    <w:top w:val="single" w:color="auto" w:sz="4" w:space="0"/>
                    <w:left w:val="single" w:color="auto" w:sz="4" w:space="0"/>
                    <w:bottom w:val="single" w:color="auto" w:sz="4" w:space="0"/>
                    <w:right w:val="single" w:color="auto" w:sz="4" w:space="0"/>
                  </w:tcBorders>
                  <w:vAlign w:val="center"/>
                </w:tcPr>
                <w:p w14:paraId="57FE305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CDDB485">
                  <w:pPr>
                    <w:pStyle w:val="149"/>
                    <w:rPr>
                      <w:rFonts w:eastAsia="Times New Roman"/>
                    </w:rPr>
                  </w:pPr>
                  <w:r>
                    <w:rPr>
                      <w:rFonts w:hint="eastAsia" w:eastAsia="Times New Roman"/>
                    </w:rPr>
                    <w:t>60.71</w:t>
                  </w:r>
                </w:p>
              </w:tc>
              <w:tc>
                <w:tcPr>
                  <w:tcW w:w="440" w:type="pct"/>
                  <w:tcBorders>
                    <w:top w:val="single" w:color="auto" w:sz="4" w:space="0"/>
                    <w:left w:val="single" w:color="auto" w:sz="4" w:space="0"/>
                    <w:bottom w:val="single" w:color="auto" w:sz="4" w:space="0"/>
                    <w:right w:val="single" w:color="auto" w:sz="4" w:space="0"/>
                  </w:tcBorders>
                  <w:vAlign w:val="center"/>
                </w:tcPr>
                <w:p w14:paraId="75DBCA33">
                  <w:pPr>
                    <w:pStyle w:val="149"/>
                    <w:rPr>
                      <w:rFonts w:eastAsia="Times New Roman"/>
                    </w:rPr>
                  </w:pPr>
                  <w:r>
                    <w:rPr>
                      <w:rFonts w:hint="eastAsia" w:eastAsia="Times New Roman"/>
                    </w:rPr>
                    <w:t>39.75</w:t>
                  </w:r>
                </w:p>
              </w:tc>
              <w:tc>
                <w:tcPr>
                  <w:tcW w:w="457" w:type="pct"/>
                  <w:tcBorders>
                    <w:top w:val="single" w:color="auto" w:sz="4" w:space="0"/>
                    <w:left w:val="single" w:color="auto" w:sz="4" w:space="0"/>
                    <w:bottom w:val="single" w:color="auto" w:sz="4" w:space="0"/>
                    <w:right w:val="single" w:color="auto" w:sz="4" w:space="0"/>
                  </w:tcBorders>
                  <w:vAlign w:val="center"/>
                </w:tcPr>
                <w:p w14:paraId="3E79E59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785D39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BDF8B03">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D63C00A">
                  <w:pPr>
                    <w:pStyle w:val="149"/>
                    <w:rPr>
                      <w:rFonts w:eastAsia="Times New Roman"/>
                    </w:rPr>
                  </w:pPr>
                  <w:r>
                    <w:rPr>
                      <w:rFonts w:hint="eastAsia" w:ascii="宋体" w:hAnsi="宋体" w:eastAsia="宋体" w:cs="宋体"/>
                    </w:rPr>
                    <w:t>昼间</w:t>
                  </w:r>
                </w:p>
              </w:tc>
            </w:tr>
            <w:tr w14:paraId="33ED7D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84E0764">
                  <w:pPr>
                    <w:pStyle w:val="149"/>
                    <w:rPr>
                      <w:rFonts w:eastAsia="Times New Roman"/>
                    </w:rPr>
                  </w:pPr>
                  <w:r>
                    <w:rPr>
                      <w:rFonts w:eastAsia="Times New Roman"/>
                    </w:rPr>
                    <w:t>96</w:t>
                  </w:r>
                </w:p>
              </w:tc>
              <w:tc>
                <w:tcPr>
                  <w:tcW w:w="848" w:type="pct"/>
                  <w:tcBorders>
                    <w:top w:val="single" w:color="auto" w:sz="4" w:space="0"/>
                    <w:left w:val="single" w:color="auto" w:sz="4" w:space="0"/>
                    <w:bottom w:val="single" w:color="auto" w:sz="4" w:space="0"/>
                    <w:right w:val="single" w:color="auto" w:sz="4" w:space="0"/>
                  </w:tcBorders>
                  <w:vAlign w:val="center"/>
                </w:tcPr>
                <w:p w14:paraId="5795A804">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44F9631">
                  <w:pPr>
                    <w:pStyle w:val="149"/>
                    <w:rPr>
                      <w:rFonts w:eastAsia="Times New Roman"/>
                    </w:rPr>
                  </w:pPr>
                  <w:r>
                    <w:rPr>
                      <w:rFonts w:hint="eastAsia" w:eastAsia="Times New Roman"/>
                    </w:rPr>
                    <w:t>60.71</w:t>
                  </w:r>
                </w:p>
              </w:tc>
              <w:tc>
                <w:tcPr>
                  <w:tcW w:w="440" w:type="pct"/>
                  <w:tcBorders>
                    <w:top w:val="single" w:color="auto" w:sz="4" w:space="0"/>
                    <w:left w:val="single" w:color="auto" w:sz="4" w:space="0"/>
                    <w:bottom w:val="single" w:color="auto" w:sz="4" w:space="0"/>
                    <w:right w:val="single" w:color="auto" w:sz="4" w:space="0"/>
                  </w:tcBorders>
                  <w:vAlign w:val="center"/>
                </w:tcPr>
                <w:p w14:paraId="60D556EA">
                  <w:pPr>
                    <w:pStyle w:val="149"/>
                    <w:rPr>
                      <w:rFonts w:eastAsia="Times New Roman"/>
                    </w:rPr>
                  </w:pPr>
                  <w:r>
                    <w:rPr>
                      <w:rFonts w:hint="eastAsia" w:eastAsia="Times New Roman"/>
                    </w:rPr>
                    <w:t>39.75</w:t>
                  </w:r>
                </w:p>
              </w:tc>
              <w:tc>
                <w:tcPr>
                  <w:tcW w:w="457" w:type="pct"/>
                  <w:tcBorders>
                    <w:top w:val="single" w:color="auto" w:sz="4" w:space="0"/>
                    <w:left w:val="single" w:color="auto" w:sz="4" w:space="0"/>
                    <w:bottom w:val="single" w:color="auto" w:sz="4" w:space="0"/>
                    <w:right w:val="single" w:color="auto" w:sz="4" w:space="0"/>
                  </w:tcBorders>
                  <w:vAlign w:val="center"/>
                </w:tcPr>
                <w:p w14:paraId="5D797D2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5C8280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3C3A84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B0546E9">
                  <w:pPr>
                    <w:pStyle w:val="149"/>
                    <w:rPr>
                      <w:rFonts w:eastAsia="Times New Roman"/>
                    </w:rPr>
                  </w:pPr>
                  <w:r>
                    <w:rPr>
                      <w:rFonts w:hint="eastAsia" w:ascii="宋体" w:hAnsi="宋体" w:eastAsia="宋体" w:cs="宋体"/>
                    </w:rPr>
                    <w:t>夜间</w:t>
                  </w:r>
                </w:p>
              </w:tc>
            </w:tr>
            <w:tr w14:paraId="4596A1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3801C42">
                  <w:pPr>
                    <w:pStyle w:val="149"/>
                    <w:rPr>
                      <w:rFonts w:eastAsia="Times New Roman"/>
                    </w:rPr>
                  </w:pPr>
                  <w:r>
                    <w:rPr>
                      <w:rFonts w:eastAsia="Times New Roman"/>
                    </w:rPr>
                    <w:t>97</w:t>
                  </w:r>
                </w:p>
              </w:tc>
              <w:tc>
                <w:tcPr>
                  <w:tcW w:w="848" w:type="pct"/>
                  <w:tcBorders>
                    <w:top w:val="single" w:color="auto" w:sz="4" w:space="0"/>
                    <w:left w:val="single" w:color="auto" w:sz="4" w:space="0"/>
                    <w:bottom w:val="single" w:color="auto" w:sz="4" w:space="0"/>
                    <w:right w:val="single" w:color="auto" w:sz="4" w:space="0"/>
                  </w:tcBorders>
                  <w:vAlign w:val="center"/>
                </w:tcPr>
                <w:p w14:paraId="17890CA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D288CB4">
                  <w:pPr>
                    <w:pStyle w:val="149"/>
                    <w:rPr>
                      <w:rFonts w:eastAsia="Times New Roman"/>
                    </w:rPr>
                  </w:pPr>
                  <w:r>
                    <w:rPr>
                      <w:rFonts w:hint="eastAsia" w:eastAsia="Times New Roman"/>
                    </w:rPr>
                    <w:t>102.84</w:t>
                  </w:r>
                </w:p>
              </w:tc>
              <w:tc>
                <w:tcPr>
                  <w:tcW w:w="440" w:type="pct"/>
                  <w:tcBorders>
                    <w:top w:val="single" w:color="auto" w:sz="4" w:space="0"/>
                    <w:left w:val="single" w:color="auto" w:sz="4" w:space="0"/>
                    <w:bottom w:val="single" w:color="auto" w:sz="4" w:space="0"/>
                    <w:right w:val="single" w:color="auto" w:sz="4" w:space="0"/>
                  </w:tcBorders>
                  <w:vAlign w:val="center"/>
                </w:tcPr>
                <w:p w14:paraId="513B70CD">
                  <w:pPr>
                    <w:pStyle w:val="149"/>
                    <w:rPr>
                      <w:rFonts w:eastAsia="Times New Roman"/>
                    </w:rPr>
                  </w:pPr>
                  <w:r>
                    <w:rPr>
                      <w:rFonts w:hint="eastAsia" w:eastAsia="Times New Roman"/>
                    </w:rPr>
                    <w:t>29.97</w:t>
                  </w:r>
                </w:p>
              </w:tc>
              <w:tc>
                <w:tcPr>
                  <w:tcW w:w="457" w:type="pct"/>
                  <w:tcBorders>
                    <w:top w:val="single" w:color="auto" w:sz="4" w:space="0"/>
                    <w:left w:val="single" w:color="auto" w:sz="4" w:space="0"/>
                    <w:bottom w:val="single" w:color="auto" w:sz="4" w:space="0"/>
                    <w:right w:val="single" w:color="auto" w:sz="4" w:space="0"/>
                  </w:tcBorders>
                  <w:vAlign w:val="center"/>
                </w:tcPr>
                <w:p w14:paraId="131AB19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3DDF3E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570EF0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AEDA829">
                  <w:pPr>
                    <w:pStyle w:val="149"/>
                    <w:rPr>
                      <w:rFonts w:eastAsia="Times New Roman"/>
                    </w:rPr>
                  </w:pPr>
                  <w:r>
                    <w:rPr>
                      <w:rFonts w:hint="eastAsia" w:ascii="宋体" w:hAnsi="宋体" w:eastAsia="宋体" w:cs="宋体"/>
                    </w:rPr>
                    <w:t>昼间</w:t>
                  </w:r>
                </w:p>
              </w:tc>
            </w:tr>
            <w:tr w14:paraId="513DED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08B7D44">
                  <w:pPr>
                    <w:pStyle w:val="149"/>
                    <w:rPr>
                      <w:rFonts w:eastAsia="Times New Roman"/>
                    </w:rPr>
                  </w:pPr>
                  <w:r>
                    <w:rPr>
                      <w:rFonts w:eastAsia="Times New Roman"/>
                    </w:rPr>
                    <w:t>98</w:t>
                  </w:r>
                </w:p>
              </w:tc>
              <w:tc>
                <w:tcPr>
                  <w:tcW w:w="848" w:type="pct"/>
                  <w:tcBorders>
                    <w:top w:val="single" w:color="auto" w:sz="4" w:space="0"/>
                    <w:left w:val="single" w:color="auto" w:sz="4" w:space="0"/>
                    <w:bottom w:val="single" w:color="auto" w:sz="4" w:space="0"/>
                    <w:right w:val="single" w:color="auto" w:sz="4" w:space="0"/>
                  </w:tcBorders>
                  <w:vAlign w:val="center"/>
                </w:tcPr>
                <w:p w14:paraId="305BCE3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51A7D2F">
                  <w:pPr>
                    <w:pStyle w:val="149"/>
                    <w:rPr>
                      <w:rFonts w:eastAsia="Times New Roman"/>
                    </w:rPr>
                  </w:pPr>
                  <w:r>
                    <w:rPr>
                      <w:rFonts w:hint="eastAsia" w:eastAsia="Times New Roman"/>
                    </w:rPr>
                    <w:t>102.84</w:t>
                  </w:r>
                </w:p>
              </w:tc>
              <w:tc>
                <w:tcPr>
                  <w:tcW w:w="440" w:type="pct"/>
                  <w:tcBorders>
                    <w:top w:val="single" w:color="auto" w:sz="4" w:space="0"/>
                    <w:left w:val="single" w:color="auto" w:sz="4" w:space="0"/>
                    <w:bottom w:val="single" w:color="auto" w:sz="4" w:space="0"/>
                    <w:right w:val="single" w:color="auto" w:sz="4" w:space="0"/>
                  </w:tcBorders>
                  <w:vAlign w:val="center"/>
                </w:tcPr>
                <w:p w14:paraId="33B89F27">
                  <w:pPr>
                    <w:pStyle w:val="149"/>
                    <w:rPr>
                      <w:rFonts w:eastAsia="Times New Roman"/>
                    </w:rPr>
                  </w:pPr>
                  <w:r>
                    <w:rPr>
                      <w:rFonts w:hint="eastAsia" w:eastAsia="Times New Roman"/>
                    </w:rPr>
                    <w:t>29.97</w:t>
                  </w:r>
                </w:p>
              </w:tc>
              <w:tc>
                <w:tcPr>
                  <w:tcW w:w="457" w:type="pct"/>
                  <w:tcBorders>
                    <w:top w:val="single" w:color="auto" w:sz="4" w:space="0"/>
                    <w:left w:val="single" w:color="auto" w:sz="4" w:space="0"/>
                    <w:bottom w:val="single" w:color="auto" w:sz="4" w:space="0"/>
                    <w:right w:val="single" w:color="auto" w:sz="4" w:space="0"/>
                  </w:tcBorders>
                  <w:vAlign w:val="center"/>
                </w:tcPr>
                <w:p w14:paraId="67B8286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FCD55E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5932C2F">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2474FF8">
                  <w:pPr>
                    <w:pStyle w:val="149"/>
                    <w:rPr>
                      <w:rFonts w:eastAsia="Times New Roman"/>
                    </w:rPr>
                  </w:pPr>
                  <w:r>
                    <w:rPr>
                      <w:rFonts w:hint="eastAsia" w:ascii="宋体" w:hAnsi="宋体" w:eastAsia="宋体" w:cs="宋体"/>
                    </w:rPr>
                    <w:t>夜间</w:t>
                  </w:r>
                </w:p>
              </w:tc>
            </w:tr>
            <w:tr w14:paraId="2921C0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98C593F">
                  <w:pPr>
                    <w:pStyle w:val="149"/>
                    <w:rPr>
                      <w:rFonts w:eastAsia="Times New Roman"/>
                    </w:rPr>
                  </w:pPr>
                  <w:r>
                    <w:rPr>
                      <w:rFonts w:eastAsia="Times New Roman"/>
                    </w:rPr>
                    <w:t>99</w:t>
                  </w:r>
                </w:p>
              </w:tc>
              <w:tc>
                <w:tcPr>
                  <w:tcW w:w="848" w:type="pct"/>
                  <w:tcBorders>
                    <w:top w:val="single" w:color="auto" w:sz="4" w:space="0"/>
                    <w:left w:val="single" w:color="auto" w:sz="4" w:space="0"/>
                    <w:bottom w:val="single" w:color="auto" w:sz="4" w:space="0"/>
                    <w:right w:val="single" w:color="auto" w:sz="4" w:space="0"/>
                  </w:tcBorders>
                  <w:vAlign w:val="center"/>
                </w:tcPr>
                <w:p w14:paraId="370D9E3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CB1F839">
                  <w:pPr>
                    <w:pStyle w:val="149"/>
                    <w:rPr>
                      <w:rFonts w:eastAsia="Times New Roman"/>
                    </w:rPr>
                  </w:pPr>
                  <w:r>
                    <w:rPr>
                      <w:rFonts w:hint="eastAsia" w:eastAsia="Times New Roman"/>
                    </w:rPr>
                    <w:t>97.46</w:t>
                  </w:r>
                </w:p>
              </w:tc>
              <w:tc>
                <w:tcPr>
                  <w:tcW w:w="440" w:type="pct"/>
                  <w:tcBorders>
                    <w:top w:val="single" w:color="auto" w:sz="4" w:space="0"/>
                    <w:left w:val="single" w:color="auto" w:sz="4" w:space="0"/>
                    <w:bottom w:val="single" w:color="auto" w:sz="4" w:space="0"/>
                    <w:right w:val="single" w:color="auto" w:sz="4" w:space="0"/>
                  </w:tcBorders>
                  <w:vAlign w:val="center"/>
                </w:tcPr>
                <w:p w14:paraId="0267A412">
                  <w:pPr>
                    <w:pStyle w:val="149"/>
                    <w:rPr>
                      <w:rFonts w:eastAsia="Times New Roman"/>
                    </w:rPr>
                  </w:pPr>
                  <w:r>
                    <w:rPr>
                      <w:rFonts w:hint="eastAsia" w:eastAsia="Times New Roman"/>
                    </w:rPr>
                    <w:t>31</w:t>
                  </w:r>
                </w:p>
              </w:tc>
              <w:tc>
                <w:tcPr>
                  <w:tcW w:w="457" w:type="pct"/>
                  <w:tcBorders>
                    <w:top w:val="single" w:color="auto" w:sz="4" w:space="0"/>
                    <w:left w:val="single" w:color="auto" w:sz="4" w:space="0"/>
                    <w:bottom w:val="single" w:color="auto" w:sz="4" w:space="0"/>
                    <w:right w:val="single" w:color="auto" w:sz="4" w:space="0"/>
                  </w:tcBorders>
                  <w:vAlign w:val="center"/>
                </w:tcPr>
                <w:p w14:paraId="1BB107FC">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AE0ABF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CB7187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B038928">
                  <w:pPr>
                    <w:pStyle w:val="149"/>
                    <w:rPr>
                      <w:rFonts w:eastAsia="Times New Roman"/>
                    </w:rPr>
                  </w:pPr>
                  <w:r>
                    <w:rPr>
                      <w:rFonts w:hint="eastAsia" w:ascii="宋体" w:hAnsi="宋体" w:eastAsia="宋体" w:cs="宋体"/>
                    </w:rPr>
                    <w:t>昼间</w:t>
                  </w:r>
                </w:p>
              </w:tc>
            </w:tr>
            <w:tr w14:paraId="03255F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B0E5635">
                  <w:pPr>
                    <w:pStyle w:val="149"/>
                    <w:rPr>
                      <w:rFonts w:eastAsia="Times New Roman"/>
                    </w:rPr>
                  </w:pPr>
                  <w:r>
                    <w:rPr>
                      <w:rFonts w:eastAsia="Times New Roman"/>
                    </w:rPr>
                    <w:t>100</w:t>
                  </w:r>
                </w:p>
              </w:tc>
              <w:tc>
                <w:tcPr>
                  <w:tcW w:w="848" w:type="pct"/>
                  <w:tcBorders>
                    <w:top w:val="single" w:color="auto" w:sz="4" w:space="0"/>
                    <w:left w:val="single" w:color="auto" w:sz="4" w:space="0"/>
                    <w:bottom w:val="single" w:color="auto" w:sz="4" w:space="0"/>
                    <w:right w:val="single" w:color="auto" w:sz="4" w:space="0"/>
                  </w:tcBorders>
                  <w:vAlign w:val="center"/>
                </w:tcPr>
                <w:p w14:paraId="2851CF4B">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26E8BCA">
                  <w:pPr>
                    <w:pStyle w:val="149"/>
                    <w:rPr>
                      <w:rFonts w:eastAsia="Times New Roman"/>
                    </w:rPr>
                  </w:pPr>
                  <w:r>
                    <w:rPr>
                      <w:rFonts w:hint="eastAsia" w:eastAsia="Times New Roman"/>
                    </w:rPr>
                    <w:t>97.46</w:t>
                  </w:r>
                </w:p>
              </w:tc>
              <w:tc>
                <w:tcPr>
                  <w:tcW w:w="440" w:type="pct"/>
                  <w:tcBorders>
                    <w:top w:val="single" w:color="auto" w:sz="4" w:space="0"/>
                    <w:left w:val="single" w:color="auto" w:sz="4" w:space="0"/>
                    <w:bottom w:val="single" w:color="auto" w:sz="4" w:space="0"/>
                    <w:right w:val="single" w:color="auto" w:sz="4" w:space="0"/>
                  </w:tcBorders>
                  <w:vAlign w:val="center"/>
                </w:tcPr>
                <w:p w14:paraId="1FFBFE94">
                  <w:pPr>
                    <w:pStyle w:val="149"/>
                    <w:rPr>
                      <w:rFonts w:eastAsia="Times New Roman"/>
                    </w:rPr>
                  </w:pPr>
                  <w:r>
                    <w:rPr>
                      <w:rFonts w:hint="eastAsia" w:eastAsia="Times New Roman"/>
                    </w:rPr>
                    <w:t>31</w:t>
                  </w:r>
                </w:p>
              </w:tc>
              <w:tc>
                <w:tcPr>
                  <w:tcW w:w="457" w:type="pct"/>
                  <w:tcBorders>
                    <w:top w:val="single" w:color="auto" w:sz="4" w:space="0"/>
                    <w:left w:val="single" w:color="auto" w:sz="4" w:space="0"/>
                    <w:bottom w:val="single" w:color="auto" w:sz="4" w:space="0"/>
                    <w:right w:val="single" w:color="auto" w:sz="4" w:space="0"/>
                  </w:tcBorders>
                  <w:vAlign w:val="center"/>
                </w:tcPr>
                <w:p w14:paraId="0680766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B594FE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667C7F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580DDE8">
                  <w:pPr>
                    <w:pStyle w:val="149"/>
                    <w:rPr>
                      <w:rFonts w:eastAsia="Times New Roman"/>
                    </w:rPr>
                  </w:pPr>
                  <w:r>
                    <w:rPr>
                      <w:rFonts w:hint="eastAsia" w:ascii="宋体" w:hAnsi="宋体" w:eastAsia="宋体" w:cs="宋体"/>
                    </w:rPr>
                    <w:t>夜间</w:t>
                  </w:r>
                </w:p>
              </w:tc>
            </w:tr>
            <w:tr w14:paraId="0C862B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A58391D">
                  <w:pPr>
                    <w:pStyle w:val="149"/>
                    <w:rPr>
                      <w:rFonts w:eastAsia="Times New Roman"/>
                    </w:rPr>
                  </w:pPr>
                  <w:r>
                    <w:rPr>
                      <w:rFonts w:eastAsia="Times New Roman"/>
                    </w:rPr>
                    <w:t>101</w:t>
                  </w:r>
                </w:p>
              </w:tc>
              <w:tc>
                <w:tcPr>
                  <w:tcW w:w="848" w:type="pct"/>
                  <w:tcBorders>
                    <w:top w:val="single" w:color="auto" w:sz="4" w:space="0"/>
                    <w:left w:val="single" w:color="auto" w:sz="4" w:space="0"/>
                    <w:bottom w:val="single" w:color="auto" w:sz="4" w:space="0"/>
                    <w:right w:val="single" w:color="auto" w:sz="4" w:space="0"/>
                  </w:tcBorders>
                  <w:vAlign w:val="center"/>
                </w:tcPr>
                <w:p w14:paraId="7009F95F">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0D383C3">
                  <w:pPr>
                    <w:pStyle w:val="149"/>
                    <w:rPr>
                      <w:rFonts w:eastAsia="Times New Roman"/>
                    </w:rPr>
                  </w:pPr>
                  <w:r>
                    <w:rPr>
                      <w:rFonts w:hint="eastAsia" w:eastAsia="Times New Roman"/>
                    </w:rPr>
                    <w:t>92.89</w:t>
                  </w:r>
                </w:p>
              </w:tc>
              <w:tc>
                <w:tcPr>
                  <w:tcW w:w="440" w:type="pct"/>
                  <w:tcBorders>
                    <w:top w:val="single" w:color="auto" w:sz="4" w:space="0"/>
                    <w:left w:val="single" w:color="auto" w:sz="4" w:space="0"/>
                    <w:bottom w:val="single" w:color="auto" w:sz="4" w:space="0"/>
                    <w:right w:val="single" w:color="auto" w:sz="4" w:space="0"/>
                  </w:tcBorders>
                  <w:vAlign w:val="center"/>
                </w:tcPr>
                <w:p w14:paraId="1C75EC91">
                  <w:pPr>
                    <w:pStyle w:val="149"/>
                    <w:rPr>
                      <w:rFonts w:eastAsia="Times New Roman"/>
                    </w:rPr>
                  </w:pPr>
                  <w:r>
                    <w:rPr>
                      <w:rFonts w:hint="eastAsia" w:eastAsia="Times New Roman"/>
                    </w:rPr>
                    <w:t>31.81</w:t>
                  </w:r>
                </w:p>
              </w:tc>
              <w:tc>
                <w:tcPr>
                  <w:tcW w:w="457" w:type="pct"/>
                  <w:tcBorders>
                    <w:top w:val="single" w:color="auto" w:sz="4" w:space="0"/>
                    <w:left w:val="single" w:color="auto" w:sz="4" w:space="0"/>
                    <w:bottom w:val="single" w:color="auto" w:sz="4" w:space="0"/>
                    <w:right w:val="single" w:color="auto" w:sz="4" w:space="0"/>
                  </w:tcBorders>
                  <w:vAlign w:val="center"/>
                </w:tcPr>
                <w:p w14:paraId="0911355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8DD284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FFED412">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BBA5C4A">
                  <w:pPr>
                    <w:pStyle w:val="149"/>
                    <w:rPr>
                      <w:rFonts w:eastAsia="Times New Roman"/>
                    </w:rPr>
                  </w:pPr>
                  <w:r>
                    <w:rPr>
                      <w:rFonts w:hint="eastAsia" w:ascii="宋体" w:hAnsi="宋体" w:eastAsia="宋体" w:cs="宋体"/>
                    </w:rPr>
                    <w:t>昼间</w:t>
                  </w:r>
                </w:p>
              </w:tc>
            </w:tr>
            <w:tr w14:paraId="09B24F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BFF875B">
                  <w:pPr>
                    <w:pStyle w:val="149"/>
                    <w:rPr>
                      <w:rFonts w:eastAsia="Times New Roman"/>
                    </w:rPr>
                  </w:pPr>
                  <w:r>
                    <w:rPr>
                      <w:rFonts w:eastAsia="Times New Roman"/>
                    </w:rPr>
                    <w:t>102</w:t>
                  </w:r>
                </w:p>
              </w:tc>
              <w:tc>
                <w:tcPr>
                  <w:tcW w:w="848" w:type="pct"/>
                  <w:tcBorders>
                    <w:top w:val="single" w:color="auto" w:sz="4" w:space="0"/>
                    <w:left w:val="single" w:color="auto" w:sz="4" w:space="0"/>
                    <w:bottom w:val="single" w:color="auto" w:sz="4" w:space="0"/>
                    <w:right w:val="single" w:color="auto" w:sz="4" w:space="0"/>
                  </w:tcBorders>
                  <w:vAlign w:val="center"/>
                </w:tcPr>
                <w:p w14:paraId="3E67BD8A">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2E8A1F9">
                  <w:pPr>
                    <w:pStyle w:val="149"/>
                    <w:rPr>
                      <w:rFonts w:eastAsia="Times New Roman"/>
                    </w:rPr>
                  </w:pPr>
                  <w:r>
                    <w:rPr>
                      <w:rFonts w:hint="eastAsia" w:eastAsia="Times New Roman"/>
                    </w:rPr>
                    <w:t>92.89</w:t>
                  </w:r>
                </w:p>
              </w:tc>
              <w:tc>
                <w:tcPr>
                  <w:tcW w:w="440" w:type="pct"/>
                  <w:tcBorders>
                    <w:top w:val="single" w:color="auto" w:sz="4" w:space="0"/>
                    <w:left w:val="single" w:color="auto" w:sz="4" w:space="0"/>
                    <w:bottom w:val="single" w:color="auto" w:sz="4" w:space="0"/>
                    <w:right w:val="single" w:color="auto" w:sz="4" w:space="0"/>
                  </w:tcBorders>
                  <w:vAlign w:val="center"/>
                </w:tcPr>
                <w:p w14:paraId="25A20645">
                  <w:pPr>
                    <w:pStyle w:val="149"/>
                    <w:rPr>
                      <w:rFonts w:eastAsia="Times New Roman"/>
                    </w:rPr>
                  </w:pPr>
                  <w:r>
                    <w:rPr>
                      <w:rFonts w:hint="eastAsia" w:eastAsia="Times New Roman"/>
                    </w:rPr>
                    <w:t>31.81</w:t>
                  </w:r>
                </w:p>
              </w:tc>
              <w:tc>
                <w:tcPr>
                  <w:tcW w:w="457" w:type="pct"/>
                  <w:tcBorders>
                    <w:top w:val="single" w:color="auto" w:sz="4" w:space="0"/>
                    <w:left w:val="single" w:color="auto" w:sz="4" w:space="0"/>
                    <w:bottom w:val="single" w:color="auto" w:sz="4" w:space="0"/>
                    <w:right w:val="single" w:color="auto" w:sz="4" w:space="0"/>
                  </w:tcBorders>
                  <w:vAlign w:val="center"/>
                </w:tcPr>
                <w:p w14:paraId="6760482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0E21CB9">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147D88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6715C86">
                  <w:pPr>
                    <w:pStyle w:val="149"/>
                    <w:rPr>
                      <w:rFonts w:eastAsia="Times New Roman"/>
                    </w:rPr>
                  </w:pPr>
                  <w:r>
                    <w:rPr>
                      <w:rFonts w:hint="eastAsia" w:ascii="宋体" w:hAnsi="宋体" w:eastAsia="宋体" w:cs="宋体"/>
                    </w:rPr>
                    <w:t>夜间</w:t>
                  </w:r>
                </w:p>
              </w:tc>
            </w:tr>
            <w:tr w14:paraId="40C748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FE4FDCA">
                  <w:pPr>
                    <w:pStyle w:val="149"/>
                    <w:rPr>
                      <w:rFonts w:eastAsia="Times New Roman"/>
                    </w:rPr>
                  </w:pPr>
                  <w:r>
                    <w:rPr>
                      <w:rFonts w:eastAsia="Times New Roman"/>
                    </w:rPr>
                    <w:t>103</w:t>
                  </w:r>
                </w:p>
              </w:tc>
              <w:tc>
                <w:tcPr>
                  <w:tcW w:w="848" w:type="pct"/>
                  <w:tcBorders>
                    <w:top w:val="single" w:color="auto" w:sz="4" w:space="0"/>
                    <w:left w:val="single" w:color="auto" w:sz="4" w:space="0"/>
                    <w:bottom w:val="single" w:color="auto" w:sz="4" w:space="0"/>
                    <w:right w:val="single" w:color="auto" w:sz="4" w:space="0"/>
                  </w:tcBorders>
                  <w:vAlign w:val="center"/>
                </w:tcPr>
                <w:p w14:paraId="3EC8BDA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6A9F908">
                  <w:pPr>
                    <w:pStyle w:val="149"/>
                    <w:rPr>
                      <w:rFonts w:eastAsia="Times New Roman"/>
                    </w:rPr>
                  </w:pPr>
                  <w:r>
                    <w:rPr>
                      <w:rFonts w:hint="eastAsia" w:eastAsia="Times New Roman"/>
                    </w:rPr>
                    <w:t>70.9</w:t>
                  </w:r>
                </w:p>
              </w:tc>
              <w:tc>
                <w:tcPr>
                  <w:tcW w:w="440" w:type="pct"/>
                  <w:tcBorders>
                    <w:top w:val="single" w:color="auto" w:sz="4" w:space="0"/>
                    <w:left w:val="single" w:color="auto" w:sz="4" w:space="0"/>
                    <w:bottom w:val="single" w:color="auto" w:sz="4" w:space="0"/>
                    <w:right w:val="single" w:color="auto" w:sz="4" w:space="0"/>
                  </w:tcBorders>
                  <w:vAlign w:val="center"/>
                </w:tcPr>
                <w:p w14:paraId="11DE7EE4">
                  <w:pPr>
                    <w:pStyle w:val="149"/>
                    <w:rPr>
                      <w:rFonts w:eastAsia="Times New Roman"/>
                    </w:rPr>
                  </w:pPr>
                  <w:r>
                    <w:rPr>
                      <w:rFonts w:hint="eastAsia" w:eastAsia="Times New Roman"/>
                    </w:rPr>
                    <w:t>38.14</w:t>
                  </w:r>
                </w:p>
              </w:tc>
              <w:tc>
                <w:tcPr>
                  <w:tcW w:w="457" w:type="pct"/>
                  <w:tcBorders>
                    <w:top w:val="single" w:color="auto" w:sz="4" w:space="0"/>
                    <w:left w:val="single" w:color="auto" w:sz="4" w:space="0"/>
                    <w:bottom w:val="single" w:color="auto" w:sz="4" w:space="0"/>
                    <w:right w:val="single" w:color="auto" w:sz="4" w:space="0"/>
                  </w:tcBorders>
                  <w:vAlign w:val="center"/>
                </w:tcPr>
                <w:p w14:paraId="2B6D383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FE6093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5B3BCF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C6E0D99">
                  <w:pPr>
                    <w:pStyle w:val="149"/>
                    <w:rPr>
                      <w:rFonts w:eastAsia="Times New Roman"/>
                    </w:rPr>
                  </w:pPr>
                  <w:r>
                    <w:rPr>
                      <w:rFonts w:hint="eastAsia" w:ascii="宋体" w:hAnsi="宋体" w:eastAsia="宋体" w:cs="宋体"/>
                    </w:rPr>
                    <w:t>昼间</w:t>
                  </w:r>
                </w:p>
              </w:tc>
            </w:tr>
            <w:tr w14:paraId="48D631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643E4EF">
                  <w:pPr>
                    <w:pStyle w:val="149"/>
                    <w:rPr>
                      <w:rFonts w:eastAsia="Times New Roman"/>
                    </w:rPr>
                  </w:pPr>
                  <w:r>
                    <w:rPr>
                      <w:rFonts w:eastAsia="Times New Roman"/>
                    </w:rPr>
                    <w:t>104</w:t>
                  </w:r>
                </w:p>
              </w:tc>
              <w:tc>
                <w:tcPr>
                  <w:tcW w:w="848" w:type="pct"/>
                  <w:tcBorders>
                    <w:top w:val="single" w:color="auto" w:sz="4" w:space="0"/>
                    <w:left w:val="single" w:color="auto" w:sz="4" w:space="0"/>
                    <w:bottom w:val="single" w:color="auto" w:sz="4" w:space="0"/>
                    <w:right w:val="single" w:color="auto" w:sz="4" w:space="0"/>
                  </w:tcBorders>
                  <w:vAlign w:val="center"/>
                </w:tcPr>
                <w:p w14:paraId="0332E18B">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851B4E2">
                  <w:pPr>
                    <w:pStyle w:val="149"/>
                    <w:rPr>
                      <w:rFonts w:eastAsia="Times New Roman"/>
                    </w:rPr>
                  </w:pPr>
                  <w:r>
                    <w:rPr>
                      <w:rFonts w:hint="eastAsia" w:eastAsia="Times New Roman"/>
                    </w:rPr>
                    <w:t>70.9</w:t>
                  </w:r>
                </w:p>
              </w:tc>
              <w:tc>
                <w:tcPr>
                  <w:tcW w:w="440" w:type="pct"/>
                  <w:tcBorders>
                    <w:top w:val="single" w:color="auto" w:sz="4" w:space="0"/>
                    <w:left w:val="single" w:color="auto" w:sz="4" w:space="0"/>
                    <w:bottom w:val="single" w:color="auto" w:sz="4" w:space="0"/>
                    <w:right w:val="single" w:color="auto" w:sz="4" w:space="0"/>
                  </w:tcBorders>
                  <w:vAlign w:val="center"/>
                </w:tcPr>
                <w:p w14:paraId="47DA6E0E">
                  <w:pPr>
                    <w:pStyle w:val="149"/>
                    <w:rPr>
                      <w:rFonts w:eastAsia="Times New Roman"/>
                    </w:rPr>
                  </w:pPr>
                  <w:r>
                    <w:rPr>
                      <w:rFonts w:hint="eastAsia" w:eastAsia="Times New Roman"/>
                    </w:rPr>
                    <w:t>38.14</w:t>
                  </w:r>
                </w:p>
              </w:tc>
              <w:tc>
                <w:tcPr>
                  <w:tcW w:w="457" w:type="pct"/>
                  <w:tcBorders>
                    <w:top w:val="single" w:color="auto" w:sz="4" w:space="0"/>
                    <w:left w:val="single" w:color="auto" w:sz="4" w:space="0"/>
                    <w:bottom w:val="single" w:color="auto" w:sz="4" w:space="0"/>
                    <w:right w:val="single" w:color="auto" w:sz="4" w:space="0"/>
                  </w:tcBorders>
                  <w:vAlign w:val="center"/>
                </w:tcPr>
                <w:p w14:paraId="58FF96C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FF08F7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AA1396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5EEE890">
                  <w:pPr>
                    <w:pStyle w:val="149"/>
                    <w:rPr>
                      <w:rFonts w:eastAsia="Times New Roman"/>
                    </w:rPr>
                  </w:pPr>
                  <w:r>
                    <w:rPr>
                      <w:rFonts w:hint="eastAsia" w:ascii="宋体" w:hAnsi="宋体" w:eastAsia="宋体" w:cs="宋体"/>
                    </w:rPr>
                    <w:t>夜间</w:t>
                  </w:r>
                </w:p>
              </w:tc>
            </w:tr>
            <w:tr w14:paraId="72CF52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D6FCBB3">
                  <w:pPr>
                    <w:pStyle w:val="149"/>
                    <w:rPr>
                      <w:rFonts w:eastAsia="Times New Roman"/>
                    </w:rPr>
                  </w:pPr>
                  <w:r>
                    <w:rPr>
                      <w:rFonts w:eastAsia="Times New Roman"/>
                    </w:rPr>
                    <w:t>105</w:t>
                  </w:r>
                </w:p>
              </w:tc>
              <w:tc>
                <w:tcPr>
                  <w:tcW w:w="848" w:type="pct"/>
                  <w:tcBorders>
                    <w:top w:val="single" w:color="auto" w:sz="4" w:space="0"/>
                    <w:left w:val="single" w:color="auto" w:sz="4" w:space="0"/>
                    <w:bottom w:val="single" w:color="auto" w:sz="4" w:space="0"/>
                    <w:right w:val="single" w:color="auto" w:sz="4" w:space="0"/>
                  </w:tcBorders>
                  <w:vAlign w:val="center"/>
                </w:tcPr>
                <w:p w14:paraId="737C3E4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E646714">
                  <w:pPr>
                    <w:pStyle w:val="149"/>
                    <w:rPr>
                      <w:rFonts w:eastAsia="Times New Roman"/>
                    </w:rPr>
                  </w:pPr>
                  <w:r>
                    <w:rPr>
                      <w:rFonts w:hint="eastAsia" w:eastAsia="Times New Roman"/>
                    </w:rPr>
                    <w:t>83.27</w:t>
                  </w:r>
                </w:p>
              </w:tc>
              <w:tc>
                <w:tcPr>
                  <w:tcW w:w="440" w:type="pct"/>
                  <w:tcBorders>
                    <w:top w:val="single" w:color="auto" w:sz="4" w:space="0"/>
                    <w:left w:val="single" w:color="auto" w:sz="4" w:space="0"/>
                    <w:bottom w:val="single" w:color="auto" w:sz="4" w:space="0"/>
                    <w:right w:val="single" w:color="auto" w:sz="4" w:space="0"/>
                  </w:tcBorders>
                  <w:vAlign w:val="center"/>
                </w:tcPr>
                <w:p w14:paraId="6941CC10">
                  <w:pPr>
                    <w:pStyle w:val="149"/>
                    <w:rPr>
                      <w:rFonts w:eastAsia="Times New Roman"/>
                    </w:rPr>
                  </w:pPr>
                  <w:r>
                    <w:rPr>
                      <w:rFonts w:hint="eastAsia" w:eastAsia="Times New Roman"/>
                    </w:rPr>
                    <w:t>32.93</w:t>
                  </w:r>
                </w:p>
              </w:tc>
              <w:tc>
                <w:tcPr>
                  <w:tcW w:w="457" w:type="pct"/>
                  <w:tcBorders>
                    <w:top w:val="single" w:color="auto" w:sz="4" w:space="0"/>
                    <w:left w:val="single" w:color="auto" w:sz="4" w:space="0"/>
                    <w:bottom w:val="single" w:color="auto" w:sz="4" w:space="0"/>
                    <w:right w:val="single" w:color="auto" w:sz="4" w:space="0"/>
                  </w:tcBorders>
                  <w:vAlign w:val="center"/>
                </w:tcPr>
                <w:p w14:paraId="07F4430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D83507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ACB7ED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62BC5A5">
                  <w:pPr>
                    <w:pStyle w:val="149"/>
                    <w:rPr>
                      <w:rFonts w:eastAsia="Times New Roman"/>
                    </w:rPr>
                  </w:pPr>
                  <w:r>
                    <w:rPr>
                      <w:rFonts w:hint="eastAsia" w:ascii="宋体" w:hAnsi="宋体" w:eastAsia="宋体" w:cs="宋体"/>
                    </w:rPr>
                    <w:t>昼间</w:t>
                  </w:r>
                </w:p>
              </w:tc>
            </w:tr>
            <w:tr w14:paraId="3F2393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CE02D67">
                  <w:pPr>
                    <w:pStyle w:val="149"/>
                    <w:rPr>
                      <w:rFonts w:eastAsia="Times New Roman"/>
                    </w:rPr>
                  </w:pPr>
                  <w:r>
                    <w:rPr>
                      <w:rFonts w:eastAsia="Times New Roman"/>
                    </w:rPr>
                    <w:t>106</w:t>
                  </w:r>
                </w:p>
              </w:tc>
              <w:tc>
                <w:tcPr>
                  <w:tcW w:w="848" w:type="pct"/>
                  <w:tcBorders>
                    <w:top w:val="single" w:color="auto" w:sz="4" w:space="0"/>
                    <w:left w:val="single" w:color="auto" w:sz="4" w:space="0"/>
                    <w:bottom w:val="single" w:color="auto" w:sz="4" w:space="0"/>
                    <w:right w:val="single" w:color="auto" w:sz="4" w:space="0"/>
                  </w:tcBorders>
                  <w:vAlign w:val="center"/>
                </w:tcPr>
                <w:p w14:paraId="1FFE04C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387BC3D">
                  <w:pPr>
                    <w:pStyle w:val="149"/>
                    <w:rPr>
                      <w:rFonts w:eastAsia="Times New Roman"/>
                    </w:rPr>
                  </w:pPr>
                  <w:r>
                    <w:rPr>
                      <w:rFonts w:hint="eastAsia" w:eastAsia="Times New Roman"/>
                    </w:rPr>
                    <w:t>83.27</w:t>
                  </w:r>
                </w:p>
              </w:tc>
              <w:tc>
                <w:tcPr>
                  <w:tcW w:w="440" w:type="pct"/>
                  <w:tcBorders>
                    <w:top w:val="single" w:color="auto" w:sz="4" w:space="0"/>
                    <w:left w:val="single" w:color="auto" w:sz="4" w:space="0"/>
                    <w:bottom w:val="single" w:color="auto" w:sz="4" w:space="0"/>
                    <w:right w:val="single" w:color="auto" w:sz="4" w:space="0"/>
                  </w:tcBorders>
                  <w:vAlign w:val="center"/>
                </w:tcPr>
                <w:p w14:paraId="095F8DDA">
                  <w:pPr>
                    <w:pStyle w:val="149"/>
                    <w:rPr>
                      <w:rFonts w:eastAsia="Times New Roman"/>
                    </w:rPr>
                  </w:pPr>
                  <w:r>
                    <w:rPr>
                      <w:rFonts w:hint="eastAsia" w:eastAsia="Times New Roman"/>
                    </w:rPr>
                    <w:t>32.93</w:t>
                  </w:r>
                </w:p>
              </w:tc>
              <w:tc>
                <w:tcPr>
                  <w:tcW w:w="457" w:type="pct"/>
                  <w:tcBorders>
                    <w:top w:val="single" w:color="auto" w:sz="4" w:space="0"/>
                    <w:left w:val="single" w:color="auto" w:sz="4" w:space="0"/>
                    <w:bottom w:val="single" w:color="auto" w:sz="4" w:space="0"/>
                    <w:right w:val="single" w:color="auto" w:sz="4" w:space="0"/>
                  </w:tcBorders>
                  <w:vAlign w:val="center"/>
                </w:tcPr>
                <w:p w14:paraId="6566DDE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6B033B8">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82BC2D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FDB89E6">
                  <w:pPr>
                    <w:pStyle w:val="149"/>
                    <w:rPr>
                      <w:rFonts w:eastAsia="Times New Roman"/>
                    </w:rPr>
                  </w:pPr>
                  <w:r>
                    <w:rPr>
                      <w:rFonts w:hint="eastAsia" w:ascii="宋体" w:hAnsi="宋体" w:eastAsia="宋体" w:cs="宋体"/>
                    </w:rPr>
                    <w:t>夜间</w:t>
                  </w:r>
                </w:p>
              </w:tc>
            </w:tr>
            <w:tr w14:paraId="78BEB5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CCE425A">
                  <w:pPr>
                    <w:pStyle w:val="149"/>
                    <w:rPr>
                      <w:rFonts w:eastAsia="Times New Roman"/>
                    </w:rPr>
                  </w:pPr>
                  <w:r>
                    <w:rPr>
                      <w:rFonts w:eastAsia="Times New Roman"/>
                    </w:rPr>
                    <w:t>107</w:t>
                  </w:r>
                </w:p>
              </w:tc>
              <w:tc>
                <w:tcPr>
                  <w:tcW w:w="848" w:type="pct"/>
                  <w:tcBorders>
                    <w:top w:val="single" w:color="auto" w:sz="4" w:space="0"/>
                    <w:left w:val="single" w:color="auto" w:sz="4" w:space="0"/>
                    <w:bottom w:val="single" w:color="auto" w:sz="4" w:space="0"/>
                    <w:right w:val="single" w:color="auto" w:sz="4" w:space="0"/>
                  </w:tcBorders>
                  <w:vAlign w:val="center"/>
                </w:tcPr>
                <w:p w14:paraId="0E78B3B0">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D128FA9">
                  <w:pPr>
                    <w:pStyle w:val="149"/>
                    <w:rPr>
                      <w:rFonts w:eastAsia="Times New Roman"/>
                    </w:rPr>
                  </w:pPr>
                  <w:r>
                    <w:rPr>
                      <w:rFonts w:hint="eastAsia" w:eastAsia="Times New Roman"/>
                    </w:rPr>
                    <w:t>77.89</w:t>
                  </w:r>
                </w:p>
              </w:tc>
              <w:tc>
                <w:tcPr>
                  <w:tcW w:w="440" w:type="pct"/>
                  <w:tcBorders>
                    <w:top w:val="single" w:color="auto" w:sz="4" w:space="0"/>
                    <w:left w:val="single" w:color="auto" w:sz="4" w:space="0"/>
                    <w:bottom w:val="single" w:color="auto" w:sz="4" w:space="0"/>
                    <w:right w:val="single" w:color="auto" w:sz="4" w:space="0"/>
                  </w:tcBorders>
                  <w:vAlign w:val="center"/>
                </w:tcPr>
                <w:p w14:paraId="2CF84080">
                  <w:pPr>
                    <w:pStyle w:val="149"/>
                    <w:rPr>
                      <w:rFonts w:eastAsia="Times New Roman"/>
                    </w:rPr>
                  </w:pPr>
                  <w:r>
                    <w:rPr>
                      <w:rFonts w:hint="eastAsia" w:eastAsia="Times New Roman"/>
                    </w:rPr>
                    <w:t>33.66</w:t>
                  </w:r>
                </w:p>
              </w:tc>
              <w:tc>
                <w:tcPr>
                  <w:tcW w:w="457" w:type="pct"/>
                  <w:tcBorders>
                    <w:top w:val="single" w:color="auto" w:sz="4" w:space="0"/>
                    <w:left w:val="single" w:color="auto" w:sz="4" w:space="0"/>
                    <w:bottom w:val="single" w:color="auto" w:sz="4" w:space="0"/>
                    <w:right w:val="single" w:color="auto" w:sz="4" w:space="0"/>
                  </w:tcBorders>
                  <w:vAlign w:val="center"/>
                </w:tcPr>
                <w:p w14:paraId="04E7E9D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F51EC3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DF042F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7BEE0A4">
                  <w:pPr>
                    <w:pStyle w:val="149"/>
                    <w:rPr>
                      <w:rFonts w:eastAsia="Times New Roman"/>
                    </w:rPr>
                  </w:pPr>
                  <w:r>
                    <w:rPr>
                      <w:rFonts w:hint="eastAsia" w:ascii="宋体" w:hAnsi="宋体" w:eastAsia="宋体" w:cs="宋体"/>
                    </w:rPr>
                    <w:t>昼间</w:t>
                  </w:r>
                </w:p>
              </w:tc>
            </w:tr>
            <w:tr w14:paraId="02EC20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7F95748">
                  <w:pPr>
                    <w:pStyle w:val="149"/>
                    <w:rPr>
                      <w:rFonts w:eastAsia="Times New Roman"/>
                    </w:rPr>
                  </w:pPr>
                  <w:r>
                    <w:rPr>
                      <w:rFonts w:eastAsia="Times New Roman"/>
                    </w:rPr>
                    <w:t>108</w:t>
                  </w:r>
                </w:p>
              </w:tc>
              <w:tc>
                <w:tcPr>
                  <w:tcW w:w="848" w:type="pct"/>
                  <w:tcBorders>
                    <w:top w:val="single" w:color="auto" w:sz="4" w:space="0"/>
                    <w:left w:val="single" w:color="auto" w:sz="4" w:space="0"/>
                    <w:bottom w:val="single" w:color="auto" w:sz="4" w:space="0"/>
                    <w:right w:val="single" w:color="auto" w:sz="4" w:space="0"/>
                  </w:tcBorders>
                  <w:vAlign w:val="center"/>
                </w:tcPr>
                <w:p w14:paraId="085F6F8C">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FE222A7">
                  <w:pPr>
                    <w:pStyle w:val="149"/>
                    <w:rPr>
                      <w:rFonts w:eastAsia="Times New Roman"/>
                    </w:rPr>
                  </w:pPr>
                  <w:r>
                    <w:rPr>
                      <w:rFonts w:hint="eastAsia" w:eastAsia="Times New Roman"/>
                    </w:rPr>
                    <w:t>77.89</w:t>
                  </w:r>
                </w:p>
              </w:tc>
              <w:tc>
                <w:tcPr>
                  <w:tcW w:w="440" w:type="pct"/>
                  <w:tcBorders>
                    <w:top w:val="single" w:color="auto" w:sz="4" w:space="0"/>
                    <w:left w:val="single" w:color="auto" w:sz="4" w:space="0"/>
                    <w:bottom w:val="single" w:color="auto" w:sz="4" w:space="0"/>
                    <w:right w:val="single" w:color="auto" w:sz="4" w:space="0"/>
                  </w:tcBorders>
                  <w:vAlign w:val="center"/>
                </w:tcPr>
                <w:p w14:paraId="784648D5">
                  <w:pPr>
                    <w:pStyle w:val="149"/>
                    <w:rPr>
                      <w:rFonts w:eastAsia="Times New Roman"/>
                    </w:rPr>
                  </w:pPr>
                  <w:r>
                    <w:rPr>
                      <w:rFonts w:hint="eastAsia" w:eastAsia="Times New Roman"/>
                    </w:rPr>
                    <w:t>33.66</w:t>
                  </w:r>
                </w:p>
              </w:tc>
              <w:tc>
                <w:tcPr>
                  <w:tcW w:w="457" w:type="pct"/>
                  <w:tcBorders>
                    <w:top w:val="single" w:color="auto" w:sz="4" w:space="0"/>
                    <w:left w:val="single" w:color="auto" w:sz="4" w:space="0"/>
                    <w:bottom w:val="single" w:color="auto" w:sz="4" w:space="0"/>
                    <w:right w:val="single" w:color="auto" w:sz="4" w:space="0"/>
                  </w:tcBorders>
                  <w:vAlign w:val="center"/>
                </w:tcPr>
                <w:p w14:paraId="2BCD19B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CD3AAE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D96979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EC17782">
                  <w:pPr>
                    <w:pStyle w:val="149"/>
                    <w:rPr>
                      <w:rFonts w:eastAsia="Times New Roman"/>
                    </w:rPr>
                  </w:pPr>
                  <w:r>
                    <w:rPr>
                      <w:rFonts w:hint="eastAsia" w:ascii="宋体" w:hAnsi="宋体" w:eastAsia="宋体" w:cs="宋体"/>
                    </w:rPr>
                    <w:t>夜间</w:t>
                  </w:r>
                </w:p>
              </w:tc>
            </w:tr>
            <w:tr w14:paraId="43C7D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5E7F181">
                  <w:pPr>
                    <w:pStyle w:val="149"/>
                    <w:rPr>
                      <w:rFonts w:eastAsia="Times New Roman"/>
                    </w:rPr>
                  </w:pPr>
                  <w:r>
                    <w:rPr>
                      <w:rFonts w:eastAsia="Times New Roman"/>
                    </w:rPr>
                    <w:t>109</w:t>
                  </w:r>
                </w:p>
              </w:tc>
              <w:tc>
                <w:tcPr>
                  <w:tcW w:w="848" w:type="pct"/>
                  <w:tcBorders>
                    <w:top w:val="single" w:color="auto" w:sz="4" w:space="0"/>
                    <w:left w:val="single" w:color="auto" w:sz="4" w:space="0"/>
                    <w:bottom w:val="single" w:color="auto" w:sz="4" w:space="0"/>
                    <w:right w:val="single" w:color="auto" w:sz="4" w:space="0"/>
                  </w:tcBorders>
                  <w:vAlign w:val="center"/>
                </w:tcPr>
                <w:p w14:paraId="62F23A2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D3E54A9">
                  <w:pPr>
                    <w:pStyle w:val="149"/>
                    <w:rPr>
                      <w:rFonts w:eastAsia="Times New Roman"/>
                    </w:rPr>
                  </w:pPr>
                  <w:r>
                    <w:rPr>
                      <w:rFonts w:hint="eastAsia" w:eastAsia="Times New Roman"/>
                    </w:rPr>
                    <w:t>73.16</w:t>
                  </w:r>
                </w:p>
              </w:tc>
              <w:tc>
                <w:tcPr>
                  <w:tcW w:w="440" w:type="pct"/>
                  <w:tcBorders>
                    <w:top w:val="single" w:color="auto" w:sz="4" w:space="0"/>
                    <w:left w:val="single" w:color="auto" w:sz="4" w:space="0"/>
                    <w:bottom w:val="single" w:color="auto" w:sz="4" w:space="0"/>
                    <w:right w:val="single" w:color="auto" w:sz="4" w:space="0"/>
                  </w:tcBorders>
                  <w:vAlign w:val="center"/>
                </w:tcPr>
                <w:p w14:paraId="1327AAF0">
                  <w:pPr>
                    <w:pStyle w:val="149"/>
                    <w:rPr>
                      <w:rFonts w:eastAsia="Times New Roman"/>
                    </w:rPr>
                  </w:pPr>
                  <w:r>
                    <w:rPr>
                      <w:rFonts w:hint="eastAsia" w:eastAsia="Times New Roman"/>
                    </w:rPr>
                    <w:t>33.75</w:t>
                  </w:r>
                </w:p>
              </w:tc>
              <w:tc>
                <w:tcPr>
                  <w:tcW w:w="457" w:type="pct"/>
                  <w:tcBorders>
                    <w:top w:val="single" w:color="auto" w:sz="4" w:space="0"/>
                    <w:left w:val="single" w:color="auto" w:sz="4" w:space="0"/>
                    <w:bottom w:val="single" w:color="auto" w:sz="4" w:space="0"/>
                    <w:right w:val="single" w:color="auto" w:sz="4" w:space="0"/>
                  </w:tcBorders>
                  <w:vAlign w:val="center"/>
                </w:tcPr>
                <w:p w14:paraId="7B37BD3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461D5C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D46F1A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64F7720">
                  <w:pPr>
                    <w:pStyle w:val="149"/>
                    <w:rPr>
                      <w:rFonts w:eastAsia="Times New Roman"/>
                    </w:rPr>
                  </w:pPr>
                  <w:r>
                    <w:rPr>
                      <w:rFonts w:hint="eastAsia" w:ascii="宋体" w:hAnsi="宋体" w:eastAsia="宋体" w:cs="宋体"/>
                    </w:rPr>
                    <w:t>昼间</w:t>
                  </w:r>
                </w:p>
              </w:tc>
            </w:tr>
            <w:tr w14:paraId="3D5C26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D3C1D60">
                  <w:pPr>
                    <w:pStyle w:val="149"/>
                    <w:rPr>
                      <w:rFonts w:eastAsia="Times New Roman"/>
                    </w:rPr>
                  </w:pPr>
                  <w:r>
                    <w:rPr>
                      <w:rFonts w:eastAsia="Times New Roman"/>
                    </w:rPr>
                    <w:t>110</w:t>
                  </w:r>
                </w:p>
              </w:tc>
              <w:tc>
                <w:tcPr>
                  <w:tcW w:w="848" w:type="pct"/>
                  <w:tcBorders>
                    <w:top w:val="single" w:color="auto" w:sz="4" w:space="0"/>
                    <w:left w:val="single" w:color="auto" w:sz="4" w:space="0"/>
                    <w:bottom w:val="single" w:color="auto" w:sz="4" w:space="0"/>
                    <w:right w:val="single" w:color="auto" w:sz="4" w:space="0"/>
                  </w:tcBorders>
                  <w:vAlign w:val="center"/>
                </w:tcPr>
                <w:p w14:paraId="24BB2301">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F60E902">
                  <w:pPr>
                    <w:pStyle w:val="149"/>
                    <w:rPr>
                      <w:rFonts w:eastAsia="Times New Roman"/>
                    </w:rPr>
                  </w:pPr>
                  <w:r>
                    <w:rPr>
                      <w:rFonts w:hint="eastAsia" w:eastAsia="Times New Roman"/>
                    </w:rPr>
                    <w:t>73.16</w:t>
                  </w:r>
                </w:p>
              </w:tc>
              <w:tc>
                <w:tcPr>
                  <w:tcW w:w="440" w:type="pct"/>
                  <w:tcBorders>
                    <w:top w:val="single" w:color="auto" w:sz="4" w:space="0"/>
                    <w:left w:val="single" w:color="auto" w:sz="4" w:space="0"/>
                    <w:bottom w:val="single" w:color="auto" w:sz="4" w:space="0"/>
                    <w:right w:val="single" w:color="auto" w:sz="4" w:space="0"/>
                  </w:tcBorders>
                  <w:vAlign w:val="center"/>
                </w:tcPr>
                <w:p w14:paraId="7232507D">
                  <w:pPr>
                    <w:pStyle w:val="149"/>
                    <w:rPr>
                      <w:rFonts w:eastAsia="Times New Roman"/>
                    </w:rPr>
                  </w:pPr>
                  <w:r>
                    <w:rPr>
                      <w:rFonts w:hint="eastAsia" w:eastAsia="Times New Roman"/>
                    </w:rPr>
                    <w:t>33.75</w:t>
                  </w:r>
                </w:p>
              </w:tc>
              <w:tc>
                <w:tcPr>
                  <w:tcW w:w="457" w:type="pct"/>
                  <w:tcBorders>
                    <w:top w:val="single" w:color="auto" w:sz="4" w:space="0"/>
                    <w:left w:val="single" w:color="auto" w:sz="4" w:space="0"/>
                    <w:bottom w:val="single" w:color="auto" w:sz="4" w:space="0"/>
                    <w:right w:val="single" w:color="auto" w:sz="4" w:space="0"/>
                  </w:tcBorders>
                  <w:vAlign w:val="center"/>
                </w:tcPr>
                <w:p w14:paraId="0EDE1BBC">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8FBDFE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C313D2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B01198A">
                  <w:pPr>
                    <w:pStyle w:val="149"/>
                    <w:rPr>
                      <w:rFonts w:eastAsia="Times New Roman"/>
                    </w:rPr>
                  </w:pPr>
                  <w:r>
                    <w:rPr>
                      <w:rFonts w:hint="eastAsia" w:ascii="宋体" w:hAnsi="宋体" w:eastAsia="宋体" w:cs="宋体"/>
                    </w:rPr>
                    <w:t>夜间</w:t>
                  </w:r>
                </w:p>
              </w:tc>
            </w:tr>
            <w:tr w14:paraId="3C12AB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26599CC">
                  <w:pPr>
                    <w:pStyle w:val="149"/>
                    <w:rPr>
                      <w:rFonts w:eastAsia="Times New Roman"/>
                    </w:rPr>
                  </w:pPr>
                  <w:r>
                    <w:rPr>
                      <w:rFonts w:eastAsia="Times New Roman"/>
                    </w:rPr>
                    <w:t>111</w:t>
                  </w:r>
                </w:p>
              </w:tc>
              <w:tc>
                <w:tcPr>
                  <w:tcW w:w="848" w:type="pct"/>
                  <w:tcBorders>
                    <w:top w:val="single" w:color="auto" w:sz="4" w:space="0"/>
                    <w:left w:val="single" w:color="auto" w:sz="4" w:space="0"/>
                    <w:bottom w:val="single" w:color="auto" w:sz="4" w:space="0"/>
                    <w:right w:val="single" w:color="auto" w:sz="4" w:space="0"/>
                  </w:tcBorders>
                  <w:vAlign w:val="center"/>
                </w:tcPr>
                <w:p w14:paraId="6B019DAE">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C82F2A4">
                  <w:pPr>
                    <w:pStyle w:val="149"/>
                    <w:rPr>
                      <w:rFonts w:eastAsia="Times New Roman"/>
                    </w:rPr>
                  </w:pPr>
                  <w:r>
                    <w:rPr>
                      <w:rFonts w:hint="eastAsia" w:eastAsia="Times New Roman"/>
                    </w:rPr>
                    <w:t>67.67</w:t>
                  </w:r>
                </w:p>
              </w:tc>
              <w:tc>
                <w:tcPr>
                  <w:tcW w:w="440" w:type="pct"/>
                  <w:tcBorders>
                    <w:top w:val="single" w:color="auto" w:sz="4" w:space="0"/>
                    <w:left w:val="single" w:color="auto" w:sz="4" w:space="0"/>
                    <w:bottom w:val="single" w:color="auto" w:sz="4" w:space="0"/>
                    <w:right w:val="single" w:color="auto" w:sz="4" w:space="0"/>
                  </w:tcBorders>
                  <w:vAlign w:val="center"/>
                </w:tcPr>
                <w:p w14:paraId="10297395">
                  <w:pPr>
                    <w:pStyle w:val="149"/>
                    <w:rPr>
                      <w:rFonts w:eastAsia="Times New Roman"/>
                    </w:rPr>
                  </w:pPr>
                  <w:r>
                    <w:rPr>
                      <w:rFonts w:hint="eastAsia" w:eastAsia="Times New Roman"/>
                    </w:rPr>
                    <w:t>34.6</w:t>
                  </w:r>
                </w:p>
              </w:tc>
              <w:tc>
                <w:tcPr>
                  <w:tcW w:w="457" w:type="pct"/>
                  <w:tcBorders>
                    <w:top w:val="single" w:color="auto" w:sz="4" w:space="0"/>
                    <w:left w:val="single" w:color="auto" w:sz="4" w:space="0"/>
                    <w:bottom w:val="single" w:color="auto" w:sz="4" w:space="0"/>
                    <w:right w:val="single" w:color="auto" w:sz="4" w:space="0"/>
                  </w:tcBorders>
                  <w:vAlign w:val="center"/>
                </w:tcPr>
                <w:p w14:paraId="066F4F3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AC0527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0014C9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C1D4804">
                  <w:pPr>
                    <w:pStyle w:val="149"/>
                    <w:rPr>
                      <w:rFonts w:eastAsia="Times New Roman"/>
                    </w:rPr>
                  </w:pPr>
                  <w:r>
                    <w:rPr>
                      <w:rFonts w:hint="eastAsia" w:ascii="宋体" w:hAnsi="宋体" w:eastAsia="宋体" w:cs="宋体"/>
                    </w:rPr>
                    <w:t>昼间</w:t>
                  </w:r>
                </w:p>
              </w:tc>
            </w:tr>
            <w:tr w14:paraId="40F453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8CD393B">
                  <w:pPr>
                    <w:pStyle w:val="149"/>
                    <w:rPr>
                      <w:rFonts w:eastAsia="Times New Roman"/>
                    </w:rPr>
                  </w:pPr>
                  <w:r>
                    <w:rPr>
                      <w:rFonts w:eastAsia="Times New Roman"/>
                    </w:rPr>
                    <w:t>112</w:t>
                  </w:r>
                </w:p>
              </w:tc>
              <w:tc>
                <w:tcPr>
                  <w:tcW w:w="848" w:type="pct"/>
                  <w:tcBorders>
                    <w:top w:val="single" w:color="auto" w:sz="4" w:space="0"/>
                    <w:left w:val="single" w:color="auto" w:sz="4" w:space="0"/>
                    <w:bottom w:val="single" w:color="auto" w:sz="4" w:space="0"/>
                    <w:right w:val="single" w:color="auto" w:sz="4" w:space="0"/>
                  </w:tcBorders>
                  <w:vAlign w:val="center"/>
                </w:tcPr>
                <w:p w14:paraId="2226BCE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0589CE9">
                  <w:pPr>
                    <w:pStyle w:val="149"/>
                    <w:rPr>
                      <w:rFonts w:eastAsia="Times New Roman"/>
                    </w:rPr>
                  </w:pPr>
                  <w:r>
                    <w:rPr>
                      <w:rFonts w:hint="eastAsia" w:eastAsia="Times New Roman"/>
                    </w:rPr>
                    <w:t>67.67</w:t>
                  </w:r>
                </w:p>
              </w:tc>
              <w:tc>
                <w:tcPr>
                  <w:tcW w:w="440" w:type="pct"/>
                  <w:tcBorders>
                    <w:top w:val="single" w:color="auto" w:sz="4" w:space="0"/>
                    <w:left w:val="single" w:color="auto" w:sz="4" w:space="0"/>
                    <w:bottom w:val="single" w:color="auto" w:sz="4" w:space="0"/>
                    <w:right w:val="single" w:color="auto" w:sz="4" w:space="0"/>
                  </w:tcBorders>
                  <w:vAlign w:val="center"/>
                </w:tcPr>
                <w:p w14:paraId="37EC133D">
                  <w:pPr>
                    <w:pStyle w:val="149"/>
                    <w:rPr>
                      <w:rFonts w:eastAsia="Times New Roman"/>
                    </w:rPr>
                  </w:pPr>
                  <w:r>
                    <w:rPr>
                      <w:rFonts w:hint="eastAsia" w:eastAsia="Times New Roman"/>
                    </w:rPr>
                    <w:t>34.6</w:t>
                  </w:r>
                </w:p>
              </w:tc>
              <w:tc>
                <w:tcPr>
                  <w:tcW w:w="457" w:type="pct"/>
                  <w:tcBorders>
                    <w:top w:val="single" w:color="auto" w:sz="4" w:space="0"/>
                    <w:left w:val="single" w:color="auto" w:sz="4" w:space="0"/>
                    <w:bottom w:val="single" w:color="auto" w:sz="4" w:space="0"/>
                    <w:right w:val="single" w:color="auto" w:sz="4" w:space="0"/>
                  </w:tcBorders>
                  <w:vAlign w:val="center"/>
                </w:tcPr>
                <w:p w14:paraId="45E7FB6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3D4EBB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5AE255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E914DC0">
                  <w:pPr>
                    <w:pStyle w:val="149"/>
                    <w:rPr>
                      <w:rFonts w:eastAsia="Times New Roman"/>
                    </w:rPr>
                  </w:pPr>
                  <w:r>
                    <w:rPr>
                      <w:rFonts w:hint="eastAsia" w:ascii="宋体" w:hAnsi="宋体" w:eastAsia="宋体" w:cs="宋体"/>
                    </w:rPr>
                    <w:t>夜间</w:t>
                  </w:r>
                </w:p>
              </w:tc>
            </w:tr>
            <w:tr w14:paraId="681B73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0EC71DE">
                  <w:pPr>
                    <w:pStyle w:val="149"/>
                    <w:rPr>
                      <w:rFonts w:eastAsia="Times New Roman"/>
                    </w:rPr>
                  </w:pPr>
                  <w:r>
                    <w:rPr>
                      <w:rFonts w:eastAsia="Times New Roman"/>
                    </w:rPr>
                    <w:t>113</w:t>
                  </w:r>
                </w:p>
              </w:tc>
              <w:tc>
                <w:tcPr>
                  <w:tcW w:w="848" w:type="pct"/>
                  <w:tcBorders>
                    <w:top w:val="single" w:color="auto" w:sz="4" w:space="0"/>
                    <w:left w:val="single" w:color="auto" w:sz="4" w:space="0"/>
                    <w:bottom w:val="single" w:color="auto" w:sz="4" w:space="0"/>
                    <w:right w:val="single" w:color="auto" w:sz="4" w:space="0"/>
                  </w:tcBorders>
                  <w:vAlign w:val="center"/>
                </w:tcPr>
                <w:p w14:paraId="4040CB5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FF365A8">
                  <w:pPr>
                    <w:pStyle w:val="149"/>
                    <w:rPr>
                      <w:rFonts w:eastAsia="Times New Roman"/>
                    </w:rPr>
                  </w:pPr>
                  <w:r>
                    <w:rPr>
                      <w:rFonts w:hint="eastAsia" w:eastAsia="Times New Roman"/>
                    </w:rPr>
                    <w:t>62.78</w:t>
                  </w:r>
                </w:p>
              </w:tc>
              <w:tc>
                <w:tcPr>
                  <w:tcW w:w="440" w:type="pct"/>
                  <w:tcBorders>
                    <w:top w:val="single" w:color="auto" w:sz="4" w:space="0"/>
                    <w:left w:val="single" w:color="auto" w:sz="4" w:space="0"/>
                    <w:bottom w:val="single" w:color="auto" w:sz="4" w:space="0"/>
                    <w:right w:val="single" w:color="auto" w:sz="4" w:space="0"/>
                  </w:tcBorders>
                  <w:vAlign w:val="center"/>
                </w:tcPr>
                <w:p w14:paraId="7020C28A">
                  <w:pPr>
                    <w:pStyle w:val="149"/>
                    <w:rPr>
                      <w:rFonts w:eastAsia="Times New Roman"/>
                    </w:rPr>
                  </w:pPr>
                  <w:r>
                    <w:rPr>
                      <w:rFonts w:hint="eastAsia" w:eastAsia="Times New Roman"/>
                    </w:rPr>
                    <w:t>35.41</w:t>
                  </w:r>
                </w:p>
              </w:tc>
              <w:tc>
                <w:tcPr>
                  <w:tcW w:w="457" w:type="pct"/>
                  <w:tcBorders>
                    <w:top w:val="single" w:color="auto" w:sz="4" w:space="0"/>
                    <w:left w:val="single" w:color="auto" w:sz="4" w:space="0"/>
                    <w:bottom w:val="single" w:color="auto" w:sz="4" w:space="0"/>
                    <w:right w:val="single" w:color="auto" w:sz="4" w:space="0"/>
                  </w:tcBorders>
                  <w:vAlign w:val="center"/>
                </w:tcPr>
                <w:p w14:paraId="1C44010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17319A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EAACDA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CFFF261">
                  <w:pPr>
                    <w:pStyle w:val="149"/>
                    <w:rPr>
                      <w:rFonts w:eastAsia="Times New Roman"/>
                    </w:rPr>
                  </w:pPr>
                  <w:r>
                    <w:rPr>
                      <w:rFonts w:hint="eastAsia" w:ascii="宋体" w:hAnsi="宋体" w:eastAsia="宋体" w:cs="宋体"/>
                    </w:rPr>
                    <w:t>昼间</w:t>
                  </w:r>
                </w:p>
              </w:tc>
            </w:tr>
            <w:tr w14:paraId="2430BA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C4AC6CF">
                  <w:pPr>
                    <w:pStyle w:val="149"/>
                    <w:rPr>
                      <w:rFonts w:eastAsia="Times New Roman"/>
                    </w:rPr>
                  </w:pPr>
                  <w:r>
                    <w:rPr>
                      <w:rFonts w:eastAsia="Times New Roman"/>
                    </w:rPr>
                    <w:t>114</w:t>
                  </w:r>
                </w:p>
              </w:tc>
              <w:tc>
                <w:tcPr>
                  <w:tcW w:w="848" w:type="pct"/>
                  <w:tcBorders>
                    <w:top w:val="single" w:color="auto" w:sz="4" w:space="0"/>
                    <w:left w:val="single" w:color="auto" w:sz="4" w:space="0"/>
                    <w:bottom w:val="single" w:color="auto" w:sz="4" w:space="0"/>
                    <w:right w:val="single" w:color="auto" w:sz="4" w:space="0"/>
                  </w:tcBorders>
                  <w:vAlign w:val="center"/>
                </w:tcPr>
                <w:p w14:paraId="5A081FD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6001073">
                  <w:pPr>
                    <w:pStyle w:val="149"/>
                    <w:rPr>
                      <w:rFonts w:eastAsia="Times New Roman"/>
                    </w:rPr>
                  </w:pPr>
                  <w:r>
                    <w:rPr>
                      <w:rFonts w:hint="eastAsia" w:eastAsia="Times New Roman"/>
                    </w:rPr>
                    <w:t>62.78</w:t>
                  </w:r>
                </w:p>
              </w:tc>
              <w:tc>
                <w:tcPr>
                  <w:tcW w:w="440" w:type="pct"/>
                  <w:tcBorders>
                    <w:top w:val="single" w:color="auto" w:sz="4" w:space="0"/>
                    <w:left w:val="single" w:color="auto" w:sz="4" w:space="0"/>
                    <w:bottom w:val="single" w:color="auto" w:sz="4" w:space="0"/>
                    <w:right w:val="single" w:color="auto" w:sz="4" w:space="0"/>
                  </w:tcBorders>
                  <w:vAlign w:val="center"/>
                </w:tcPr>
                <w:p w14:paraId="48845106">
                  <w:pPr>
                    <w:pStyle w:val="149"/>
                    <w:rPr>
                      <w:rFonts w:eastAsia="Times New Roman"/>
                    </w:rPr>
                  </w:pPr>
                  <w:r>
                    <w:rPr>
                      <w:rFonts w:hint="eastAsia" w:eastAsia="Times New Roman"/>
                    </w:rPr>
                    <w:t>35.41</w:t>
                  </w:r>
                </w:p>
              </w:tc>
              <w:tc>
                <w:tcPr>
                  <w:tcW w:w="457" w:type="pct"/>
                  <w:tcBorders>
                    <w:top w:val="single" w:color="auto" w:sz="4" w:space="0"/>
                    <w:left w:val="single" w:color="auto" w:sz="4" w:space="0"/>
                    <w:bottom w:val="single" w:color="auto" w:sz="4" w:space="0"/>
                    <w:right w:val="single" w:color="auto" w:sz="4" w:space="0"/>
                  </w:tcBorders>
                  <w:vAlign w:val="center"/>
                </w:tcPr>
                <w:p w14:paraId="02FE90E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45D9E3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A139DB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4C188CB">
                  <w:pPr>
                    <w:pStyle w:val="149"/>
                    <w:rPr>
                      <w:rFonts w:eastAsia="Times New Roman"/>
                    </w:rPr>
                  </w:pPr>
                  <w:r>
                    <w:rPr>
                      <w:rFonts w:hint="eastAsia" w:ascii="宋体" w:hAnsi="宋体" w:eastAsia="宋体" w:cs="宋体"/>
                    </w:rPr>
                    <w:t>夜间</w:t>
                  </w:r>
                </w:p>
              </w:tc>
            </w:tr>
            <w:tr w14:paraId="24F656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F1B6778">
                  <w:pPr>
                    <w:pStyle w:val="149"/>
                    <w:rPr>
                      <w:rFonts w:eastAsia="Times New Roman"/>
                    </w:rPr>
                  </w:pPr>
                  <w:r>
                    <w:rPr>
                      <w:rFonts w:eastAsia="Times New Roman"/>
                    </w:rPr>
                    <w:t>115</w:t>
                  </w:r>
                </w:p>
              </w:tc>
              <w:tc>
                <w:tcPr>
                  <w:tcW w:w="848" w:type="pct"/>
                  <w:tcBorders>
                    <w:top w:val="single" w:color="auto" w:sz="4" w:space="0"/>
                    <w:left w:val="single" w:color="auto" w:sz="4" w:space="0"/>
                    <w:bottom w:val="single" w:color="auto" w:sz="4" w:space="0"/>
                    <w:right w:val="single" w:color="auto" w:sz="4" w:space="0"/>
                  </w:tcBorders>
                  <w:vAlign w:val="center"/>
                </w:tcPr>
                <w:p w14:paraId="6FB96018">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BBF0F7C">
                  <w:pPr>
                    <w:pStyle w:val="149"/>
                    <w:rPr>
                      <w:rFonts w:eastAsia="Times New Roman"/>
                    </w:rPr>
                  </w:pPr>
                  <w:r>
                    <w:rPr>
                      <w:rFonts w:hint="eastAsia" w:eastAsia="Times New Roman"/>
                    </w:rPr>
                    <w:t>91.16</w:t>
                  </w:r>
                </w:p>
              </w:tc>
              <w:tc>
                <w:tcPr>
                  <w:tcW w:w="440" w:type="pct"/>
                  <w:tcBorders>
                    <w:top w:val="single" w:color="auto" w:sz="4" w:space="0"/>
                    <w:left w:val="single" w:color="auto" w:sz="4" w:space="0"/>
                    <w:bottom w:val="single" w:color="auto" w:sz="4" w:space="0"/>
                    <w:right w:val="single" w:color="auto" w:sz="4" w:space="0"/>
                  </w:tcBorders>
                  <w:vAlign w:val="center"/>
                </w:tcPr>
                <w:p w14:paraId="5EB200F4">
                  <w:pPr>
                    <w:pStyle w:val="149"/>
                    <w:rPr>
                      <w:rFonts w:eastAsia="Times New Roman"/>
                    </w:rPr>
                  </w:pPr>
                  <w:r>
                    <w:rPr>
                      <w:rFonts w:hint="eastAsia" w:eastAsia="Times New Roman"/>
                    </w:rPr>
                    <w:t>36.02</w:t>
                  </w:r>
                </w:p>
              </w:tc>
              <w:tc>
                <w:tcPr>
                  <w:tcW w:w="457" w:type="pct"/>
                  <w:tcBorders>
                    <w:top w:val="single" w:color="auto" w:sz="4" w:space="0"/>
                    <w:left w:val="single" w:color="auto" w:sz="4" w:space="0"/>
                    <w:bottom w:val="single" w:color="auto" w:sz="4" w:space="0"/>
                    <w:right w:val="single" w:color="auto" w:sz="4" w:space="0"/>
                  </w:tcBorders>
                  <w:vAlign w:val="center"/>
                </w:tcPr>
                <w:p w14:paraId="26B2A1FD">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AF7CCB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6C40F5F">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DA72BE5">
                  <w:pPr>
                    <w:pStyle w:val="149"/>
                    <w:rPr>
                      <w:rFonts w:eastAsia="Times New Roman"/>
                    </w:rPr>
                  </w:pPr>
                  <w:r>
                    <w:rPr>
                      <w:rFonts w:hint="eastAsia" w:ascii="宋体" w:hAnsi="宋体" w:eastAsia="宋体" w:cs="宋体"/>
                    </w:rPr>
                    <w:t>昼间</w:t>
                  </w:r>
                </w:p>
              </w:tc>
            </w:tr>
            <w:tr w14:paraId="4365BE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9D5DD6B">
                  <w:pPr>
                    <w:pStyle w:val="149"/>
                    <w:rPr>
                      <w:rFonts w:eastAsia="Times New Roman"/>
                    </w:rPr>
                  </w:pPr>
                  <w:r>
                    <w:rPr>
                      <w:rFonts w:eastAsia="Times New Roman"/>
                    </w:rPr>
                    <w:t>116</w:t>
                  </w:r>
                </w:p>
              </w:tc>
              <w:tc>
                <w:tcPr>
                  <w:tcW w:w="848" w:type="pct"/>
                  <w:tcBorders>
                    <w:top w:val="single" w:color="auto" w:sz="4" w:space="0"/>
                    <w:left w:val="single" w:color="auto" w:sz="4" w:space="0"/>
                    <w:bottom w:val="single" w:color="auto" w:sz="4" w:space="0"/>
                    <w:right w:val="single" w:color="auto" w:sz="4" w:space="0"/>
                  </w:tcBorders>
                  <w:vAlign w:val="center"/>
                </w:tcPr>
                <w:p w14:paraId="463ED08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B75CF45">
                  <w:pPr>
                    <w:pStyle w:val="149"/>
                    <w:rPr>
                      <w:rFonts w:eastAsia="Times New Roman"/>
                    </w:rPr>
                  </w:pPr>
                  <w:r>
                    <w:rPr>
                      <w:rFonts w:hint="eastAsia" w:eastAsia="Times New Roman"/>
                    </w:rPr>
                    <w:t>91.16</w:t>
                  </w:r>
                </w:p>
              </w:tc>
              <w:tc>
                <w:tcPr>
                  <w:tcW w:w="440" w:type="pct"/>
                  <w:tcBorders>
                    <w:top w:val="single" w:color="auto" w:sz="4" w:space="0"/>
                    <w:left w:val="single" w:color="auto" w:sz="4" w:space="0"/>
                    <w:bottom w:val="single" w:color="auto" w:sz="4" w:space="0"/>
                    <w:right w:val="single" w:color="auto" w:sz="4" w:space="0"/>
                  </w:tcBorders>
                  <w:vAlign w:val="center"/>
                </w:tcPr>
                <w:p w14:paraId="018F9402">
                  <w:pPr>
                    <w:pStyle w:val="149"/>
                    <w:rPr>
                      <w:rFonts w:eastAsia="Times New Roman"/>
                    </w:rPr>
                  </w:pPr>
                  <w:r>
                    <w:rPr>
                      <w:rFonts w:hint="eastAsia" w:eastAsia="Times New Roman"/>
                    </w:rPr>
                    <w:t>36.02</w:t>
                  </w:r>
                </w:p>
              </w:tc>
              <w:tc>
                <w:tcPr>
                  <w:tcW w:w="457" w:type="pct"/>
                  <w:tcBorders>
                    <w:top w:val="single" w:color="auto" w:sz="4" w:space="0"/>
                    <w:left w:val="single" w:color="auto" w:sz="4" w:space="0"/>
                    <w:bottom w:val="single" w:color="auto" w:sz="4" w:space="0"/>
                    <w:right w:val="single" w:color="auto" w:sz="4" w:space="0"/>
                  </w:tcBorders>
                  <w:vAlign w:val="center"/>
                </w:tcPr>
                <w:p w14:paraId="0A349AB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1EE619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233253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0203254">
                  <w:pPr>
                    <w:pStyle w:val="149"/>
                    <w:rPr>
                      <w:rFonts w:eastAsia="Times New Roman"/>
                    </w:rPr>
                  </w:pPr>
                  <w:r>
                    <w:rPr>
                      <w:rFonts w:hint="eastAsia" w:ascii="宋体" w:hAnsi="宋体" w:eastAsia="宋体" w:cs="宋体"/>
                    </w:rPr>
                    <w:t>夜间</w:t>
                  </w:r>
                </w:p>
              </w:tc>
            </w:tr>
            <w:tr w14:paraId="5645DD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31827AE">
                  <w:pPr>
                    <w:pStyle w:val="149"/>
                    <w:rPr>
                      <w:rFonts w:eastAsia="Times New Roman"/>
                    </w:rPr>
                  </w:pPr>
                  <w:r>
                    <w:rPr>
                      <w:rFonts w:eastAsia="Times New Roman"/>
                    </w:rPr>
                    <w:t>117</w:t>
                  </w:r>
                </w:p>
              </w:tc>
              <w:tc>
                <w:tcPr>
                  <w:tcW w:w="848" w:type="pct"/>
                  <w:tcBorders>
                    <w:top w:val="single" w:color="auto" w:sz="4" w:space="0"/>
                    <w:left w:val="single" w:color="auto" w:sz="4" w:space="0"/>
                    <w:bottom w:val="single" w:color="auto" w:sz="4" w:space="0"/>
                    <w:right w:val="single" w:color="auto" w:sz="4" w:space="0"/>
                  </w:tcBorders>
                  <w:vAlign w:val="center"/>
                </w:tcPr>
                <w:p w14:paraId="2FC2FE2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605AE75">
                  <w:pPr>
                    <w:pStyle w:val="149"/>
                    <w:rPr>
                      <w:rFonts w:eastAsia="Times New Roman"/>
                    </w:rPr>
                  </w:pPr>
                  <w:r>
                    <w:rPr>
                      <w:rFonts w:hint="eastAsia" w:eastAsia="Times New Roman"/>
                    </w:rPr>
                    <w:t>92.23</w:t>
                  </w:r>
                </w:p>
              </w:tc>
              <w:tc>
                <w:tcPr>
                  <w:tcW w:w="440" w:type="pct"/>
                  <w:tcBorders>
                    <w:top w:val="single" w:color="auto" w:sz="4" w:space="0"/>
                    <w:left w:val="single" w:color="auto" w:sz="4" w:space="0"/>
                    <w:bottom w:val="single" w:color="auto" w:sz="4" w:space="0"/>
                    <w:right w:val="single" w:color="auto" w:sz="4" w:space="0"/>
                  </w:tcBorders>
                  <w:vAlign w:val="center"/>
                </w:tcPr>
                <w:p w14:paraId="0411F0D5">
                  <w:pPr>
                    <w:pStyle w:val="149"/>
                    <w:rPr>
                      <w:rFonts w:eastAsia="Times New Roman"/>
                    </w:rPr>
                  </w:pPr>
                  <w:r>
                    <w:rPr>
                      <w:rFonts w:hint="eastAsia" w:eastAsia="Times New Roman"/>
                    </w:rPr>
                    <w:t>45.81</w:t>
                  </w:r>
                </w:p>
              </w:tc>
              <w:tc>
                <w:tcPr>
                  <w:tcW w:w="457" w:type="pct"/>
                  <w:tcBorders>
                    <w:top w:val="single" w:color="auto" w:sz="4" w:space="0"/>
                    <w:left w:val="single" w:color="auto" w:sz="4" w:space="0"/>
                    <w:bottom w:val="single" w:color="auto" w:sz="4" w:space="0"/>
                    <w:right w:val="single" w:color="auto" w:sz="4" w:space="0"/>
                  </w:tcBorders>
                  <w:vAlign w:val="center"/>
                </w:tcPr>
                <w:p w14:paraId="1540F35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75FEF1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C3A74F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F1A959A">
                  <w:pPr>
                    <w:pStyle w:val="149"/>
                    <w:rPr>
                      <w:rFonts w:eastAsia="Times New Roman"/>
                    </w:rPr>
                  </w:pPr>
                  <w:r>
                    <w:rPr>
                      <w:rFonts w:hint="eastAsia" w:ascii="宋体" w:hAnsi="宋体" w:eastAsia="宋体" w:cs="宋体"/>
                    </w:rPr>
                    <w:t>昼间</w:t>
                  </w:r>
                </w:p>
              </w:tc>
            </w:tr>
            <w:tr w14:paraId="2775EA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DD7C319">
                  <w:pPr>
                    <w:pStyle w:val="149"/>
                    <w:rPr>
                      <w:rFonts w:eastAsia="Times New Roman"/>
                    </w:rPr>
                  </w:pPr>
                  <w:r>
                    <w:rPr>
                      <w:rFonts w:eastAsia="Times New Roman"/>
                    </w:rPr>
                    <w:t>118</w:t>
                  </w:r>
                </w:p>
              </w:tc>
              <w:tc>
                <w:tcPr>
                  <w:tcW w:w="848" w:type="pct"/>
                  <w:tcBorders>
                    <w:top w:val="single" w:color="auto" w:sz="4" w:space="0"/>
                    <w:left w:val="single" w:color="auto" w:sz="4" w:space="0"/>
                    <w:bottom w:val="single" w:color="auto" w:sz="4" w:space="0"/>
                    <w:right w:val="single" w:color="auto" w:sz="4" w:space="0"/>
                  </w:tcBorders>
                  <w:vAlign w:val="center"/>
                </w:tcPr>
                <w:p w14:paraId="3B6BAB8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316B089">
                  <w:pPr>
                    <w:pStyle w:val="149"/>
                    <w:rPr>
                      <w:rFonts w:eastAsia="Times New Roman"/>
                    </w:rPr>
                  </w:pPr>
                  <w:r>
                    <w:rPr>
                      <w:rFonts w:hint="eastAsia" w:eastAsia="Times New Roman"/>
                    </w:rPr>
                    <w:t>92.23</w:t>
                  </w:r>
                </w:p>
              </w:tc>
              <w:tc>
                <w:tcPr>
                  <w:tcW w:w="440" w:type="pct"/>
                  <w:tcBorders>
                    <w:top w:val="single" w:color="auto" w:sz="4" w:space="0"/>
                    <w:left w:val="single" w:color="auto" w:sz="4" w:space="0"/>
                    <w:bottom w:val="single" w:color="auto" w:sz="4" w:space="0"/>
                    <w:right w:val="single" w:color="auto" w:sz="4" w:space="0"/>
                  </w:tcBorders>
                  <w:vAlign w:val="center"/>
                </w:tcPr>
                <w:p w14:paraId="7B5246DA">
                  <w:pPr>
                    <w:pStyle w:val="149"/>
                    <w:rPr>
                      <w:rFonts w:eastAsia="Times New Roman"/>
                    </w:rPr>
                  </w:pPr>
                  <w:r>
                    <w:rPr>
                      <w:rFonts w:hint="eastAsia" w:eastAsia="Times New Roman"/>
                    </w:rPr>
                    <w:t>45.81</w:t>
                  </w:r>
                </w:p>
              </w:tc>
              <w:tc>
                <w:tcPr>
                  <w:tcW w:w="457" w:type="pct"/>
                  <w:tcBorders>
                    <w:top w:val="single" w:color="auto" w:sz="4" w:space="0"/>
                    <w:left w:val="single" w:color="auto" w:sz="4" w:space="0"/>
                    <w:bottom w:val="single" w:color="auto" w:sz="4" w:space="0"/>
                    <w:right w:val="single" w:color="auto" w:sz="4" w:space="0"/>
                  </w:tcBorders>
                  <w:vAlign w:val="center"/>
                </w:tcPr>
                <w:p w14:paraId="6CEB731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385E19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CBFC328">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55212E2">
                  <w:pPr>
                    <w:pStyle w:val="149"/>
                    <w:rPr>
                      <w:rFonts w:eastAsia="Times New Roman"/>
                    </w:rPr>
                  </w:pPr>
                  <w:r>
                    <w:rPr>
                      <w:rFonts w:hint="eastAsia" w:ascii="宋体" w:hAnsi="宋体" w:eastAsia="宋体" w:cs="宋体"/>
                    </w:rPr>
                    <w:t>夜间</w:t>
                  </w:r>
                </w:p>
              </w:tc>
            </w:tr>
            <w:tr w14:paraId="413965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F72F690">
                  <w:pPr>
                    <w:pStyle w:val="149"/>
                    <w:rPr>
                      <w:rFonts w:eastAsia="Times New Roman"/>
                    </w:rPr>
                  </w:pPr>
                  <w:r>
                    <w:rPr>
                      <w:rFonts w:eastAsia="Times New Roman"/>
                    </w:rPr>
                    <w:t>119</w:t>
                  </w:r>
                </w:p>
              </w:tc>
              <w:tc>
                <w:tcPr>
                  <w:tcW w:w="848" w:type="pct"/>
                  <w:tcBorders>
                    <w:top w:val="single" w:color="auto" w:sz="4" w:space="0"/>
                    <w:left w:val="single" w:color="auto" w:sz="4" w:space="0"/>
                    <w:bottom w:val="single" w:color="auto" w:sz="4" w:space="0"/>
                    <w:right w:val="single" w:color="auto" w:sz="4" w:space="0"/>
                  </w:tcBorders>
                  <w:vAlign w:val="center"/>
                </w:tcPr>
                <w:p w14:paraId="6E4BA44A">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EF217CC">
                  <w:pPr>
                    <w:pStyle w:val="149"/>
                    <w:rPr>
                      <w:rFonts w:eastAsia="Times New Roman"/>
                    </w:rPr>
                  </w:pPr>
                  <w:r>
                    <w:rPr>
                      <w:rFonts w:hint="eastAsia" w:eastAsia="Times New Roman"/>
                    </w:rPr>
                    <w:t>65.12</w:t>
                  </w:r>
                </w:p>
              </w:tc>
              <w:tc>
                <w:tcPr>
                  <w:tcW w:w="440" w:type="pct"/>
                  <w:tcBorders>
                    <w:top w:val="single" w:color="auto" w:sz="4" w:space="0"/>
                    <w:left w:val="single" w:color="auto" w:sz="4" w:space="0"/>
                    <w:bottom w:val="single" w:color="auto" w:sz="4" w:space="0"/>
                    <w:right w:val="single" w:color="auto" w:sz="4" w:space="0"/>
                  </w:tcBorders>
                  <w:vAlign w:val="center"/>
                </w:tcPr>
                <w:p w14:paraId="22764AE9">
                  <w:pPr>
                    <w:pStyle w:val="149"/>
                    <w:rPr>
                      <w:rFonts w:eastAsia="Times New Roman"/>
                    </w:rPr>
                  </w:pPr>
                  <w:r>
                    <w:rPr>
                      <w:rFonts w:hint="eastAsia" w:eastAsia="Times New Roman"/>
                    </w:rPr>
                    <w:t>53.52</w:t>
                  </w:r>
                </w:p>
              </w:tc>
              <w:tc>
                <w:tcPr>
                  <w:tcW w:w="457" w:type="pct"/>
                  <w:tcBorders>
                    <w:top w:val="single" w:color="auto" w:sz="4" w:space="0"/>
                    <w:left w:val="single" w:color="auto" w:sz="4" w:space="0"/>
                    <w:bottom w:val="single" w:color="auto" w:sz="4" w:space="0"/>
                    <w:right w:val="single" w:color="auto" w:sz="4" w:space="0"/>
                  </w:tcBorders>
                  <w:vAlign w:val="center"/>
                </w:tcPr>
                <w:p w14:paraId="4D94422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54BB67C">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B52992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E47F41D">
                  <w:pPr>
                    <w:pStyle w:val="149"/>
                    <w:rPr>
                      <w:rFonts w:eastAsia="Times New Roman"/>
                    </w:rPr>
                  </w:pPr>
                  <w:r>
                    <w:rPr>
                      <w:rFonts w:hint="eastAsia" w:ascii="宋体" w:hAnsi="宋体" w:eastAsia="宋体" w:cs="宋体"/>
                    </w:rPr>
                    <w:t>昼间</w:t>
                  </w:r>
                </w:p>
              </w:tc>
            </w:tr>
            <w:tr w14:paraId="5289E6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AB8A2D7">
                  <w:pPr>
                    <w:pStyle w:val="149"/>
                    <w:rPr>
                      <w:rFonts w:eastAsia="Times New Roman"/>
                    </w:rPr>
                  </w:pPr>
                  <w:r>
                    <w:rPr>
                      <w:rFonts w:eastAsia="Times New Roman"/>
                    </w:rPr>
                    <w:t>120</w:t>
                  </w:r>
                </w:p>
              </w:tc>
              <w:tc>
                <w:tcPr>
                  <w:tcW w:w="848" w:type="pct"/>
                  <w:tcBorders>
                    <w:top w:val="single" w:color="auto" w:sz="4" w:space="0"/>
                    <w:left w:val="single" w:color="auto" w:sz="4" w:space="0"/>
                    <w:bottom w:val="single" w:color="auto" w:sz="4" w:space="0"/>
                    <w:right w:val="single" w:color="auto" w:sz="4" w:space="0"/>
                  </w:tcBorders>
                  <w:vAlign w:val="center"/>
                </w:tcPr>
                <w:p w14:paraId="04A057E8">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02ED48D">
                  <w:pPr>
                    <w:pStyle w:val="149"/>
                    <w:rPr>
                      <w:rFonts w:eastAsia="Times New Roman"/>
                    </w:rPr>
                  </w:pPr>
                  <w:r>
                    <w:rPr>
                      <w:rFonts w:hint="eastAsia" w:eastAsia="Times New Roman"/>
                    </w:rPr>
                    <w:t>65.12</w:t>
                  </w:r>
                </w:p>
              </w:tc>
              <w:tc>
                <w:tcPr>
                  <w:tcW w:w="440" w:type="pct"/>
                  <w:tcBorders>
                    <w:top w:val="single" w:color="auto" w:sz="4" w:space="0"/>
                    <w:left w:val="single" w:color="auto" w:sz="4" w:space="0"/>
                    <w:bottom w:val="single" w:color="auto" w:sz="4" w:space="0"/>
                    <w:right w:val="single" w:color="auto" w:sz="4" w:space="0"/>
                  </w:tcBorders>
                  <w:vAlign w:val="center"/>
                </w:tcPr>
                <w:p w14:paraId="3164968E">
                  <w:pPr>
                    <w:pStyle w:val="149"/>
                    <w:rPr>
                      <w:rFonts w:eastAsia="Times New Roman"/>
                    </w:rPr>
                  </w:pPr>
                  <w:r>
                    <w:rPr>
                      <w:rFonts w:hint="eastAsia" w:eastAsia="Times New Roman"/>
                    </w:rPr>
                    <w:t>53.52</w:t>
                  </w:r>
                </w:p>
              </w:tc>
              <w:tc>
                <w:tcPr>
                  <w:tcW w:w="457" w:type="pct"/>
                  <w:tcBorders>
                    <w:top w:val="single" w:color="auto" w:sz="4" w:space="0"/>
                    <w:left w:val="single" w:color="auto" w:sz="4" w:space="0"/>
                    <w:bottom w:val="single" w:color="auto" w:sz="4" w:space="0"/>
                    <w:right w:val="single" w:color="auto" w:sz="4" w:space="0"/>
                  </w:tcBorders>
                  <w:vAlign w:val="center"/>
                </w:tcPr>
                <w:p w14:paraId="4C7AB96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087CC7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588ECB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D2B80D1">
                  <w:pPr>
                    <w:pStyle w:val="149"/>
                    <w:rPr>
                      <w:rFonts w:eastAsia="Times New Roman"/>
                    </w:rPr>
                  </w:pPr>
                  <w:r>
                    <w:rPr>
                      <w:rFonts w:hint="eastAsia" w:ascii="宋体" w:hAnsi="宋体" w:eastAsia="宋体" w:cs="宋体"/>
                    </w:rPr>
                    <w:t>夜间</w:t>
                  </w:r>
                </w:p>
              </w:tc>
            </w:tr>
            <w:tr w14:paraId="7C3E50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67637B8">
                  <w:pPr>
                    <w:pStyle w:val="149"/>
                    <w:rPr>
                      <w:rFonts w:eastAsia="Times New Roman"/>
                    </w:rPr>
                  </w:pPr>
                  <w:r>
                    <w:rPr>
                      <w:rFonts w:eastAsia="Times New Roman"/>
                    </w:rPr>
                    <w:t>121</w:t>
                  </w:r>
                </w:p>
              </w:tc>
              <w:tc>
                <w:tcPr>
                  <w:tcW w:w="848" w:type="pct"/>
                  <w:tcBorders>
                    <w:top w:val="single" w:color="auto" w:sz="4" w:space="0"/>
                    <w:left w:val="single" w:color="auto" w:sz="4" w:space="0"/>
                    <w:bottom w:val="single" w:color="auto" w:sz="4" w:space="0"/>
                    <w:right w:val="single" w:color="auto" w:sz="4" w:space="0"/>
                  </w:tcBorders>
                  <w:vAlign w:val="center"/>
                </w:tcPr>
                <w:p w14:paraId="60176810">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AF2A5BA">
                  <w:pPr>
                    <w:pStyle w:val="149"/>
                    <w:rPr>
                      <w:rFonts w:eastAsia="Times New Roman"/>
                    </w:rPr>
                  </w:pPr>
                  <w:r>
                    <w:rPr>
                      <w:rFonts w:hint="eastAsia" w:eastAsia="Times New Roman"/>
                    </w:rPr>
                    <w:t>70.01</w:t>
                  </w:r>
                </w:p>
              </w:tc>
              <w:tc>
                <w:tcPr>
                  <w:tcW w:w="440" w:type="pct"/>
                  <w:tcBorders>
                    <w:top w:val="single" w:color="auto" w:sz="4" w:space="0"/>
                    <w:left w:val="single" w:color="auto" w:sz="4" w:space="0"/>
                    <w:bottom w:val="single" w:color="auto" w:sz="4" w:space="0"/>
                    <w:right w:val="single" w:color="auto" w:sz="4" w:space="0"/>
                  </w:tcBorders>
                  <w:vAlign w:val="center"/>
                </w:tcPr>
                <w:p w14:paraId="7F1150D6">
                  <w:pPr>
                    <w:pStyle w:val="149"/>
                    <w:rPr>
                      <w:rFonts w:eastAsia="Times New Roman"/>
                    </w:rPr>
                  </w:pPr>
                  <w:r>
                    <w:rPr>
                      <w:rFonts w:hint="eastAsia" w:eastAsia="Times New Roman"/>
                    </w:rPr>
                    <w:t>53.09</w:t>
                  </w:r>
                </w:p>
              </w:tc>
              <w:tc>
                <w:tcPr>
                  <w:tcW w:w="457" w:type="pct"/>
                  <w:tcBorders>
                    <w:top w:val="single" w:color="auto" w:sz="4" w:space="0"/>
                    <w:left w:val="single" w:color="auto" w:sz="4" w:space="0"/>
                    <w:bottom w:val="single" w:color="auto" w:sz="4" w:space="0"/>
                    <w:right w:val="single" w:color="auto" w:sz="4" w:space="0"/>
                  </w:tcBorders>
                  <w:vAlign w:val="center"/>
                </w:tcPr>
                <w:p w14:paraId="6B244E3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93866EC">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4FB7BB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9C25228">
                  <w:pPr>
                    <w:pStyle w:val="149"/>
                    <w:rPr>
                      <w:rFonts w:eastAsia="Times New Roman"/>
                    </w:rPr>
                  </w:pPr>
                  <w:r>
                    <w:rPr>
                      <w:rFonts w:hint="eastAsia" w:ascii="宋体" w:hAnsi="宋体" w:eastAsia="宋体" w:cs="宋体"/>
                    </w:rPr>
                    <w:t>昼间</w:t>
                  </w:r>
                </w:p>
              </w:tc>
            </w:tr>
            <w:tr w14:paraId="7FB7D9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74C37D5">
                  <w:pPr>
                    <w:pStyle w:val="149"/>
                    <w:rPr>
                      <w:rFonts w:eastAsia="Times New Roman"/>
                    </w:rPr>
                  </w:pPr>
                  <w:r>
                    <w:rPr>
                      <w:rFonts w:eastAsia="Times New Roman"/>
                    </w:rPr>
                    <w:t>122</w:t>
                  </w:r>
                </w:p>
              </w:tc>
              <w:tc>
                <w:tcPr>
                  <w:tcW w:w="848" w:type="pct"/>
                  <w:tcBorders>
                    <w:top w:val="single" w:color="auto" w:sz="4" w:space="0"/>
                    <w:left w:val="single" w:color="auto" w:sz="4" w:space="0"/>
                    <w:bottom w:val="single" w:color="auto" w:sz="4" w:space="0"/>
                    <w:right w:val="single" w:color="auto" w:sz="4" w:space="0"/>
                  </w:tcBorders>
                  <w:vAlign w:val="center"/>
                </w:tcPr>
                <w:p w14:paraId="67751FA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A5BD618">
                  <w:pPr>
                    <w:pStyle w:val="149"/>
                    <w:rPr>
                      <w:rFonts w:eastAsia="Times New Roman"/>
                    </w:rPr>
                  </w:pPr>
                  <w:r>
                    <w:rPr>
                      <w:rFonts w:hint="eastAsia" w:eastAsia="Times New Roman"/>
                    </w:rPr>
                    <w:t>70.01</w:t>
                  </w:r>
                </w:p>
              </w:tc>
              <w:tc>
                <w:tcPr>
                  <w:tcW w:w="440" w:type="pct"/>
                  <w:tcBorders>
                    <w:top w:val="single" w:color="auto" w:sz="4" w:space="0"/>
                    <w:left w:val="single" w:color="auto" w:sz="4" w:space="0"/>
                    <w:bottom w:val="single" w:color="auto" w:sz="4" w:space="0"/>
                    <w:right w:val="single" w:color="auto" w:sz="4" w:space="0"/>
                  </w:tcBorders>
                  <w:vAlign w:val="center"/>
                </w:tcPr>
                <w:p w14:paraId="349DA883">
                  <w:pPr>
                    <w:pStyle w:val="149"/>
                    <w:rPr>
                      <w:rFonts w:eastAsia="Times New Roman"/>
                    </w:rPr>
                  </w:pPr>
                  <w:r>
                    <w:rPr>
                      <w:rFonts w:hint="eastAsia" w:eastAsia="Times New Roman"/>
                    </w:rPr>
                    <w:t>53.09</w:t>
                  </w:r>
                </w:p>
              </w:tc>
              <w:tc>
                <w:tcPr>
                  <w:tcW w:w="457" w:type="pct"/>
                  <w:tcBorders>
                    <w:top w:val="single" w:color="auto" w:sz="4" w:space="0"/>
                    <w:left w:val="single" w:color="auto" w:sz="4" w:space="0"/>
                    <w:bottom w:val="single" w:color="auto" w:sz="4" w:space="0"/>
                    <w:right w:val="single" w:color="auto" w:sz="4" w:space="0"/>
                  </w:tcBorders>
                  <w:vAlign w:val="center"/>
                </w:tcPr>
                <w:p w14:paraId="28E19AB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4F1484D">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8A3D5A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5B56DF1">
                  <w:pPr>
                    <w:pStyle w:val="149"/>
                    <w:rPr>
                      <w:rFonts w:eastAsia="Times New Roman"/>
                    </w:rPr>
                  </w:pPr>
                  <w:r>
                    <w:rPr>
                      <w:rFonts w:hint="eastAsia" w:ascii="宋体" w:hAnsi="宋体" w:eastAsia="宋体" w:cs="宋体"/>
                    </w:rPr>
                    <w:t>夜间</w:t>
                  </w:r>
                </w:p>
              </w:tc>
            </w:tr>
            <w:tr w14:paraId="18670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BC71745">
                  <w:pPr>
                    <w:pStyle w:val="149"/>
                    <w:rPr>
                      <w:rFonts w:eastAsia="Times New Roman"/>
                    </w:rPr>
                  </w:pPr>
                  <w:r>
                    <w:rPr>
                      <w:rFonts w:eastAsia="Times New Roman"/>
                    </w:rPr>
                    <w:t>123</w:t>
                  </w:r>
                </w:p>
              </w:tc>
              <w:tc>
                <w:tcPr>
                  <w:tcW w:w="848" w:type="pct"/>
                  <w:tcBorders>
                    <w:top w:val="single" w:color="auto" w:sz="4" w:space="0"/>
                    <w:left w:val="single" w:color="auto" w:sz="4" w:space="0"/>
                    <w:bottom w:val="single" w:color="auto" w:sz="4" w:space="0"/>
                    <w:right w:val="single" w:color="auto" w:sz="4" w:space="0"/>
                  </w:tcBorders>
                  <w:vAlign w:val="center"/>
                </w:tcPr>
                <w:p w14:paraId="3013EE1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C78CF21">
                  <w:pPr>
                    <w:pStyle w:val="149"/>
                    <w:rPr>
                      <w:rFonts w:eastAsia="Times New Roman"/>
                    </w:rPr>
                  </w:pPr>
                  <w:r>
                    <w:rPr>
                      <w:rFonts w:hint="eastAsia" w:eastAsia="Times New Roman"/>
                    </w:rPr>
                    <w:t>80.23</w:t>
                  </w:r>
                </w:p>
              </w:tc>
              <w:tc>
                <w:tcPr>
                  <w:tcW w:w="440" w:type="pct"/>
                  <w:tcBorders>
                    <w:top w:val="single" w:color="auto" w:sz="4" w:space="0"/>
                    <w:left w:val="single" w:color="auto" w:sz="4" w:space="0"/>
                    <w:bottom w:val="single" w:color="auto" w:sz="4" w:space="0"/>
                    <w:right w:val="single" w:color="auto" w:sz="4" w:space="0"/>
                  </w:tcBorders>
                  <w:vAlign w:val="center"/>
                </w:tcPr>
                <w:p w14:paraId="0F6916E5">
                  <w:pPr>
                    <w:pStyle w:val="149"/>
                    <w:rPr>
                      <w:rFonts w:eastAsia="Times New Roman"/>
                    </w:rPr>
                  </w:pPr>
                  <w:r>
                    <w:rPr>
                      <w:rFonts w:hint="eastAsia" w:eastAsia="Times New Roman"/>
                    </w:rPr>
                    <w:t>52.15</w:t>
                  </w:r>
                </w:p>
              </w:tc>
              <w:tc>
                <w:tcPr>
                  <w:tcW w:w="457" w:type="pct"/>
                  <w:tcBorders>
                    <w:top w:val="single" w:color="auto" w:sz="4" w:space="0"/>
                    <w:left w:val="single" w:color="auto" w:sz="4" w:space="0"/>
                    <w:bottom w:val="single" w:color="auto" w:sz="4" w:space="0"/>
                    <w:right w:val="single" w:color="auto" w:sz="4" w:space="0"/>
                  </w:tcBorders>
                  <w:vAlign w:val="center"/>
                </w:tcPr>
                <w:p w14:paraId="79B03FE3">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377B52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E8E2F6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5934504">
                  <w:pPr>
                    <w:pStyle w:val="149"/>
                    <w:rPr>
                      <w:rFonts w:eastAsia="Times New Roman"/>
                    </w:rPr>
                  </w:pPr>
                  <w:r>
                    <w:rPr>
                      <w:rFonts w:hint="eastAsia" w:ascii="宋体" w:hAnsi="宋体" w:eastAsia="宋体" w:cs="宋体"/>
                    </w:rPr>
                    <w:t>昼间</w:t>
                  </w:r>
                </w:p>
              </w:tc>
            </w:tr>
            <w:tr w14:paraId="58172D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0957AD6">
                  <w:pPr>
                    <w:pStyle w:val="149"/>
                    <w:rPr>
                      <w:rFonts w:eastAsia="Times New Roman"/>
                    </w:rPr>
                  </w:pPr>
                  <w:r>
                    <w:rPr>
                      <w:rFonts w:eastAsia="Times New Roman"/>
                    </w:rPr>
                    <w:t>124</w:t>
                  </w:r>
                </w:p>
              </w:tc>
              <w:tc>
                <w:tcPr>
                  <w:tcW w:w="848" w:type="pct"/>
                  <w:tcBorders>
                    <w:top w:val="single" w:color="auto" w:sz="4" w:space="0"/>
                    <w:left w:val="single" w:color="auto" w:sz="4" w:space="0"/>
                    <w:bottom w:val="single" w:color="auto" w:sz="4" w:space="0"/>
                    <w:right w:val="single" w:color="auto" w:sz="4" w:space="0"/>
                  </w:tcBorders>
                  <w:vAlign w:val="center"/>
                </w:tcPr>
                <w:p w14:paraId="312C5A14">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A2B0069">
                  <w:pPr>
                    <w:pStyle w:val="149"/>
                    <w:rPr>
                      <w:rFonts w:eastAsia="Times New Roman"/>
                    </w:rPr>
                  </w:pPr>
                  <w:r>
                    <w:rPr>
                      <w:rFonts w:hint="eastAsia" w:eastAsia="Times New Roman"/>
                    </w:rPr>
                    <w:t>80.23</w:t>
                  </w:r>
                </w:p>
              </w:tc>
              <w:tc>
                <w:tcPr>
                  <w:tcW w:w="440" w:type="pct"/>
                  <w:tcBorders>
                    <w:top w:val="single" w:color="auto" w:sz="4" w:space="0"/>
                    <w:left w:val="single" w:color="auto" w:sz="4" w:space="0"/>
                    <w:bottom w:val="single" w:color="auto" w:sz="4" w:space="0"/>
                    <w:right w:val="single" w:color="auto" w:sz="4" w:space="0"/>
                  </w:tcBorders>
                  <w:vAlign w:val="center"/>
                </w:tcPr>
                <w:p w14:paraId="041DE6D9">
                  <w:pPr>
                    <w:pStyle w:val="149"/>
                    <w:rPr>
                      <w:rFonts w:eastAsia="Times New Roman"/>
                    </w:rPr>
                  </w:pPr>
                  <w:r>
                    <w:rPr>
                      <w:rFonts w:hint="eastAsia" w:eastAsia="Times New Roman"/>
                    </w:rPr>
                    <w:t>52.15</w:t>
                  </w:r>
                </w:p>
              </w:tc>
              <w:tc>
                <w:tcPr>
                  <w:tcW w:w="457" w:type="pct"/>
                  <w:tcBorders>
                    <w:top w:val="single" w:color="auto" w:sz="4" w:space="0"/>
                    <w:left w:val="single" w:color="auto" w:sz="4" w:space="0"/>
                    <w:bottom w:val="single" w:color="auto" w:sz="4" w:space="0"/>
                    <w:right w:val="single" w:color="auto" w:sz="4" w:space="0"/>
                  </w:tcBorders>
                  <w:vAlign w:val="center"/>
                </w:tcPr>
                <w:p w14:paraId="7E73E76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58E4B69">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4F935B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0618A0D">
                  <w:pPr>
                    <w:pStyle w:val="149"/>
                    <w:rPr>
                      <w:rFonts w:eastAsia="Times New Roman"/>
                    </w:rPr>
                  </w:pPr>
                  <w:r>
                    <w:rPr>
                      <w:rFonts w:hint="eastAsia" w:ascii="宋体" w:hAnsi="宋体" w:eastAsia="宋体" w:cs="宋体"/>
                    </w:rPr>
                    <w:t>夜间</w:t>
                  </w:r>
                </w:p>
              </w:tc>
            </w:tr>
            <w:tr w14:paraId="315594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40CA39A">
                  <w:pPr>
                    <w:pStyle w:val="149"/>
                    <w:rPr>
                      <w:rFonts w:eastAsia="Times New Roman"/>
                    </w:rPr>
                  </w:pPr>
                  <w:r>
                    <w:rPr>
                      <w:rFonts w:eastAsia="Times New Roman"/>
                    </w:rPr>
                    <w:t>125</w:t>
                  </w:r>
                </w:p>
              </w:tc>
              <w:tc>
                <w:tcPr>
                  <w:tcW w:w="848" w:type="pct"/>
                  <w:tcBorders>
                    <w:top w:val="single" w:color="auto" w:sz="4" w:space="0"/>
                    <w:left w:val="single" w:color="auto" w:sz="4" w:space="0"/>
                    <w:bottom w:val="single" w:color="auto" w:sz="4" w:space="0"/>
                    <w:right w:val="single" w:color="auto" w:sz="4" w:space="0"/>
                  </w:tcBorders>
                  <w:vAlign w:val="center"/>
                </w:tcPr>
                <w:p w14:paraId="679899D4">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C9AAE77">
                  <w:pPr>
                    <w:pStyle w:val="149"/>
                    <w:rPr>
                      <w:rFonts w:eastAsia="Times New Roman"/>
                    </w:rPr>
                  </w:pPr>
                  <w:r>
                    <w:rPr>
                      <w:rFonts w:hint="eastAsia" w:eastAsia="Times New Roman"/>
                    </w:rPr>
                    <w:t>85.61</w:t>
                  </w:r>
                </w:p>
              </w:tc>
              <w:tc>
                <w:tcPr>
                  <w:tcW w:w="440" w:type="pct"/>
                  <w:tcBorders>
                    <w:top w:val="single" w:color="auto" w:sz="4" w:space="0"/>
                    <w:left w:val="single" w:color="auto" w:sz="4" w:space="0"/>
                    <w:bottom w:val="single" w:color="auto" w:sz="4" w:space="0"/>
                    <w:right w:val="single" w:color="auto" w:sz="4" w:space="0"/>
                  </w:tcBorders>
                  <w:vAlign w:val="center"/>
                </w:tcPr>
                <w:p w14:paraId="5A3276F8">
                  <w:pPr>
                    <w:pStyle w:val="149"/>
                    <w:rPr>
                      <w:rFonts w:eastAsia="Times New Roman"/>
                    </w:rPr>
                  </w:pPr>
                  <w:r>
                    <w:rPr>
                      <w:rFonts w:hint="eastAsia" w:eastAsia="Times New Roman"/>
                    </w:rPr>
                    <w:t>51.42</w:t>
                  </w:r>
                </w:p>
              </w:tc>
              <w:tc>
                <w:tcPr>
                  <w:tcW w:w="457" w:type="pct"/>
                  <w:tcBorders>
                    <w:top w:val="single" w:color="auto" w:sz="4" w:space="0"/>
                    <w:left w:val="single" w:color="auto" w:sz="4" w:space="0"/>
                    <w:bottom w:val="single" w:color="auto" w:sz="4" w:space="0"/>
                    <w:right w:val="single" w:color="auto" w:sz="4" w:space="0"/>
                  </w:tcBorders>
                  <w:vAlign w:val="center"/>
                </w:tcPr>
                <w:p w14:paraId="28A41E5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FD4CD2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05AE2F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51B3C69">
                  <w:pPr>
                    <w:pStyle w:val="149"/>
                    <w:rPr>
                      <w:rFonts w:eastAsia="Times New Roman"/>
                    </w:rPr>
                  </w:pPr>
                  <w:r>
                    <w:rPr>
                      <w:rFonts w:hint="eastAsia" w:ascii="宋体" w:hAnsi="宋体" w:eastAsia="宋体" w:cs="宋体"/>
                    </w:rPr>
                    <w:t>昼间</w:t>
                  </w:r>
                </w:p>
              </w:tc>
            </w:tr>
            <w:tr w14:paraId="1C2231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FF73597">
                  <w:pPr>
                    <w:pStyle w:val="149"/>
                    <w:rPr>
                      <w:rFonts w:eastAsia="Times New Roman"/>
                    </w:rPr>
                  </w:pPr>
                  <w:r>
                    <w:rPr>
                      <w:rFonts w:eastAsia="Times New Roman"/>
                    </w:rPr>
                    <w:t>126</w:t>
                  </w:r>
                </w:p>
              </w:tc>
              <w:tc>
                <w:tcPr>
                  <w:tcW w:w="848" w:type="pct"/>
                  <w:tcBorders>
                    <w:top w:val="single" w:color="auto" w:sz="4" w:space="0"/>
                    <w:left w:val="single" w:color="auto" w:sz="4" w:space="0"/>
                    <w:bottom w:val="single" w:color="auto" w:sz="4" w:space="0"/>
                    <w:right w:val="single" w:color="auto" w:sz="4" w:space="0"/>
                  </w:tcBorders>
                  <w:vAlign w:val="center"/>
                </w:tcPr>
                <w:p w14:paraId="45667B2A">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3AE6EB5">
                  <w:pPr>
                    <w:pStyle w:val="149"/>
                    <w:rPr>
                      <w:rFonts w:eastAsia="Times New Roman"/>
                    </w:rPr>
                  </w:pPr>
                  <w:r>
                    <w:rPr>
                      <w:rFonts w:hint="eastAsia" w:eastAsia="Times New Roman"/>
                    </w:rPr>
                    <w:t>85.61</w:t>
                  </w:r>
                </w:p>
              </w:tc>
              <w:tc>
                <w:tcPr>
                  <w:tcW w:w="440" w:type="pct"/>
                  <w:tcBorders>
                    <w:top w:val="single" w:color="auto" w:sz="4" w:space="0"/>
                    <w:left w:val="single" w:color="auto" w:sz="4" w:space="0"/>
                    <w:bottom w:val="single" w:color="auto" w:sz="4" w:space="0"/>
                    <w:right w:val="single" w:color="auto" w:sz="4" w:space="0"/>
                  </w:tcBorders>
                  <w:vAlign w:val="center"/>
                </w:tcPr>
                <w:p w14:paraId="33E84A3E">
                  <w:pPr>
                    <w:pStyle w:val="149"/>
                    <w:rPr>
                      <w:rFonts w:eastAsia="Times New Roman"/>
                    </w:rPr>
                  </w:pPr>
                  <w:r>
                    <w:rPr>
                      <w:rFonts w:hint="eastAsia" w:eastAsia="Times New Roman"/>
                    </w:rPr>
                    <w:t>51.42</w:t>
                  </w:r>
                </w:p>
              </w:tc>
              <w:tc>
                <w:tcPr>
                  <w:tcW w:w="457" w:type="pct"/>
                  <w:tcBorders>
                    <w:top w:val="single" w:color="auto" w:sz="4" w:space="0"/>
                    <w:left w:val="single" w:color="auto" w:sz="4" w:space="0"/>
                    <w:bottom w:val="single" w:color="auto" w:sz="4" w:space="0"/>
                    <w:right w:val="single" w:color="auto" w:sz="4" w:space="0"/>
                  </w:tcBorders>
                  <w:vAlign w:val="center"/>
                </w:tcPr>
                <w:p w14:paraId="69C58B9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3F61D9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782D73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3BAD57B">
                  <w:pPr>
                    <w:pStyle w:val="149"/>
                    <w:rPr>
                      <w:rFonts w:eastAsia="Times New Roman"/>
                    </w:rPr>
                  </w:pPr>
                  <w:r>
                    <w:rPr>
                      <w:rFonts w:hint="eastAsia" w:ascii="宋体" w:hAnsi="宋体" w:eastAsia="宋体" w:cs="宋体"/>
                    </w:rPr>
                    <w:t>夜间</w:t>
                  </w:r>
                </w:p>
              </w:tc>
            </w:tr>
            <w:tr w14:paraId="54A968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F9B1287">
                  <w:pPr>
                    <w:pStyle w:val="149"/>
                    <w:rPr>
                      <w:rFonts w:eastAsia="Times New Roman"/>
                    </w:rPr>
                  </w:pPr>
                  <w:r>
                    <w:rPr>
                      <w:rFonts w:eastAsia="Times New Roman"/>
                    </w:rPr>
                    <w:t>127</w:t>
                  </w:r>
                </w:p>
              </w:tc>
              <w:tc>
                <w:tcPr>
                  <w:tcW w:w="848" w:type="pct"/>
                  <w:tcBorders>
                    <w:top w:val="single" w:color="auto" w:sz="4" w:space="0"/>
                    <w:left w:val="single" w:color="auto" w:sz="4" w:space="0"/>
                    <w:bottom w:val="single" w:color="auto" w:sz="4" w:space="0"/>
                    <w:right w:val="single" w:color="auto" w:sz="4" w:space="0"/>
                  </w:tcBorders>
                  <w:vAlign w:val="center"/>
                </w:tcPr>
                <w:p w14:paraId="33B2405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CFDC2C5">
                  <w:pPr>
                    <w:pStyle w:val="149"/>
                    <w:rPr>
                      <w:rFonts w:eastAsia="Times New Roman"/>
                    </w:rPr>
                  </w:pPr>
                  <w:r>
                    <w:rPr>
                      <w:rFonts w:hint="eastAsia" w:eastAsia="Times New Roman"/>
                    </w:rPr>
                    <w:t>71.66</w:t>
                  </w:r>
                </w:p>
              </w:tc>
              <w:tc>
                <w:tcPr>
                  <w:tcW w:w="440" w:type="pct"/>
                  <w:tcBorders>
                    <w:top w:val="single" w:color="auto" w:sz="4" w:space="0"/>
                    <w:left w:val="single" w:color="auto" w:sz="4" w:space="0"/>
                    <w:bottom w:val="single" w:color="auto" w:sz="4" w:space="0"/>
                    <w:right w:val="single" w:color="auto" w:sz="4" w:space="0"/>
                  </w:tcBorders>
                  <w:vAlign w:val="center"/>
                </w:tcPr>
                <w:p w14:paraId="411D85D8">
                  <w:pPr>
                    <w:pStyle w:val="149"/>
                    <w:rPr>
                      <w:rFonts w:eastAsia="Times New Roman"/>
                    </w:rPr>
                  </w:pPr>
                  <w:r>
                    <w:rPr>
                      <w:rFonts w:hint="eastAsia" w:eastAsia="Times New Roman"/>
                    </w:rPr>
                    <w:t>48.4</w:t>
                  </w:r>
                </w:p>
              </w:tc>
              <w:tc>
                <w:tcPr>
                  <w:tcW w:w="457" w:type="pct"/>
                  <w:tcBorders>
                    <w:top w:val="single" w:color="auto" w:sz="4" w:space="0"/>
                    <w:left w:val="single" w:color="auto" w:sz="4" w:space="0"/>
                    <w:bottom w:val="single" w:color="auto" w:sz="4" w:space="0"/>
                    <w:right w:val="single" w:color="auto" w:sz="4" w:space="0"/>
                  </w:tcBorders>
                  <w:vAlign w:val="center"/>
                </w:tcPr>
                <w:p w14:paraId="7D23C45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2E87F0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D6ADA7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34809D1">
                  <w:pPr>
                    <w:pStyle w:val="149"/>
                    <w:rPr>
                      <w:rFonts w:eastAsia="Times New Roman"/>
                    </w:rPr>
                  </w:pPr>
                  <w:r>
                    <w:rPr>
                      <w:rFonts w:hint="eastAsia" w:ascii="宋体" w:hAnsi="宋体" w:eastAsia="宋体" w:cs="宋体"/>
                    </w:rPr>
                    <w:t>昼间</w:t>
                  </w:r>
                </w:p>
              </w:tc>
            </w:tr>
            <w:tr w14:paraId="2EEE45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EFEC936">
                  <w:pPr>
                    <w:pStyle w:val="149"/>
                    <w:rPr>
                      <w:rFonts w:eastAsia="Times New Roman"/>
                    </w:rPr>
                  </w:pPr>
                  <w:r>
                    <w:rPr>
                      <w:rFonts w:eastAsia="Times New Roman"/>
                    </w:rPr>
                    <w:t>128</w:t>
                  </w:r>
                </w:p>
              </w:tc>
              <w:tc>
                <w:tcPr>
                  <w:tcW w:w="848" w:type="pct"/>
                  <w:tcBorders>
                    <w:top w:val="single" w:color="auto" w:sz="4" w:space="0"/>
                    <w:left w:val="single" w:color="auto" w:sz="4" w:space="0"/>
                    <w:bottom w:val="single" w:color="auto" w:sz="4" w:space="0"/>
                    <w:right w:val="single" w:color="auto" w:sz="4" w:space="0"/>
                  </w:tcBorders>
                  <w:vAlign w:val="center"/>
                </w:tcPr>
                <w:p w14:paraId="18FDC7B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85AFF7B">
                  <w:pPr>
                    <w:pStyle w:val="149"/>
                    <w:rPr>
                      <w:rFonts w:eastAsia="Times New Roman"/>
                    </w:rPr>
                  </w:pPr>
                  <w:r>
                    <w:rPr>
                      <w:rFonts w:hint="eastAsia" w:eastAsia="Times New Roman"/>
                    </w:rPr>
                    <w:t>71.66</w:t>
                  </w:r>
                </w:p>
              </w:tc>
              <w:tc>
                <w:tcPr>
                  <w:tcW w:w="440" w:type="pct"/>
                  <w:tcBorders>
                    <w:top w:val="single" w:color="auto" w:sz="4" w:space="0"/>
                    <w:left w:val="single" w:color="auto" w:sz="4" w:space="0"/>
                    <w:bottom w:val="single" w:color="auto" w:sz="4" w:space="0"/>
                    <w:right w:val="single" w:color="auto" w:sz="4" w:space="0"/>
                  </w:tcBorders>
                  <w:vAlign w:val="center"/>
                </w:tcPr>
                <w:p w14:paraId="66B0C646">
                  <w:pPr>
                    <w:pStyle w:val="149"/>
                    <w:rPr>
                      <w:rFonts w:eastAsia="Times New Roman"/>
                    </w:rPr>
                  </w:pPr>
                  <w:r>
                    <w:rPr>
                      <w:rFonts w:hint="eastAsia" w:eastAsia="Times New Roman"/>
                    </w:rPr>
                    <w:t>48.4</w:t>
                  </w:r>
                </w:p>
              </w:tc>
              <w:tc>
                <w:tcPr>
                  <w:tcW w:w="457" w:type="pct"/>
                  <w:tcBorders>
                    <w:top w:val="single" w:color="auto" w:sz="4" w:space="0"/>
                    <w:left w:val="single" w:color="auto" w:sz="4" w:space="0"/>
                    <w:bottom w:val="single" w:color="auto" w:sz="4" w:space="0"/>
                    <w:right w:val="single" w:color="auto" w:sz="4" w:space="0"/>
                  </w:tcBorders>
                  <w:vAlign w:val="center"/>
                </w:tcPr>
                <w:p w14:paraId="50A2BD4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50FE43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90D937A">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D6D180B">
                  <w:pPr>
                    <w:pStyle w:val="149"/>
                    <w:rPr>
                      <w:rFonts w:eastAsia="Times New Roman"/>
                    </w:rPr>
                  </w:pPr>
                  <w:r>
                    <w:rPr>
                      <w:rFonts w:hint="eastAsia" w:ascii="宋体" w:hAnsi="宋体" w:eastAsia="宋体" w:cs="宋体"/>
                    </w:rPr>
                    <w:t>夜间</w:t>
                  </w:r>
                </w:p>
              </w:tc>
            </w:tr>
            <w:tr w14:paraId="583925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EBC96A0">
                  <w:pPr>
                    <w:pStyle w:val="149"/>
                    <w:rPr>
                      <w:rFonts w:eastAsia="Times New Roman"/>
                    </w:rPr>
                  </w:pPr>
                  <w:r>
                    <w:rPr>
                      <w:rFonts w:eastAsia="Times New Roman"/>
                    </w:rPr>
                    <w:t>129</w:t>
                  </w:r>
                </w:p>
              </w:tc>
              <w:tc>
                <w:tcPr>
                  <w:tcW w:w="848" w:type="pct"/>
                  <w:tcBorders>
                    <w:top w:val="single" w:color="auto" w:sz="4" w:space="0"/>
                    <w:left w:val="single" w:color="auto" w:sz="4" w:space="0"/>
                    <w:bottom w:val="single" w:color="auto" w:sz="4" w:space="0"/>
                    <w:right w:val="single" w:color="auto" w:sz="4" w:space="0"/>
                  </w:tcBorders>
                  <w:vAlign w:val="center"/>
                </w:tcPr>
                <w:p w14:paraId="0455866B">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DBE3265">
                  <w:pPr>
                    <w:pStyle w:val="149"/>
                    <w:rPr>
                      <w:rFonts w:eastAsia="Times New Roman"/>
                    </w:rPr>
                  </w:pPr>
                  <w:r>
                    <w:rPr>
                      <w:rFonts w:hint="eastAsia" w:eastAsia="Times New Roman"/>
                    </w:rPr>
                    <w:t>90.87</w:t>
                  </w:r>
                </w:p>
              </w:tc>
              <w:tc>
                <w:tcPr>
                  <w:tcW w:w="440" w:type="pct"/>
                  <w:tcBorders>
                    <w:top w:val="single" w:color="auto" w:sz="4" w:space="0"/>
                    <w:left w:val="single" w:color="auto" w:sz="4" w:space="0"/>
                    <w:bottom w:val="single" w:color="auto" w:sz="4" w:space="0"/>
                    <w:right w:val="single" w:color="auto" w:sz="4" w:space="0"/>
                  </w:tcBorders>
                  <w:vAlign w:val="center"/>
                </w:tcPr>
                <w:p w14:paraId="1E34D3EA">
                  <w:pPr>
                    <w:pStyle w:val="149"/>
                    <w:rPr>
                      <w:rFonts w:eastAsia="Times New Roman"/>
                    </w:rPr>
                  </w:pPr>
                  <w:r>
                    <w:rPr>
                      <w:rFonts w:hint="eastAsia" w:eastAsia="Times New Roman"/>
                    </w:rPr>
                    <w:t>50.82</w:t>
                  </w:r>
                </w:p>
              </w:tc>
              <w:tc>
                <w:tcPr>
                  <w:tcW w:w="457" w:type="pct"/>
                  <w:tcBorders>
                    <w:top w:val="single" w:color="auto" w:sz="4" w:space="0"/>
                    <w:left w:val="single" w:color="auto" w:sz="4" w:space="0"/>
                    <w:bottom w:val="single" w:color="auto" w:sz="4" w:space="0"/>
                    <w:right w:val="single" w:color="auto" w:sz="4" w:space="0"/>
                  </w:tcBorders>
                  <w:vAlign w:val="center"/>
                </w:tcPr>
                <w:p w14:paraId="1855787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A7D479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CFBBC2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3D61AD8">
                  <w:pPr>
                    <w:pStyle w:val="149"/>
                    <w:rPr>
                      <w:rFonts w:eastAsia="Times New Roman"/>
                    </w:rPr>
                  </w:pPr>
                  <w:r>
                    <w:rPr>
                      <w:rFonts w:hint="eastAsia" w:ascii="宋体" w:hAnsi="宋体" w:eastAsia="宋体" w:cs="宋体"/>
                    </w:rPr>
                    <w:t>昼间</w:t>
                  </w:r>
                </w:p>
              </w:tc>
            </w:tr>
            <w:tr w14:paraId="41B998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460228C">
                  <w:pPr>
                    <w:pStyle w:val="149"/>
                    <w:rPr>
                      <w:rFonts w:eastAsia="Times New Roman"/>
                    </w:rPr>
                  </w:pPr>
                  <w:r>
                    <w:rPr>
                      <w:rFonts w:eastAsia="Times New Roman"/>
                    </w:rPr>
                    <w:t>130</w:t>
                  </w:r>
                </w:p>
              </w:tc>
              <w:tc>
                <w:tcPr>
                  <w:tcW w:w="848" w:type="pct"/>
                  <w:tcBorders>
                    <w:top w:val="single" w:color="auto" w:sz="4" w:space="0"/>
                    <w:left w:val="single" w:color="auto" w:sz="4" w:space="0"/>
                    <w:bottom w:val="single" w:color="auto" w:sz="4" w:space="0"/>
                    <w:right w:val="single" w:color="auto" w:sz="4" w:space="0"/>
                  </w:tcBorders>
                  <w:vAlign w:val="center"/>
                </w:tcPr>
                <w:p w14:paraId="39A07BBE">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1A504CA">
                  <w:pPr>
                    <w:pStyle w:val="149"/>
                    <w:rPr>
                      <w:rFonts w:eastAsia="Times New Roman"/>
                    </w:rPr>
                  </w:pPr>
                  <w:r>
                    <w:rPr>
                      <w:rFonts w:hint="eastAsia" w:eastAsia="Times New Roman"/>
                    </w:rPr>
                    <w:t>90.87</w:t>
                  </w:r>
                </w:p>
              </w:tc>
              <w:tc>
                <w:tcPr>
                  <w:tcW w:w="440" w:type="pct"/>
                  <w:tcBorders>
                    <w:top w:val="single" w:color="auto" w:sz="4" w:space="0"/>
                    <w:left w:val="single" w:color="auto" w:sz="4" w:space="0"/>
                    <w:bottom w:val="single" w:color="auto" w:sz="4" w:space="0"/>
                    <w:right w:val="single" w:color="auto" w:sz="4" w:space="0"/>
                  </w:tcBorders>
                  <w:vAlign w:val="center"/>
                </w:tcPr>
                <w:p w14:paraId="40C85605">
                  <w:pPr>
                    <w:pStyle w:val="149"/>
                    <w:rPr>
                      <w:rFonts w:eastAsia="Times New Roman"/>
                    </w:rPr>
                  </w:pPr>
                  <w:r>
                    <w:rPr>
                      <w:rFonts w:hint="eastAsia" w:eastAsia="Times New Roman"/>
                    </w:rPr>
                    <w:t>50.82</w:t>
                  </w:r>
                </w:p>
              </w:tc>
              <w:tc>
                <w:tcPr>
                  <w:tcW w:w="457" w:type="pct"/>
                  <w:tcBorders>
                    <w:top w:val="single" w:color="auto" w:sz="4" w:space="0"/>
                    <w:left w:val="single" w:color="auto" w:sz="4" w:space="0"/>
                    <w:bottom w:val="single" w:color="auto" w:sz="4" w:space="0"/>
                    <w:right w:val="single" w:color="auto" w:sz="4" w:space="0"/>
                  </w:tcBorders>
                  <w:vAlign w:val="center"/>
                </w:tcPr>
                <w:p w14:paraId="6DF78DB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AB9BC6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28DCCE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C9F4F3A">
                  <w:pPr>
                    <w:pStyle w:val="149"/>
                    <w:rPr>
                      <w:rFonts w:eastAsia="Times New Roman"/>
                    </w:rPr>
                  </w:pPr>
                  <w:r>
                    <w:rPr>
                      <w:rFonts w:hint="eastAsia" w:ascii="宋体" w:hAnsi="宋体" w:eastAsia="宋体" w:cs="宋体"/>
                    </w:rPr>
                    <w:t>夜间</w:t>
                  </w:r>
                </w:p>
              </w:tc>
            </w:tr>
            <w:tr w14:paraId="495F47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C8CB032">
                  <w:pPr>
                    <w:pStyle w:val="149"/>
                    <w:rPr>
                      <w:rFonts w:eastAsia="Times New Roman"/>
                    </w:rPr>
                  </w:pPr>
                  <w:r>
                    <w:rPr>
                      <w:rFonts w:eastAsia="Times New Roman"/>
                    </w:rPr>
                    <w:t>131</w:t>
                  </w:r>
                </w:p>
              </w:tc>
              <w:tc>
                <w:tcPr>
                  <w:tcW w:w="848" w:type="pct"/>
                  <w:tcBorders>
                    <w:top w:val="single" w:color="auto" w:sz="4" w:space="0"/>
                    <w:left w:val="single" w:color="auto" w:sz="4" w:space="0"/>
                    <w:bottom w:val="single" w:color="auto" w:sz="4" w:space="0"/>
                    <w:right w:val="single" w:color="auto" w:sz="4" w:space="0"/>
                  </w:tcBorders>
                  <w:vAlign w:val="center"/>
                </w:tcPr>
                <w:p w14:paraId="4D1591C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7A856A8">
                  <w:pPr>
                    <w:pStyle w:val="149"/>
                    <w:rPr>
                      <w:rFonts w:eastAsia="Times New Roman"/>
                    </w:rPr>
                  </w:pPr>
                  <w:r>
                    <w:rPr>
                      <w:rFonts w:hint="eastAsia" w:eastAsia="Times New Roman"/>
                    </w:rPr>
                    <w:t>95.23</w:t>
                  </w:r>
                </w:p>
              </w:tc>
              <w:tc>
                <w:tcPr>
                  <w:tcW w:w="440" w:type="pct"/>
                  <w:tcBorders>
                    <w:top w:val="single" w:color="auto" w:sz="4" w:space="0"/>
                    <w:left w:val="single" w:color="auto" w:sz="4" w:space="0"/>
                    <w:bottom w:val="single" w:color="auto" w:sz="4" w:space="0"/>
                    <w:right w:val="single" w:color="auto" w:sz="4" w:space="0"/>
                  </w:tcBorders>
                  <w:vAlign w:val="center"/>
                </w:tcPr>
                <w:p w14:paraId="2C9A989C">
                  <w:pPr>
                    <w:pStyle w:val="149"/>
                    <w:rPr>
                      <w:rFonts w:eastAsia="Times New Roman"/>
                    </w:rPr>
                  </w:pPr>
                  <w:r>
                    <w:rPr>
                      <w:rFonts w:hint="eastAsia" w:eastAsia="Times New Roman"/>
                    </w:rPr>
                    <w:t>50.3</w:t>
                  </w:r>
                </w:p>
              </w:tc>
              <w:tc>
                <w:tcPr>
                  <w:tcW w:w="457" w:type="pct"/>
                  <w:tcBorders>
                    <w:top w:val="single" w:color="auto" w:sz="4" w:space="0"/>
                    <w:left w:val="single" w:color="auto" w:sz="4" w:space="0"/>
                    <w:bottom w:val="single" w:color="auto" w:sz="4" w:space="0"/>
                    <w:right w:val="single" w:color="auto" w:sz="4" w:space="0"/>
                  </w:tcBorders>
                  <w:vAlign w:val="center"/>
                </w:tcPr>
                <w:p w14:paraId="1D79FEB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A36EC8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B38A2D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054406B">
                  <w:pPr>
                    <w:pStyle w:val="149"/>
                    <w:rPr>
                      <w:rFonts w:eastAsia="Times New Roman"/>
                    </w:rPr>
                  </w:pPr>
                  <w:r>
                    <w:rPr>
                      <w:rFonts w:hint="eastAsia" w:ascii="宋体" w:hAnsi="宋体" w:eastAsia="宋体" w:cs="宋体"/>
                    </w:rPr>
                    <w:t>昼间</w:t>
                  </w:r>
                </w:p>
              </w:tc>
            </w:tr>
            <w:tr w14:paraId="0D1A68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3125613">
                  <w:pPr>
                    <w:pStyle w:val="149"/>
                    <w:rPr>
                      <w:rFonts w:eastAsia="Times New Roman"/>
                    </w:rPr>
                  </w:pPr>
                  <w:r>
                    <w:rPr>
                      <w:rFonts w:eastAsia="Times New Roman"/>
                    </w:rPr>
                    <w:t>132</w:t>
                  </w:r>
                </w:p>
              </w:tc>
              <w:tc>
                <w:tcPr>
                  <w:tcW w:w="848" w:type="pct"/>
                  <w:tcBorders>
                    <w:top w:val="single" w:color="auto" w:sz="4" w:space="0"/>
                    <w:left w:val="single" w:color="auto" w:sz="4" w:space="0"/>
                    <w:bottom w:val="single" w:color="auto" w:sz="4" w:space="0"/>
                    <w:right w:val="single" w:color="auto" w:sz="4" w:space="0"/>
                  </w:tcBorders>
                  <w:vAlign w:val="center"/>
                </w:tcPr>
                <w:p w14:paraId="562CD3FC">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FD44CDB">
                  <w:pPr>
                    <w:pStyle w:val="149"/>
                    <w:rPr>
                      <w:rFonts w:eastAsia="Times New Roman"/>
                    </w:rPr>
                  </w:pPr>
                  <w:r>
                    <w:rPr>
                      <w:rFonts w:hint="eastAsia" w:eastAsia="Times New Roman"/>
                    </w:rPr>
                    <w:t>95.23</w:t>
                  </w:r>
                </w:p>
              </w:tc>
              <w:tc>
                <w:tcPr>
                  <w:tcW w:w="440" w:type="pct"/>
                  <w:tcBorders>
                    <w:top w:val="single" w:color="auto" w:sz="4" w:space="0"/>
                    <w:left w:val="single" w:color="auto" w:sz="4" w:space="0"/>
                    <w:bottom w:val="single" w:color="auto" w:sz="4" w:space="0"/>
                    <w:right w:val="single" w:color="auto" w:sz="4" w:space="0"/>
                  </w:tcBorders>
                  <w:vAlign w:val="center"/>
                </w:tcPr>
                <w:p w14:paraId="6CD0336D">
                  <w:pPr>
                    <w:pStyle w:val="149"/>
                    <w:rPr>
                      <w:rFonts w:eastAsia="Times New Roman"/>
                    </w:rPr>
                  </w:pPr>
                  <w:r>
                    <w:rPr>
                      <w:rFonts w:hint="eastAsia" w:eastAsia="Times New Roman"/>
                    </w:rPr>
                    <w:t>50.3</w:t>
                  </w:r>
                </w:p>
              </w:tc>
              <w:tc>
                <w:tcPr>
                  <w:tcW w:w="457" w:type="pct"/>
                  <w:tcBorders>
                    <w:top w:val="single" w:color="auto" w:sz="4" w:space="0"/>
                    <w:left w:val="single" w:color="auto" w:sz="4" w:space="0"/>
                    <w:bottom w:val="single" w:color="auto" w:sz="4" w:space="0"/>
                    <w:right w:val="single" w:color="auto" w:sz="4" w:space="0"/>
                  </w:tcBorders>
                  <w:vAlign w:val="center"/>
                </w:tcPr>
                <w:p w14:paraId="5BB9D32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D984F1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2B2A0C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E66D422">
                  <w:pPr>
                    <w:pStyle w:val="149"/>
                    <w:rPr>
                      <w:rFonts w:eastAsia="Times New Roman"/>
                    </w:rPr>
                  </w:pPr>
                  <w:r>
                    <w:rPr>
                      <w:rFonts w:hint="eastAsia" w:ascii="宋体" w:hAnsi="宋体" w:eastAsia="宋体" w:cs="宋体"/>
                    </w:rPr>
                    <w:t>夜间</w:t>
                  </w:r>
                </w:p>
              </w:tc>
            </w:tr>
            <w:tr w14:paraId="4C836B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9D5B5F8">
                  <w:pPr>
                    <w:pStyle w:val="149"/>
                    <w:rPr>
                      <w:rFonts w:eastAsia="Times New Roman"/>
                    </w:rPr>
                  </w:pPr>
                  <w:r>
                    <w:rPr>
                      <w:rFonts w:eastAsia="Times New Roman"/>
                    </w:rPr>
                    <w:t>133</w:t>
                  </w:r>
                </w:p>
              </w:tc>
              <w:tc>
                <w:tcPr>
                  <w:tcW w:w="848" w:type="pct"/>
                  <w:tcBorders>
                    <w:top w:val="single" w:color="auto" w:sz="4" w:space="0"/>
                    <w:left w:val="single" w:color="auto" w:sz="4" w:space="0"/>
                    <w:bottom w:val="single" w:color="auto" w:sz="4" w:space="0"/>
                    <w:right w:val="single" w:color="auto" w:sz="4" w:space="0"/>
                  </w:tcBorders>
                  <w:vAlign w:val="center"/>
                </w:tcPr>
                <w:p w14:paraId="7B629E6E">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1FAFD47">
                  <w:pPr>
                    <w:pStyle w:val="149"/>
                    <w:rPr>
                      <w:rFonts w:eastAsia="Times New Roman"/>
                    </w:rPr>
                  </w:pPr>
                  <w:r>
                    <w:rPr>
                      <w:rFonts w:hint="eastAsia" w:eastAsia="Times New Roman"/>
                    </w:rPr>
                    <w:t>99.75</w:t>
                  </w:r>
                </w:p>
              </w:tc>
              <w:tc>
                <w:tcPr>
                  <w:tcW w:w="440" w:type="pct"/>
                  <w:tcBorders>
                    <w:top w:val="single" w:color="auto" w:sz="4" w:space="0"/>
                    <w:left w:val="single" w:color="auto" w:sz="4" w:space="0"/>
                    <w:bottom w:val="single" w:color="auto" w:sz="4" w:space="0"/>
                    <w:right w:val="single" w:color="auto" w:sz="4" w:space="0"/>
                  </w:tcBorders>
                  <w:vAlign w:val="center"/>
                </w:tcPr>
                <w:p w14:paraId="183C71D7">
                  <w:pPr>
                    <w:pStyle w:val="149"/>
                    <w:rPr>
                      <w:rFonts w:eastAsia="Times New Roman"/>
                    </w:rPr>
                  </w:pPr>
                  <w:r>
                    <w:rPr>
                      <w:rFonts w:hint="eastAsia" w:eastAsia="Times New Roman"/>
                    </w:rPr>
                    <w:t>49.39</w:t>
                  </w:r>
                </w:p>
              </w:tc>
              <w:tc>
                <w:tcPr>
                  <w:tcW w:w="457" w:type="pct"/>
                  <w:tcBorders>
                    <w:top w:val="single" w:color="auto" w:sz="4" w:space="0"/>
                    <w:left w:val="single" w:color="auto" w:sz="4" w:space="0"/>
                    <w:bottom w:val="single" w:color="auto" w:sz="4" w:space="0"/>
                    <w:right w:val="single" w:color="auto" w:sz="4" w:space="0"/>
                  </w:tcBorders>
                  <w:vAlign w:val="center"/>
                </w:tcPr>
                <w:p w14:paraId="05ECA44D">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B50865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EBD0A6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14BC8DB">
                  <w:pPr>
                    <w:pStyle w:val="149"/>
                    <w:rPr>
                      <w:rFonts w:eastAsia="Times New Roman"/>
                    </w:rPr>
                  </w:pPr>
                  <w:r>
                    <w:rPr>
                      <w:rFonts w:hint="eastAsia" w:ascii="宋体" w:hAnsi="宋体" w:eastAsia="宋体" w:cs="宋体"/>
                    </w:rPr>
                    <w:t>昼间</w:t>
                  </w:r>
                </w:p>
              </w:tc>
            </w:tr>
            <w:tr w14:paraId="61AFC5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74D773E">
                  <w:pPr>
                    <w:pStyle w:val="149"/>
                    <w:rPr>
                      <w:rFonts w:eastAsia="Times New Roman"/>
                    </w:rPr>
                  </w:pPr>
                  <w:r>
                    <w:rPr>
                      <w:rFonts w:eastAsia="Times New Roman"/>
                    </w:rPr>
                    <w:t>134</w:t>
                  </w:r>
                </w:p>
              </w:tc>
              <w:tc>
                <w:tcPr>
                  <w:tcW w:w="848" w:type="pct"/>
                  <w:tcBorders>
                    <w:top w:val="single" w:color="auto" w:sz="4" w:space="0"/>
                    <w:left w:val="single" w:color="auto" w:sz="4" w:space="0"/>
                    <w:bottom w:val="single" w:color="auto" w:sz="4" w:space="0"/>
                    <w:right w:val="single" w:color="auto" w:sz="4" w:space="0"/>
                  </w:tcBorders>
                  <w:vAlign w:val="center"/>
                </w:tcPr>
                <w:p w14:paraId="205CE2BE">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C79CCD9">
                  <w:pPr>
                    <w:pStyle w:val="149"/>
                    <w:rPr>
                      <w:rFonts w:eastAsia="Times New Roman"/>
                    </w:rPr>
                  </w:pPr>
                  <w:r>
                    <w:rPr>
                      <w:rFonts w:hint="eastAsia" w:eastAsia="Times New Roman"/>
                    </w:rPr>
                    <w:t>99.75</w:t>
                  </w:r>
                </w:p>
              </w:tc>
              <w:tc>
                <w:tcPr>
                  <w:tcW w:w="440" w:type="pct"/>
                  <w:tcBorders>
                    <w:top w:val="single" w:color="auto" w:sz="4" w:space="0"/>
                    <w:left w:val="single" w:color="auto" w:sz="4" w:space="0"/>
                    <w:bottom w:val="single" w:color="auto" w:sz="4" w:space="0"/>
                    <w:right w:val="single" w:color="auto" w:sz="4" w:space="0"/>
                  </w:tcBorders>
                  <w:vAlign w:val="center"/>
                </w:tcPr>
                <w:p w14:paraId="7DB629C6">
                  <w:pPr>
                    <w:pStyle w:val="149"/>
                    <w:rPr>
                      <w:rFonts w:eastAsia="Times New Roman"/>
                    </w:rPr>
                  </w:pPr>
                  <w:r>
                    <w:rPr>
                      <w:rFonts w:hint="eastAsia" w:eastAsia="Times New Roman"/>
                    </w:rPr>
                    <w:t>49.39</w:t>
                  </w:r>
                </w:p>
              </w:tc>
              <w:tc>
                <w:tcPr>
                  <w:tcW w:w="457" w:type="pct"/>
                  <w:tcBorders>
                    <w:top w:val="single" w:color="auto" w:sz="4" w:space="0"/>
                    <w:left w:val="single" w:color="auto" w:sz="4" w:space="0"/>
                    <w:bottom w:val="single" w:color="auto" w:sz="4" w:space="0"/>
                    <w:right w:val="single" w:color="auto" w:sz="4" w:space="0"/>
                  </w:tcBorders>
                  <w:vAlign w:val="center"/>
                </w:tcPr>
                <w:p w14:paraId="208202A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74943D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C6269C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944BD9E">
                  <w:pPr>
                    <w:pStyle w:val="149"/>
                    <w:rPr>
                      <w:rFonts w:eastAsia="Times New Roman"/>
                    </w:rPr>
                  </w:pPr>
                  <w:r>
                    <w:rPr>
                      <w:rFonts w:hint="eastAsia" w:ascii="宋体" w:hAnsi="宋体" w:eastAsia="宋体" w:cs="宋体"/>
                    </w:rPr>
                    <w:t>夜间</w:t>
                  </w:r>
                </w:p>
              </w:tc>
            </w:tr>
            <w:tr w14:paraId="5C5E79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9D6818B">
                  <w:pPr>
                    <w:pStyle w:val="149"/>
                    <w:rPr>
                      <w:rFonts w:eastAsia="Times New Roman"/>
                    </w:rPr>
                  </w:pPr>
                  <w:r>
                    <w:rPr>
                      <w:rFonts w:eastAsia="Times New Roman"/>
                    </w:rPr>
                    <w:t>135</w:t>
                  </w:r>
                </w:p>
              </w:tc>
              <w:tc>
                <w:tcPr>
                  <w:tcW w:w="848" w:type="pct"/>
                  <w:tcBorders>
                    <w:top w:val="single" w:color="auto" w:sz="4" w:space="0"/>
                    <w:left w:val="single" w:color="auto" w:sz="4" w:space="0"/>
                    <w:bottom w:val="single" w:color="auto" w:sz="4" w:space="0"/>
                    <w:right w:val="single" w:color="auto" w:sz="4" w:space="0"/>
                  </w:tcBorders>
                  <w:vAlign w:val="center"/>
                </w:tcPr>
                <w:p w14:paraId="62CABC4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0BC08EC">
                  <w:pPr>
                    <w:pStyle w:val="149"/>
                    <w:rPr>
                      <w:rFonts w:eastAsia="Times New Roman"/>
                    </w:rPr>
                  </w:pPr>
                  <w:r>
                    <w:rPr>
                      <w:rFonts w:hint="eastAsia" w:eastAsia="Times New Roman"/>
                    </w:rPr>
                    <w:t>105.18</w:t>
                  </w:r>
                </w:p>
              </w:tc>
              <w:tc>
                <w:tcPr>
                  <w:tcW w:w="440" w:type="pct"/>
                  <w:tcBorders>
                    <w:top w:val="single" w:color="auto" w:sz="4" w:space="0"/>
                    <w:left w:val="single" w:color="auto" w:sz="4" w:space="0"/>
                    <w:bottom w:val="single" w:color="auto" w:sz="4" w:space="0"/>
                    <w:right w:val="single" w:color="auto" w:sz="4" w:space="0"/>
                  </w:tcBorders>
                  <w:vAlign w:val="center"/>
                </w:tcPr>
                <w:p w14:paraId="54F3D574">
                  <w:pPr>
                    <w:pStyle w:val="149"/>
                    <w:rPr>
                      <w:rFonts w:eastAsia="Times New Roman"/>
                    </w:rPr>
                  </w:pPr>
                  <w:r>
                    <w:rPr>
                      <w:rFonts w:hint="eastAsia" w:eastAsia="Times New Roman"/>
                    </w:rPr>
                    <w:t>48.46</w:t>
                  </w:r>
                </w:p>
              </w:tc>
              <w:tc>
                <w:tcPr>
                  <w:tcW w:w="457" w:type="pct"/>
                  <w:tcBorders>
                    <w:top w:val="single" w:color="auto" w:sz="4" w:space="0"/>
                    <w:left w:val="single" w:color="auto" w:sz="4" w:space="0"/>
                    <w:bottom w:val="single" w:color="auto" w:sz="4" w:space="0"/>
                    <w:right w:val="single" w:color="auto" w:sz="4" w:space="0"/>
                  </w:tcBorders>
                  <w:vAlign w:val="center"/>
                </w:tcPr>
                <w:p w14:paraId="6324560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454A81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101D3A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A0F309F">
                  <w:pPr>
                    <w:pStyle w:val="149"/>
                    <w:rPr>
                      <w:rFonts w:eastAsia="Times New Roman"/>
                    </w:rPr>
                  </w:pPr>
                  <w:r>
                    <w:rPr>
                      <w:rFonts w:hint="eastAsia" w:ascii="宋体" w:hAnsi="宋体" w:eastAsia="宋体" w:cs="宋体"/>
                    </w:rPr>
                    <w:t>昼间</w:t>
                  </w:r>
                </w:p>
              </w:tc>
            </w:tr>
            <w:tr w14:paraId="3B9E03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0E412FB">
                  <w:pPr>
                    <w:pStyle w:val="149"/>
                    <w:rPr>
                      <w:rFonts w:eastAsia="Times New Roman"/>
                    </w:rPr>
                  </w:pPr>
                  <w:r>
                    <w:rPr>
                      <w:rFonts w:eastAsia="Times New Roman"/>
                    </w:rPr>
                    <w:t>136</w:t>
                  </w:r>
                </w:p>
              </w:tc>
              <w:tc>
                <w:tcPr>
                  <w:tcW w:w="848" w:type="pct"/>
                  <w:tcBorders>
                    <w:top w:val="single" w:color="auto" w:sz="4" w:space="0"/>
                    <w:left w:val="single" w:color="auto" w:sz="4" w:space="0"/>
                    <w:bottom w:val="single" w:color="auto" w:sz="4" w:space="0"/>
                    <w:right w:val="single" w:color="auto" w:sz="4" w:space="0"/>
                  </w:tcBorders>
                  <w:vAlign w:val="center"/>
                </w:tcPr>
                <w:p w14:paraId="658A7AC7">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055DECD">
                  <w:pPr>
                    <w:pStyle w:val="149"/>
                    <w:rPr>
                      <w:rFonts w:eastAsia="Times New Roman"/>
                    </w:rPr>
                  </w:pPr>
                  <w:r>
                    <w:rPr>
                      <w:rFonts w:hint="eastAsia" w:eastAsia="Times New Roman"/>
                    </w:rPr>
                    <w:t>105.18</w:t>
                  </w:r>
                </w:p>
              </w:tc>
              <w:tc>
                <w:tcPr>
                  <w:tcW w:w="440" w:type="pct"/>
                  <w:tcBorders>
                    <w:top w:val="single" w:color="auto" w:sz="4" w:space="0"/>
                    <w:left w:val="single" w:color="auto" w:sz="4" w:space="0"/>
                    <w:bottom w:val="single" w:color="auto" w:sz="4" w:space="0"/>
                    <w:right w:val="single" w:color="auto" w:sz="4" w:space="0"/>
                  </w:tcBorders>
                  <w:vAlign w:val="center"/>
                </w:tcPr>
                <w:p w14:paraId="4BE505E6">
                  <w:pPr>
                    <w:pStyle w:val="149"/>
                    <w:rPr>
                      <w:rFonts w:eastAsia="Times New Roman"/>
                    </w:rPr>
                  </w:pPr>
                  <w:r>
                    <w:rPr>
                      <w:rFonts w:hint="eastAsia" w:eastAsia="Times New Roman"/>
                    </w:rPr>
                    <w:t>48.46</w:t>
                  </w:r>
                </w:p>
              </w:tc>
              <w:tc>
                <w:tcPr>
                  <w:tcW w:w="457" w:type="pct"/>
                  <w:tcBorders>
                    <w:top w:val="single" w:color="auto" w:sz="4" w:space="0"/>
                    <w:left w:val="single" w:color="auto" w:sz="4" w:space="0"/>
                    <w:bottom w:val="single" w:color="auto" w:sz="4" w:space="0"/>
                    <w:right w:val="single" w:color="auto" w:sz="4" w:space="0"/>
                  </w:tcBorders>
                  <w:vAlign w:val="center"/>
                </w:tcPr>
                <w:p w14:paraId="5B892C5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B8D125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AF0EFC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13341E6">
                  <w:pPr>
                    <w:pStyle w:val="149"/>
                    <w:rPr>
                      <w:rFonts w:eastAsia="Times New Roman"/>
                    </w:rPr>
                  </w:pPr>
                  <w:r>
                    <w:rPr>
                      <w:rFonts w:hint="eastAsia" w:ascii="宋体" w:hAnsi="宋体" w:eastAsia="宋体" w:cs="宋体"/>
                    </w:rPr>
                    <w:t>夜间</w:t>
                  </w:r>
                </w:p>
              </w:tc>
            </w:tr>
            <w:tr w14:paraId="0E1094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13B83B4">
                  <w:pPr>
                    <w:pStyle w:val="149"/>
                    <w:rPr>
                      <w:rFonts w:eastAsia="Times New Roman"/>
                    </w:rPr>
                  </w:pPr>
                  <w:r>
                    <w:rPr>
                      <w:rFonts w:eastAsia="Times New Roman"/>
                    </w:rPr>
                    <w:t>137</w:t>
                  </w:r>
                </w:p>
              </w:tc>
              <w:tc>
                <w:tcPr>
                  <w:tcW w:w="848" w:type="pct"/>
                  <w:tcBorders>
                    <w:top w:val="single" w:color="auto" w:sz="4" w:space="0"/>
                    <w:left w:val="single" w:color="auto" w:sz="4" w:space="0"/>
                    <w:bottom w:val="single" w:color="auto" w:sz="4" w:space="0"/>
                    <w:right w:val="single" w:color="auto" w:sz="4" w:space="0"/>
                  </w:tcBorders>
                  <w:vAlign w:val="center"/>
                </w:tcPr>
                <w:p w14:paraId="5DD2C3E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FF1E6B2">
                  <w:pPr>
                    <w:pStyle w:val="149"/>
                    <w:rPr>
                      <w:rFonts w:eastAsia="Times New Roman"/>
                    </w:rPr>
                  </w:pPr>
                  <w:r>
                    <w:rPr>
                      <w:rFonts w:hint="eastAsia" w:eastAsia="Times New Roman"/>
                    </w:rPr>
                    <w:t>62.16</w:t>
                  </w:r>
                </w:p>
              </w:tc>
              <w:tc>
                <w:tcPr>
                  <w:tcW w:w="440" w:type="pct"/>
                  <w:tcBorders>
                    <w:top w:val="single" w:color="auto" w:sz="4" w:space="0"/>
                    <w:left w:val="single" w:color="auto" w:sz="4" w:space="0"/>
                    <w:bottom w:val="single" w:color="auto" w:sz="4" w:space="0"/>
                    <w:right w:val="single" w:color="auto" w:sz="4" w:space="0"/>
                  </w:tcBorders>
                  <w:vAlign w:val="center"/>
                </w:tcPr>
                <w:p w14:paraId="24EE3BBD">
                  <w:pPr>
                    <w:pStyle w:val="149"/>
                    <w:rPr>
                      <w:rFonts w:eastAsia="Times New Roman"/>
                    </w:rPr>
                  </w:pPr>
                  <w:r>
                    <w:rPr>
                      <w:rFonts w:hint="eastAsia" w:eastAsia="Times New Roman"/>
                    </w:rPr>
                    <w:t>49.38</w:t>
                  </w:r>
                </w:p>
              </w:tc>
              <w:tc>
                <w:tcPr>
                  <w:tcW w:w="457" w:type="pct"/>
                  <w:tcBorders>
                    <w:top w:val="single" w:color="auto" w:sz="4" w:space="0"/>
                    <w:left w:val="single" w:color="auto" w:sz="4" w:space="0"/>
                    <w:bottom w:val="single" w:color="auto" w:sz="4" w:space="0"/>
                    <w:right w:val="single" w:color="auto" w:sz="4" w:space="0"/>
                  </w:tcBorders>
                  <w:vAlign w:val="center"/>
                </w:tcPr>
                <w:p w14:paraId="6BC7789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65E192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BC05E9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952A5A4">
                  <w:pPr>
                    <w:pStyle w:val="149"/>
                    <w:rPr>
                      <w:rFonts w:eastAsia="Times New Roman"/>
                    </w:rPr>
                  </w:pPr>
                  <w:r>
                    <w:rPr>
                      <w:rFonts w:hint="eastAsia" w:ascii="宋体" w:hAnsi="宋体" w:eastAsia="宋体" w:cs="宋体"/>
                    </w:rPr>
                    <w:t>昼间</w:t>
                  </w:r>
                </w:p>
              </w:tc>
            </w:tr>
            <w:tr w14:paraId="2F089A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EA7267D">
                  <w:pPr>
                    <w:pStyle w:val="149"/>
                    <w:rPr>
                      <w:rFonts w:eastAsia="Times New Roman"/>
                    </w:rPr>
                  </w:pPr>
                  <w:r>
                    <w:rPr>
                      <w:rFonts w:eastAsia="Times New Roman"/>
                    </w:rPr>
                    <w:t>138</w:t>
                  </w:r>
                </w:p>
              </w:tc>
              <w:tc>
                <w:tcPr>
                  <w:tcW w:w="848" w:type="pct"/>
                  <w:tcBorders>
                    <w:top w:val="single" w:color="auto" w:sz="4" w:space="0"/>
                    <w:left w:val="single" w:color="auto" w:sz="4" w:space="0"/>
                    <w:bottom w:val="single" w:color="auto" w:sz="4" w:space="0"/>
                    <w:right w:val="single" w:color="auto" w:sz="4" w:space="0"/>
                  </w:tcBorders>
                  <w:vAlign w:val="center"/>
                </w:tcPr>
                <w:p w14:paraId="33AB3A8E">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6756032">
                  <w:pPr>
                    <w:pStyle w:val="149"/>
                    <w:rPr>
                      <w:rFonts w:eastAsia="Times New Roman"/>
                    </w:rPr>
                  </w:pPr>
                  <w:r>
                    <w:rPr>
                      <w:rFonts w:hint="eastAsia" w:eastAsia="Times New Roman"/>
                    </w:rPr>
                    <w:t>62.16</w:t>
                  </w:r>
                </w:p>
              </w:tc>
              <w:tc>
                <w:tcPr>
                  <w:tcW w:w="440" w:type="pct"/>
                  <w:tcBorders>
                    <w:top w:val="single" w:color="auto" w:sz="4" w:space="0"/>
                    <w:left w:val="single" w:color="auto" w:sz="4" w:space="0"/>
                    <w:bottom w:val="single" w:color="auto" w:sz="4" w:space="0"/>
                    <w:right w:val="single" w:color="auto" w:sz="4" w:space="0"/>
                  </w:tcBorders>
                  <w:vAlign w:val="center"/>
                </w:tcPr>
                <w:p w14:paraId="61A3E24D">
                  <w:pPr>
                    <w:pStyle w:val="149"/>
                    <w:rPr>
                      <w:rFonts w:eastAsia="Times New Roman"/>
                    </w:rPr>
                  </w:pPr>
                  <w:r>
                    <w:rPr>
                      <w:rFonts w:hint="eastAsia" w:eastAsia="Times New Roman"/>
                    </w:rPr>
                    <w:t>49.38</w:t>
                  </w:r>
                </w:p>
              </w:tc>
              <w:tc>
                <w:tcPr>
                  <w:tcW w:w="457" w:type="pct"/>
                  <w:tcBorders>
                    <w:top w:val="single" w:color="auto" w:sz="4" w:space="0"/>
                    <w:left w:val="single" w:color="auto" w:sz="4" w:space="0"/>
                    <w:bottom w:val="single" w:color="auto" w:sz="4" w:space="0"/>
                    <w:right w:val="single" w:color="auto" w:sz="4" w:space="0"/>
                  </w:tcBorders>
                  <w:vAlign w:val="center"/>
                </w:tcPr>
                <w:p w14:paraId="010D95A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E2B060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198BF1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4708F42">
                  <w:pPr>
                    <w:pStyle w:val="149"/>
                    <w:rPr>
                      <w:rFonts w:eastAsia="Times New Roman"/>
                    </w:rPr>
                  </w:pPr>
                  <w:r>
                    <w:rPr>
                      <w:rFonts w:hint="eastAsia" w:ascii="宋体" w:hAnsi="宋体" w:eastAsia="宋体" w:cs="宋体"/>
                    </w:rPr>
                    <w:t>夜间</w:t>
                  </w:r>
                </w:p>
              </w:tc>
            </w:tr>
            <w:tr w14:paraId="4E8A2C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9E7C153">
                  <w:pPr>
                    <w:pStyle w:val="149"/>
                    <w:rPr>
                      <w:rFonts w:eastAsia="Times New Roman"/>
                    </w:rPr>
                  </w:pPr>
                  <w:r>
                    <w:rPr>
                      <w:rFonts w:eastAsia="Times New Roman"/>
                    </w:rPr>
                    <w:t>139</w:t>
                  </w:r>
                </w:p>
              </w:tc>
              <w:tc>
                <w:tcPr>
                  <w:tcW w:w="848" w:type="pct"/>
                  <w:tcBorders>
                    <w:top w:val="single" w:color="auto" w:sz="4" w:space="0"/>
                    <w:left w:val="single" w:color="auto" w:sz="4" w:space="0"/>
                    <w:bottom w:val="single" w:color="auto" w:sz="4" w:space="0"/>
                    <w:right w:val="single" w:color="auto" w:sz="4" w:space="0"/>
                  </w:tcBorders>
                  <w:vAlign w:val="center"/>
                </w:tcPr>
                <w:p w14:paraId="1561BDBA">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482FEEB7">
                  <w:pPr>
                    <w:pStyle w:val="149"/>
                    <w:rPr>
                      <w:rFonts w:eastAsia="Times New Roman"/>
                    </w:rPr>
                  </w:pPr>
                  <w:r>
                    <w:rPr>
                      <w:rFonts w:hint="eastAsia" w:eastAsia="Times New Roman"/>
                    </w:rPr>
                    <w:t>82.47</w:t>
                  </w:r>
                </w:p>
              </w:tc>
              <w:tc>
                <w:tcPr>
                  <w:tcW w:w="440" w:type="pct"/>
                  <w:tcBorders>
                    <w:top w:val="single" w:color="auto" w:sz="4" w:space="0"/>
                    <w:left w:val="single" w:color="auto" w:sz="4" w:space="0"/>
                    <w:bottom w:val="single" w:color="auto" w:sz="4" w:space="0"/>
                    <w:right w:val="single" w:color="auto" w:sz="4" w:space="0"/>
                  </w:tcBorders>
                  <w:vAlign w:val="center"/>
                </w:tcPr>
                <w:p w14:paraId="110CD024">
                  <w:pPr>
                    <w:pStyle w:val="149"/>
                    <w:rPr>
                      <w:rFonts w:eastAsia="Times New Roman"/>
                    </w:rPr>
                  </w:pPr>
                  <w:r>
                    <w:rPr>
                      <w:rFonts w:hint="eastAsia" w:eastAsia="Times New Roman"/>
                    </w:rPr>
                    <w:t>47.25</w:t>
                  </w:r>
                </w:p>
              </w:tc>
              <w:tc>
                <w:tcPr>
                  <w:tcW w:w="457" w:type="pct"/>
                  <w:tcBorders>
                    <w:top w:val="single" w:color="auto" w:sz="4" w:space="0"/>
                    <w:left w:val="single" w:color="auto" w:sz="4" w:space="0"/>
                    <w:bottom w:val="single" w:color="auto" w:sz="4" w:space="0"/>
                    <w:right w:val="single" w:color="auto" w:sz="4" w:space="0"/>
                  </w:tcBorders>
                  <w:vAlign w:val="center"/>
                </w:tcPr>
                <w:p w14:paraId="61F7C95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A530AE9">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9A7159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A367557">
                  <w:pPr>
                    <w:pStyle w:val="149"/>
                    <w:rPr>
                      <w:rFonts w:eastAsia="Times New Roman"/>
                    </w:rPr>
                  </w:pPr>
                  <w:r>
                    <w:rPr>
                      <w:rFonts w:hint="eastAsia" w:ascii="宋体" w:hAnsi="宋体" w:eastAsia="宋体" w:cs="宋体"/>
                    </w:rPr>
                    <w:t>昼间</w:t>
                  </w:r>
                </w:p>
              </w:tc>
            </w:tr>
            <w:tr w14:paraId="7B957A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ABEB9AB">
                  <w:pPr>
                    <w:pStyle w:val="149"/>
                    <w:rPr>
                      <w:rFonts w:eastAsia="Times New Roman"/>
                    </w:rPr>
                  </w:pPr>
                  <w:r>
                    <w:rPr>
                      <w:rFonts w:eastAsia="Times New Roman"/>
                    </w:rPr>
                    <w:t>140</w:t>
                  </w:r>
                </w:p>
              </w:tc>
              <w:tc>
                <w:tcPr>
                  <w:tcW w:w="848" w:type="pct"/>
                  <w:tcBorders>
                    <w:top w:val="single" w:color="auto" w:sz="4" w:space="0"/>
                    <w:left w:val="single" w:color="auto" w:sz="4" w:space="0"/>
                    <w:bottom w:val="single" w:color="auto" w:sz="4" w:space="0"/>
                    <w:right w:val="single" w:color="auto" w:sz="4" w:space="0"/>
                  </w:tcBorders>
                  <w:vAlign w:val="center"/>
                </w:tcPr>
                <w:p w14:paraId="41BB666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D26F01D">
                  <w:pPr>
                    <w:pStyle w:val="149"/>
                    <w:rPr>
                      <w:rFonts w:eastAsia="Times New Roman"/>
                    </w:rPr>
                  </w:pPr>
                  <w:r>
                    <w:rPr>
                      <w:rFonts w:hint="eastAsia" w:eastAsia="Times New Roman"/>
                    </w:rPr>
                    <w:t>82.47</w:t>
                  </w:r>
                </w:p>
              </w:tc>
              <w:tc>
                <w:tcPr>
                  <w:tcW w:w="440" w:type="pct"/>
                  <w:tcBorders>
                    <w:top w:val="single" w:color="auto" w:sz="4" w:space="0"/>
                    <w:left w:val="single" w:color="auto" w:sz="4" w:space="0"/>
                    <w:bottom w:val="single" w:color="auto" w:sz="4" w:space="0"/>
                    <w:right w:val="single" w:color="auto" w:sz="4" w:space="0"/>
                  </w:tcBorders>
                  <w:vAlign w:val="center"/>
                </w:tcPr>
                <w:p w14:paraId="6303B492">
                  <w:pPr>
                    <w:pStyle w:val="149"/>
                    <w:rPr>
                      <w:rFonts w:eastAsia="Times New Roman"/>
                    </w:rPr>
                  </w:pPr>
                  <w:r>
                    <w:rPr>
                      <w:rFonts w:hint="eastAsia" w:eastAsia="Times New Roman"/>
                    </w:rPr>
                    <w:t>47.25</w:t>
                  </w:r>
                </w:p>
              </w:tc>
              <w:tc>
                <w:tcPr>
                  <w:tcW w:w="457" w:type="pct"/>
                  <w:tcBorders>
                    <w:top w:val="single" w:color="auto" w:sz="4" w:space="0"/>
                    <w:left w:val="single" w:color="auto" w:sz="4" w:space="0"/>
                    <w:bottom w:val="single" w:color="auto" w:sz="4" w:space="0"/>
                    <w:right w:val="single" w:color="auto" w:sz="4" w:space="0"/>
                  </w:tcBorders>
                  <w:vAlign w:val="center"/>
                </w:tcPr>
                <w:p w14:paraId="24FE3E5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06187A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D660A42">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DA0E48E">
                  <w:pPr>
                    <w:pStyle w:val="149"/>
                    <w:rPr>
                      <w:rFonts w:eastAsia="Times New Roman"/>
                    </w:rPr>
                  </w:pPr>
                  <w:r>
                    <w:rPr>
                      <w:rFonts w:hint="eastAsia" w:ascii="宋体" w:hAnsi="宋体" w:eastAsia="宋体" w:cs="宋体"/>
                    </w:rPr>
                    <w:t>夜间</w:t>
                  </w:r>
                </w:p>
              </w:tc>
            </w:tr>
            <w:tr w14:paraId="1886C2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F407162">
                  <w:pPr>
                    <w:pStyle w:val="149"/>
                    <w:rPr>
                      <w:rFonts w:eastAsia="Times New Roman"/>
                    </w:rPr>
                  </w:pPr>
                  <w:r>
                    <w:rPr>
                      <w:rFonts w:eastAsia="Times New Roman"/>
                    </w:rPr>
                    <w:t>141</w:t>
                  </w:r>
                </w:p>
              </w:tc>
              <w:tc>
                <w:tcPr>
                  <w:tcW w:w="848" w:type="pct"/>
                  <w:tcBorders>
                    <w:top w:val="single" w:color="auto" w:sz="4" w:space="0"/>
                    <w:left w:val="single" w:color="auto" w:sz="4" w:space="0"/>
                    <w:bottom w:val="single" w:color="auto" w:sz="4" w:space="0"/>
                    <w:right w:val="single" w:color="auto" w:sz="4" w:space="0"/>
                  </w:tcBorders>
                  <w:vAlign w:val="center"/>
                </w:tcPr>
                <w:p w14:paraId="3A01112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F5CB37D">
                  <w:pPr>
                    <w:pStyle w:val="149"/>
                    <w:rPr>
                      <w:rFonts w:eastAsia="Times New Roman"/>
                    </w:rPr>
                  </w:pPr>
                  <w:r>
                    <w:rPr>
                      <w:rFonts w:hint="eastAsia" w:eastAsia="Times New Roman"/>
                    </w:rPr>
                    <w:t>110.03</w:t>
                  </w:r>
                </w:p>
              </w:tc>
              <w:tc>
                <w:tcPr>
                  <w:tcW w:w="440" w:type="pct"/>
                  <w:tcBorders>
                    <w:top w:val="single" w:color="auto" w:sz="4" w:space="0"/>
                    <w:left w:val="single" w:color="auto" w:sz="4" w:space="0"/>
                    <w:bottom w:val="single" w:color="auto" w:sz="4" w:space="0"/>
                    <w:right w:val="single" w:color="auto" w:sz="4" w:space="0"/>
                  </w:tcBorders>
                  <w:vAlign w:val="center"/>
                </w:tcPr>
                <w:p w14:paraId="0BB623A6">
                  <w:pPr>
                    <w:pStyle w:val="149"/>
                    <w:rPr>
                      <w:rFonts w:eastAsia="Times New Roman"/>
                    </w:rPr>
                  </w:pPr>
                  <w:r>
                    <w:rPr>
                      <w:rFonts w:hint="eastAsia" w:eastAsia="Times New Roman"/>
                    </w:rPr>
                    <w:t>47.86</w:t>
                  </w:r>
                </w:p>
              </w:tc>
              <w:tc>
                <w:tcPr>
                  <w:tcW w:w="457" w:type="pct"/>
                  <w:tcBorders>
                    <w:top w:val="single" w:color="auto" w:sz="4" w:space="0"/>
                    <w:left w:val="single" w:color="auto" w:sz="4" w:space="0"/>
                    <w:bottom w:val="single" w:color="auto" w:sz="4" w:space="0"/>
                    <w:right w:val="single" w:color="auto" w:sz="4" w:space="0"/>
                  </w:tcBorders>
                  <w:vAlign w:val="center"/>
                </w:tcPr>
                <w:p w14:paraId="42C3D22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B0576D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898696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4A812F8">
                  <w:pPr>
                    <w:pStyle w:val="149"/>
                    <w:rPr>
                      <w:rFonts w:eastAsia="Times New Roman"/>
                    </w:rPr>
                  </w:pPr>
                  <w:r>
                    <w:rPr>
                      <w:rFonts w:hint="eastAsia" w:ascii="宋体" w:hAnsi="宋体" w:eastAsia="宋体" w:cs="宋体"/>
                    </w:rPr>
                    <w:t>昼间</w:t>
                  </w:r>
                </w:p>
              </w:tc>
            </w:tr>
            <w:tr w14:paraId="311D4A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8E85B6C">
                  <w:pPr>
                    <w:pStyle w:val="149"/>
                    <w:rPr>
                      <w:rFonts w:eastAsia="Times New Roman"/>
                    </w:rPr>
                  </w:pPr>
                  <w:r>
                    <w:rPr>
                      <w:rFonts w:eastAsia="Times New Roman"/>
                    </w:rPr>
                    <w:t>142</w:t>
                  </w:r>
                </w:p>
              </w:tc>
              <w:tc>
                <w:tcPr>
                  <w:tcW w:w="848" w:type="pct"/>
                  <w:tcBorders>
                    <w:top w:val="single" w:color="auto" w:sz="4" w:space="0"/>
                    <w:left w:val="single" w:color="auto" w:sz="4" w:space="0"/>
                    <w:bottom w:val="single" w:color="auto" w:sz="4" w:space="0"/>
                    <w:right w:val="single" w:color="auto" w:sz="4" w:space="0"/>
                  </w:tcBorders>
                  <w:vAlign w:val="center"/>
                </w:tcPr>
                <w:p w14:paraId="2ED59FA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DBDF9EE">
                  <w:pPr>
                    <w:pStyle w:val="149"/>
                    <w:rPr>
                      <w:rFonts w:eastAsia="Times New Roman"/>
                    </w:rPr>
                  </w:pPr>
                  <w:r>
                    <w:rPr>
                      <w:rFonts w:hint="eastAsia" w:eastAsia="Times New Roman"/>
                    </w:rPr>
                    <w:t>110.03</w:t>
                  </w:r>
                </w:p>
              </w:tc>
              <w:tc>
                <w:tcPr>
                  <w:tcW w:w="440" w:type="pct"/>
                  <w:tcBorders>
                    <w:top w:val="single" w:color="auto" w:sz="4" w:space="0"/>
                    <w:left w:val="single" w:color="auto" w:sz="4" w:space="0"/>
                    <w:bottom w:val="single" w:color="auto" w:sz="4" w:space="0"/>
                    <w:right w:val="single" w:color="auto" w:sz="4" w:space="0"/>
                  </w:tcBorders>
                  <w:vAlign w:val="center"/>
                </w:tcPr>
                <w:p w14:paraId="3DF89F4C">
                  <w:pPr>
                    <w:pStyle w:val="149"/>
                    <w:rPr>
                      <w:rFonts w:eastAsia="Times New Roman"/>
                    </w:rPr>
                  </w:pPr>
                  <w:r>
                    <w:rPr>
                      <w:rFonts w:hint="eastAsia" w:eastAsia="Times New Roman"/>
                    </w:rPr>
                    <w:t>47.86</w:t>
                  </w:r>
                </w:p>
              </w:tc>
              <w:tc>
                <w:tcPr>
                  <w:tcW w:w="457" w:type="pct"/>
                  <w:tcBorders>
                    <w:top w:val="single" w:color="auto" w:sz="4" w:space="0"/>
                    <w:left w:val="single" w:color="auto" w:sz="4" w:space="0"/>
                    <w:bottom w:val="single" w:color="auto" w:sz="4" w:space="0"/>
                    <w:right w:val="single" w:color="auto" w:sz="4" w:space="0"/>
                  </w:tcBorders>
                  <w:vAlign w:val="center"/>
                </w:tcPr>
                <w:p w14:paraId="2C511F1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7975A9C">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5A3701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38CF2FD">
                  <w:pPr>
                    <w:pStyle w:val="149"/>
                    <w:rPr>
                      <w:rFonts w:eastAsia="Times New Roman"/>
                    </w:rPr>
                  </w:pPr>
                  <w:r>
                    <w:rPr>
                      <w:rFonts w:hint="eastAsia" w:ascii="宋体" w:hAnsi="宋体" w:eastAsia="宋体" w:cs="宋体"/>
                    </w:rPr>
                    <w:t>夜间</w:t>
                  </w:r>
                </w:p>
              </w:tc>
            </w:tr>
            <w:tr w14:paraId="448925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6A8F65B">
                  <w:pPr>
                    <w:pStyle w:val="149"/>
                    <w:rPr>
                      <w:rFonts w:eastAsia="Times New Roman"/>
                    </w:rPr>
                  </w:pPr>
                  <w:r>
                    <w:rPr>
                      <w:rFonts w:eastAsia="Times New Roman"/>
                    </w:rPr>
                    <w:t>143</w:t>
                  </w:r>
                </w:p>
              </w:tc>
              <w:tc>
                <w:tcPr>
                  <w:tcW w:w="848" w:type="pct"/>
                  <w:tcBorders>
                    <w:top w:val="single" w:color="auto" w:sz="4" w:space="0"/>
                    <w:left w:val="single" w:color="auto" w:sz="4" w:space="0"/>
                    <w:bottom w:val="single" w:color="auto" w:sz="4" w:space="0"/>
                    <w:right w:val="single" w:color="auto" w:sz="4" w:space="0"/>
                  </w:tcBorders>
                  <w:vAlign w:val="center"/>
                </w:tcPr>
                <w:p w14:paraId="688F5DE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AA49E94">
                  <w:pPr>
                    <w:pStyle w:val="149"/>
                    <w:rPr>
                      <w:rFonts w:eastAsia="Times New Roman"/>
                    </w:rPr>
                  </w:pPr>
                  <w:r>
                    <w:rPr>
                      <w:rFonts w:hint="eastAsia" w:eastAsia="Times New Roman"/>
                    </w:rPr>
                    <w:t>114.34</w:t>
                  </w:r>
                </w:p>
              </w:tc>
              <w:tc>
                <w:tcPr>
                  <w:tcW w:w="440" w:type="pct"/>
                  <w:tcBorders>
                    <w:top w:val="single" w:color="auto" w:sz="4" w:space="0"/>
                    <w:left w:val="single" w:color="auto" w:sz="4" w:space="0"/>
                    <w:bottom w:val="single" w:color="auto" w:sz="4" w:space="0"/>
                    <w:right w:val="single" w:color="auto" w:sz="4" w:space="0"/>
                  </w:tcBorders>
                  <w:vAlign w:val="center"/>
                </w:tcPr>
                <w:p w14:paraId="7740D912">
                  <w:pPr>
                    <w:pStyle w:val="149"/>
                    <w:rPr>
                      <w:rFonts w:eastAsia="Times New Roman"/>
                    </w:rPr>
                  </w:pPr>
                  <w:r>
                    <w:rPr>
                      <w:rFonts w:hint="eastAsia" w:eastAsia="Times New Roman"/>
                    </w:rPr>
                    <w:t>47.36</w:t>
                  </w:r>
                </w:p>
              </w:tc>
              <w:tc>
                <w:tcPr>
                  <w:tcW w:w="457" w:type="pct"/>
                  <w:tcBorders>
                    <w:top w:val="single" w:color="auto" w:sz="4" w:space="0"/>
                    <w:left w:val="single" w:color="auto" w:sz="4" w:space="0"/>
                    <w:bottom w:val="single" w:color="auto" w:sz="4" w:space="0"/>
                    <w:right w:val="single" w:color="auto" w:sz="4" w:space="0"/>
                  </w:tcBorders>
                  <w:vAlign w:val="center"/>
                </w:tcPr>
                <w:p w14:paraId="5C4C5CB9">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D97BAE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8AE519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CC447DE">
                  <w:pPr>
                    <w:pStyle w:val="149"/>
                    <w:rPr>
                      <w:rFonts w:eastAsia="Times New Roman"/>
                    </w:rPr>
                  </w:pPr>
                  <w:r>
                    <w:rPr>
                      <w:rFonts w:hint="eastAsia" w:ascii="宋体" w:hAnsi="宋体" w:eastAsia="宋体" w:cs="宋体"/>
                    </w:rPr>
                    <w:t>昼间</w:t>
                  </w:r>
                </w:p>
              </w:tc>
            </w:tr>
            <w:tr w14:paraId="416119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DEFA885">
                  <w:pPr>
                    <w:pStyle w:val="149"/>
                    <w:rPr>
                      <w:rFonts w:eastAsia="Times New Roman"/>
                    </w:rPr>
                  </w:pPr>
                  <w:r>
                    <w:rPr>
                      <w:rFonts w:eastAsia="Times New Roman"/>
                    </w:rPr>
                    <w:t>144</w:t>
                  </w:r>
                </w:p>
              </w:tc>
              <w:tc>
                <w:tcPr>
                  <w:tcW w:w="848" w:type="pct"/>
                  <w:tcBorders>
                    <w:top w:val="single" w:color="auto" w:sz="4" w:space="0"/>
                    <w:left w:val="single" w:color="auto" w:sz="4" w:space="0"/>
                    <w:bottom w:val="single" w:color="auto" w:sz="4" w:space="0"/>
                    <w:right w:val="single" w:color="auto" w:sz="4" w:space="0"/>
                  </w:tcBorders>
                  <w:vAlign w:val="center"/>
                </w:tcPr>
                <w:p w14:paraId="43F0AC56">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BF5A634">
                  <w:pPr>
                    <w:pStyle w:val="149"/>
                    <w:rPr>
                      <w:rFonts w:eastAsia="Times New Roman"/>
                    </w:rPr>
                  </w:pPr>
                  <w:r>
                    <w:rPr>
                      <w:rFonts w:hint="eastAsia" w:eastAsia="Times New Roman"/>
                    </w:rPr>
                    <w:t>114.34</w:t>
                  </w:r>
                </w:p>
              </w:tc>
              <w:tc>
                <w:tcPr>
                  <w:tcW w:w="440" w:type="pct"/>
                  <w:tcBorders>
                    <w:top w:val="single" w:color="auto" w:sz="4" w:space="0"/>
                    <w:left w:val="single" w:color="auto" w:sz="4" w:space="0"/>
                    <w:bottom w:val="single" w:color="auto" w:sz="4" w:space="0"/>
                    <w:right w:val="single" w:color="auto" w:sz="4" w:space="0"/>
                  </w:tcBorders>
                  <w:vAlign w:val="center"/>
                </w:tcPr>
                <w:p w14:paraId="02095E71">
                  <w:pPr>
                    <w:pStyle w:val="149"/>
                    <w:rPr>
                      <w:rFonts w:eastAsia="Times New Roman"/>
                    </w:rPr>
                  </w:pPr>
                  <w:r>
                    <w:rPr>
                      <w:rFonts w:hint="eastAsia" w:eastAsia="Times New Roman"/>
                    </w:rPr>
                    <w:t>47.36</w:t>
                  </w:r>
                </w:p>
              </w:tc>
              <w:tc>
                <w:tcPr>
                  <w:tcW w:w="457" w:type="pct"/>
                  <w:tcBorders>
                    <w:top w:val="single" w:color="auto" w:sz="4" w:space="0"/>
                    <w:left w:val="single" w:color="auto" w:sz="4" w:space="0"/>
                    <w:bottom w:val="single" w:color="auto" w:sz="4" w:space="0"/>
                    <w:right w:val="single" w:color="auto" w:sz="4" w:space="0"/>
                  </w:tcBorders>
                  <w:vAlign w:val="center"/>
                </w:tcPr>
                <w:p w14:paraId="08ED3F4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207ECE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DB2E19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B1D2E05">
                  <w:pPr>
                    <w:pStyle w:val="149"/>
                    <w:rPr>
                      <w:rFonts w:eastAsia="Times New Roman"/>
                    </w:rPr>
                  </w:pPr>
                  <w:r>
                    <w:rPr>
                      <w:rFonts w:hint="eastAsia" w:ascii="宋体" w:hAnsi="宋体" w:eastAsia="宋体" w:cs="宋体"/>
                    </w:rPr>
                    <w:t>夜间</w:t>
                  </w:r>
                </w:p>
              </w:tc>
            </w:tr>
            <w:tr w14:paraId="003AED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6A50129">
                  <w:pPr>
                    <w:pStyle w:val="149"/>
                    <w:rPr>
                      <w:rFonts w:eastAsia="Times New Roman"/>
                    </w:rPr>
                  </w:pPr>
                  <w:r>
                    <w:rPr>
                      <w:rFonts w:eastAsia="Times New Roman"/>
                    </w:rPr>
                    <w:t>145</w:t>
                  </w:r>
                </w:p>
              </w:tc>
              <w:tc>
                <w:tcPr>
                  <w:tcW w:w="848" w:type="pct"/>
                  <w:tcBorders>
                    <w:top w:val="single" w:color="auto" w:sz="4" w:space="0"/>
                    <w:left w:val="single" w:color="auto" w:sz="4" w:space="0"/>
                    <w:bottom w:val="single" w:color="auto" w:sz="4" w:space="0"/>
                    <w:right w:val="single" w:color="auto" w:sz="4" w:space="0"/>
                  </w:tcBorders>
                  <w:vAlign w:val="center"/>
                </w:tcPr>
                <w:p w14:paraId="2CFEDAAA">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7189399">
                  <w:pPr>
                    <w:pStyle w:val="149"/>
                    <w:rPr>
                      <w:rFonts w:eastAsia="Times New Roman"/>
                    </w:rPr>
                  </w:pPr>
                  <w:r>
                    <w:rPr>
                      <w:rFonts w:hint="eastAsia" w:eastAsia="Times New Roman"/>
                    </w:rPr>
                    <w:t>118.49</w:t>
                  </w:r>
                </w:p>
              </w:tc>
              <w:tc>
                <w:tcPr>
                  <w:tcW w:w="440" w:type="pct"/>
                  <w:tcBorders>
                    <w:top w:val="single" w:color="auto" w:sz="4" w:space="0"/>
                    <w:left w:val="single" w:color="auto" w:sz="4" w:space="0"/>
                    <w:bottom w:val="single" w:color="auto" w:sz="4" w:space="0"/>
                    <w:right w:val="single" w:color="auto" w:sz="4" w:space="0"/>
                  </w:tcBorders>
                  <w:vAlign w:val="center"/>
                </w:tcPr>
                <w:p w14:paraId="2A58A82D">
                  <w:pPr>
                    <w:pStyle w:val="149"/>
                    <w:rPr>
                      <w:rFonts w:eastAsia="Times New Roman"/>
                    </w:rPr>
                  </w:pPr>
                  <w:r>
                    <w:rPr>
                      <w:rFonts w:hint="eastAsia" w:eastAsia="Times New Roman"/>
                    </w:rPr>
                    <w:t>46.69</w:t>
                  </w:r>
                </w:p>
              </w:tc>
              <w:tc>
                <w:tcPr>
                  <w:tcW w:w="457" w:type="pct"/>
                  <w:tcBorders>
                    <w:top w:val="single" w:color="auto" w:sz="4" w:space="0"/>
                    <w:left w:val="single" w:color="auto" w:sz="4" w:space="0"/>
                    <w:bottom w:val="single" w:color="auto" w:sz="4" w:space="0"/>
                    <w:right w:val="single" w:color="auto" w:sz="4" w:space="0"/>
                  </w:tcBorders>
                  <w:vAlign w:val="center"/>
                </w:tcPr>
                <w:p w14:paraId="3F8496A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777D5C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B24744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A5CB53D">
                  <w:pPr>
                    <w:pStyle w:val="149"/>
                    <w:rPr>
                      <w:rFonts w:eastAsia="Times New Roman"/>
                    </w:rPr>
                  </w:pPr>
                  <w:r>
                    <w:rPr>
                      <w:rFonts w:hint="eastAsia" w:ascii="宋体" w:hAnsi="宋体" w:eastAsia="宋体" w:cs="宋体"/>
                    </w:rPr>
                    <w:t>昼间</w:t>
                  </w:r>
                </w:p>
              </w:tc>
            </w:tr>
            <w:tr w14:paraId="30C38B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8AA7544">
                  <w:pPr>
                    <w:pStyle w:val="149"/>
                    <w:rPr>
                      <w:rFonts w:eastAsia="Times New Roman"/>
                    </w:rPr>
                  </w:pPr>
                  <w:r>
                    <w:rPr>
                      <w:rFonts w:eastAsia="Times New Roman"/>
                    </w:rPr>
                    <w:t>146</w:t>
                  </w:r>
                </w:p>
              </w:tc>
              <w:tc>
                <w:tcPr>
                  <w:tcW w:w="848" w:type="pct"/>
                  <w:tcBorders>
                    <w:top w:val="single" w:color="auto" w:sz="4" w:space="0"/>
                    <w:left w:val="single" w:color="auto" w:sz="4" w:space="0"/>
                    <w:bottom w:val="single" w:color="auto" w:sz="4" w:space="0"/>
                    <w:right w:val="single" w:color="auto" w:sz="4" w:space="0"/>
                  </w:tcBorders>
                  <w:vAlign w:val="center"/>
                </w:tcPr>
                <w:p w14:paraId="6E65F7C0">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413D9E8">
                  <w:pPr>
                    <w:pStyle w:val="149"/>
                    <w:rPr>
                      <w:rFonts w:eastAsia="Times New Roman"/>
                    </w:rPr>
                  </w:pPr>
                  <w:r>
                    <w:rPr>
                      <w:rFonts w:hint="eastAsia" w:eastAsia="Times New Roman"/>
                    </w:rPr>
                    <w:t>118.49</w:t>
                  </w:r>
                </w:p>
              </w:tc>
              <w:tc>
                <w:tcPr>
                  <w:tcW w:w="440" w:type="pct"/>
                  <w:tcBorders>
                    <w:top w:val="single" w:color="auto" w:sz="4" w:space="0"/>
                    <w:left w:val="single" w:color="auto" w:sz="4" w:space="0"/>
                    <w:bottom w:val="single" w:color="auto" w:sz="4" w:space="0"/>
                    <w:right w:val="single" w:color="auto" w:sz="4" w:space="0"/>
                  </w:tcBorders>
                  <w:vAlign w:val="center"/>
                </w:tcPr>
                <w:p w14:paraId="42508827">
                  <w:pPr>
                    <w:pStyle w:val="149"/>
                    <w:rPr>
                      <w:rFonts w:eastAsia="Times New Roman"/>
                    </w:rPr>
                  </w:pPr>
                  <w:r>
                    <w:rPr>
                      <w:rFonts w:hint="eastAsia" w:eastAsia="Times New Roman"/>
                    </w:rPr>
                    <w:t>46.69</w:t>
                  </w:r>
                </w:p>
              </w:tc>
              <w:tc>
                <w:tcPr>
                  <w:tcW w:w="457" w:type="pct"/>
                  <w:tcBorders>
                    <w:top w:val="single" w:color="auto" w:sz="4" w:space="0"/>
                    <w:left w:val="single" w:color="auto" w:sz="4" w:space="0"/>
                    <w:bottom w:val="single" w:color="auto" w:sz="4" w:space="0"/>
                    <w:right w:val="single" w:color="auto" w:sz="4" w:space="0"/>
                  </w:tcBorders>
                  <w:vAlign w:val="center"/>
                </w:tcPr>
                <w:p w14:paraId="5A3E8E13">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CFBEC6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BEE782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85A02D8">
                  <w:pPr>
                    <w:pStyle w:val="149"/>
                    <w:rPr>
                      <w:rFonts w:eastAsia="Times New Roman"/>
                    </w:rPr>
                  </w:pPr>
                  <w:r>
                    <w:rPr>
                      <w:rFonts w:hint="eastAsia" w:ascii="宋体" w:hAnsi="宋体" w:eastAsia="宋体" w:cs="宋体"/>
                    </w:rPr>
                    <w:t>夜间</w:t>
                  </w:r>
                </w:p>
              </w:tc>
            </w:tr>
            <w:tr w14:paraId="348F6A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F02D935">
                  <w:pPr>
                    <w:pStyle w:val="149"/>
                    <w:rPr>
                      <w:rFonts w:eastAsia="Times New Roman"/>
                    </w:rPr>
                  </w:pPr>
                  <w:r>
                    <w:rPr>
                      <w:rFonts w:eastAsia="Times New Roman"/>
                    </w:rPr>
                    <w:t>147</w:t>
                  </w:r>
                </w:p>
              </w:tc>
              <w:tc>
                <w:tcPr>
                  <w:tcW w:w="848" w:type="pct"/>
                  <w:tcBorders>
                    <w:top w:val="single" w:color="auto" w:sz="4" w:space="0"/>
                    <w:left w:val="single" w:color="auto" w:sz="4" w:space="0"/>
                    <w:bottom w:val="single" w:color="auto" w:sz="4" w:space="0"/>
                    <w:right w:val="single" w:color="auto" w:sz="4" w:space="0"/>
                  </w:tcBorders>
                  <w:vAlign w:val="center"/>
                </w:tcPr>
                <w:p w14:paraId="7E7DAFD3">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5AD20EE">
                  <w:pPr>
                    <w:pStyle w:val="149"/>
                    <w:rPr>
                      <w:rFonts w:eastAsia="Times New Roman"/>
                    </w:rPr>
                  </w:pPr>
                  <w:r>
                    <w:rPr>
                      <w:rFonts w:hint="eastAsia" w:eastAsia="Times New Roman"/>
                    </w:rPr>
                    <w:t>122.85</w:t>
                  </w:r>
                </w:p>
              </w:tc>
              <w:tc>
                <w:tcPr>
                  <w:tcW w:w="440" w:type="pct"/>
                  <w:tcBorders>
                    <w:top w:val="single" w:color="auto" w:sz="4" w:space="0"/>
                    <w:left w:val="single" w:color="auto" w:sz="4" w:space="0"/>
                    <w:bottom w:val="single" w:color="auto" w:sz="4" w:space="0"/>
                    <w:right w:val="single" w:color="auto" w:sz="4" w:space="0"/>
                  </w:tcBorders>
                  <w:vAlign w:val="center"/>
                </w:tcPr>
                <w:p w14:paraId="4D5EC276">
                  <w:pPr>
                    <w:pStyle w:val="149"/>
                    <w:rPr>
                      <w:rFonts w:eastAsia="Times New Roman"/>
                    </w:rPr>
                  </w:pPr>
                  <w:r>
                    <w:rPr>
                      <w:rFonts w:hint="eastAsia" w:eastAsia="Times New Roman"/>
                    </w:rPr>
                    <w:t>45.79</w:t>
                  </w:r>
                </w:p>
              </w:tc>
              <w:tc>
                <w:tcPr>
                  <w:tcW w:w="457" w:type="pct"/>
                  <w:tcBorders>
                    <w:top w:val="single" w:color="auto" w:sz="4" w:space="0"/>
                    <w:left w:val="single" w:color="auto" w:sz="4" w:space="0"/>
                    <w:bottom w:val="single" w:color="auto" w:sz="4" w:space="0"/>
                    <w:right w:val="single" w:color="auto" w:sz="4" w:space="0"/>
                  </w:tcBorders>
                  <w:vAlign w:val="center"/>
                </w:tcPr>
                <w:p w14:paraId="6D8B0E3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2E745E9">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69A1E0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644565E">
                  <w:pPr>
                    <w:pStyle w:val="149"/>
                    <w:rPr>
                      <w:rFonts w:eastAsia="Times New Roman"/>
                    </w:rPr>
                  </w:pPr>
                  <w:r>
                    <w:rPr>
                      <w:rFonts w:hint="eastAsia" w:ascii="宋体" w:hAnsi="宋体" w:eastAsia="宋体" w:cs="宋体"/>
                    </w:rPr>
                    <w:t>昼间</w:t>
                  </w:r>
                </w:p>
              </w:tc>
            </w:tr>
            <w:tr w14:paraId="14E147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C4612CB">
                  <w:pPr>
                    <w:pStyle w:val="149"/>
                    <w:rPr>
                      <w:rFonts w:eastAsia="Times New Roman"/>
                    </w:rPr>
                  </w:pPr>
                  <w:r>
                    <w:rPr>
                      <w:rFonts w:eastAsia="Times New Roman"/>
                    </w:rPr>
                    <w:t>148</w:t>
                  </w:r>
                </w:p>
              </w:tc>
              <w:tc>
                <w:tcPr>
                  <w:tcW w:w="848" w:type="pct"/>
                  <w:tcBorders>
                    <w:top w:val="single" w:color="auto" w:sz="4" w:space="0"/>
                    <w:left w:val="single" w:color="auto" w:sz="4" w:space="0"/>
                    <w:bottom w:val="single" w:color="auto" w:sz="4" w:space="0"/>
                    <w:right w:val="single" w:color="auto" w:sz="4" w:space="0"/>
                  </w:tcBorders>
                  <w:vAlign w:val="center"/>
                </w:tcPr>
                <w:p w14:paraId="20C48C69">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2E90699">
                  <w:pPr>
                    <w:pStyle w:val="149"/>
                    <w:rPr>
                      <w:rFonts w:eastAsia="Times New Roman"/>
                    </w:rPr>
                  </w:pPr>
                  <w:r>
                    <w:rPr>
                      <w:rFonts w:hint="eastAsia" w:eastAsia="Times New Roman"/>
                    </w:rPr>
                    <w:t>122.85</w:t>
                  </w:r>
                </w:p>
              </w:tc>
              <w:tc>
                <w:tcPr>
                  <w:tcW w:w="440" w:type="pct"/>
                  <w:tcBorders>
                    <w:top w:val="single" w:color="auto" w:sz="4" w:space="0"/>
                    <w:left w:val="single" w:color="auto" w:sz="4" w:space="0"/>
                    <w:bottom w:val="single" w:color="auto" w:sz="4" w:space="0"/>
                    <w:right w:val="single" w:color="auto" w:sz="4" w:space="0"/>
                  </w:tcBorders>
                  <w:vAlign w:val="center"/>
                </w:tcPr>
                <w:p w14:paraId="6376B2D9">
                  <w:pPr>
                    <w:pStyle w:val="149"/>
                    <w:rPr>
                      <w:rFonts w:eastAsia="Times New Roman"/>
                    </w:rPr>
                  </w:pPr>
                  <w:r>
                    <w:rPr>
                      <w:rFonts w:hint="eastAsia" w:eastAsia="Times New Roman"/>
                    </w:rPr>
                    <w:t>45.79</w:t>
                  </w:r>
                </w:p>
              </w:tc>
              <w:tc>
                <w:tcPr>
                  <w:tcW w:w="457" w:type="pct"/>
                  <w:tcBorders>
                    <w:top w:val="single" w:color="auto" w:sz="4" w:space="0"/>
                    <w:left w:val="single" w:color="auto" w:sz="4" w:space="0"/>
                    <w:bottom w:val="single" w:color="auto" w:sz="4" w:space="0"/>
                    <w:right w:val="single" w:color="auto" w:sz="4" w:space="0"/>
                  </w:tcBorders>
                  <w:vAlign w:val="center"/>
                </w:tcPr>
                <w:p w14:paraId="1087BBD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C024EE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F6CB63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7331DEB">
                  <w:pPr>
                    <w:pStyle w:val="149"/>
                    <w:rPr>
                      <w:rFonts w:eastAsia="Times New Roman"/>
                    </w:rPr>
                  </w:pPr>
                  <w:r>
                    <w:rPr>
                      <w:rFonts w:hint="eastAsia" w:ascii="宋体" w:hAnsi="宋体" w:eastAsia="宋体" w:cs="宋体"/>
                    </w:rPr>
                    <w:t>夜间</w:t>
                  </w:r>
                </w:p>
              </w:tc>
            </w:tr>
            <w:tr w14:paraId="2F4465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1235EE9">
                  <w:pPr>
                    <w:pStyle w:val="149"/>
                    <w:rPr>
                      <w:rFonts w:eastAsia="Times New Roman"/>
                    </w:rPr>
                  </w:pPr>
                  <w:r>
                    <w:rPr>
                      <w:rFonts w:eastAsia="Times New Roman"/>
                    </w:rPr>
                    <w:t>149</w:t>
                  </w:r>
                </w:p>
              </w:tc>
              <w:tc>
                <w:tcPr>
                  <w:tcW w:w="848" w:type="pct"/>
                  <w:tcBorders>
                    <w:top w:val="single" w:color="auto" w:sz="4" w:space="0"/>
                    <w:left w:val="single" w:color="auto" w:sz="4" w:space="0"/>
                    <w:bottom w:val="single" w:color="auto" w:sz="4" w:space="0"/>
                    <w:right w:val="single" w:color="auto" w:sz="4" w:space="0"/>
                  </w:tcBorders>
                  <w:vAlign w:val="center"/>
                </w:tcPr>
                <w:p w14:paraId="37217677">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02E0A02">
                  <w:pPr>
                    <w:pStyle w:val="149"/>
                    <w:rPr>
                      <w:rFonts w:eastAsia="Times New Roman"/>
                    </w:rPr>
                  </w:pPr>
                  <w:r>
                    <w:rPr>
                      <w:rFonts w:hint="eastAsia" w:eastAsia="Times New Roman"/>
                    </w:rPr>
                    <w:t>119.44</w:t>
                  </w:r>
                </w:p>
              </w:tc>
              <w:tc>
                <w:tcPr>
                  <w:tcW w:w="440" w:type="pct"/>
                  <w:tcBorders>
                    <w:top w:val="single" w:color="auto" w:sz="4" w:space="0"/>
                    <w:left w:val="single" w:color="auto" w:sz="4" w:space="0"/>
                    <w:bottom w:val="single" w:color="auto" w:sz="4" w:space="0"/>
                    <w:right w:val="single" w:color="auto" w:sz="4" w:space="0"/>
                  </w:tcBorders>
                  <w:vAlign w:val="center"/>
                </w:tcPr>
                <w:p w14:paraId="4D762992">
                  <w:pPr>
                    <w:pStyle w:val="149"/>
                    <w:rPr>
                      <w:rFonts w:eastAsia="Times New Roman"/>
                    </w:rPr>
                  </w:pPr>
                  <w:r>
                    <w:rPr>
                      <w:rFonts w:hint="eastAsia" w:eastAsia="Times New Roman"/>
                    </w:rPr>
                    <w:t>41.25</w:t>
                  </w:r>
                </w:p>
              </w:tc>
              <w:tc>
                <w:tcPr>
                  <w:tcW w:w="457" w:type="pct"/>
                  <w:tcBorders>
                    <w:top w:val="single" w:color="auto" w:sz="4" w:space="0"/>
                    <w:left w:val="single" w:color="auto" w:sz="4" w:space="0"/>
                    <w:bottom w:val="single" w:color="auto" w:sz="4" w:space="0"/>
                    <w:right w:val="single" w:color="auto" w:sz="4" w:space="0"/>
                  </w:tcBorders>
                  <w:vAlign w:val="center"/>
                </w:tcPr>
                <w:p w14:paraId="74F9EBE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0F939C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ABB139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CC6E1E5">
                  <w:pPr>
                    <w:pStyle w:val="149"/>
                    <w:rPr>
                      <w:rFonts w:eastAsia="Times New Roman"/>
                    </w:rPr>
                  </w:pPr>
                  <w:r>
                    <w:rPr>
                      <w:rFonts w:hint="eastAsia" w:ascii="宋体" w:hAnsi="宋体" w:eastAsia="宋体" w:cs="宋体"/>
                    </w:rPr>
                    <w:t>昼间</w:t>
                  </w:r>
                </w:p>
              </w:tc>
            </w:tr>
            <w:tr w14:paraId="155EFC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CE3EEC6">
                  <w:pPr>
                    <w:pStyle w:val="149"/>
                    <w:rPr>
                      <w:rFonts w:eastAsia="Times New Roman"/>
                    </w:rPr>
                  </w:pPr>
                  <w:r>
                    <w:rPr>
                      <w:rFonts w:eastAsia="Times New Roman"/>
                    </w:rPr>
                    <w:t>150</w:t>
                  </w:r>
                </w:p>
              </w:tc>
              <w:tc>
                <w:tcPr>
                  <w:tcW w:w="848" w:type="pct"/>
                  <w:tcBorders>
                    <w:top w:val="single" w:color="auto" w:sz="4" w:space="0"/>
                    <w:left w:val="single" w:color="auto" w:sz="4" w:space="0"/>
                    <w:bottom w:val="single" w:color="auto" w:sz="4" w:space="0"/>
                    <w:right w:val="single" w:color="auto" w:sz="4" w:space="0"/>
                  </w:tcBorders>
                  <w:vAlign w:val="center"/>
                </w:tcPr>
                <w:p w14:paraId="3D39CB5B">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6D45B85">
                  <w:pPr>
                    <w:pStyle w:val="149"/>
                    <w:rPr>
                      <w:rFonts w:eastAsia="Times New Roman"/>
                    </w:rPr>
                  </w:pPr>
                  <w:r>
                    <w:rPr>
                      <w:rFonts w:hint="eastAsia" w:eastAsia="Times New Roman"/>
                    </w:rPr>
                    <w:t>119.44</w:t>
                  </w:r>
                </w:p>
              </w:tc>
              <w:tc>
                <w:tcPr>
                  <w:tcW w:w="440" w:type="pct"/>
                  <w:tcBorders>
                    <w:top w:val="single" w:color="auto" w:sz="4" w:space="0"/>
                    <w:left w:val="single" w:color="auto" w:sz="4" w:space="0"/>
                    <w:bottom w:val="single" w:color="auto" w:sz="4" w:space="0"/>
                    <w:right w:val="single" w:color="auto" w:sz="4" w:space="0"/>
                  </w:tcBorders>
                  <w:vAlign w:val="center"/>
                </w:tcPr>
                <w:p w14:paraId="6AB6276C">
                  <w:pPr>
                    <w:pStyle w:val="149"/>
                    <w:rPr>
                      <w:rFonts w:eastAsia="Times New Roman"/>
                    </w:rPr>
                  </w:pPr>
                  <w:r>
                    <w:rPr>
                      <w:rFonts w:hint="eastAsia" w:eastAsia="Times New Roman"/>
                    </w:rPr>
                    <w:t>41.25</w:t>
                  </w:r>
                </w:p>
              </w:tc>
              <w:tc>
                <w:tcPr>
                  <w:tcW w:w="457" w:type="pct"/>
                  <w:tcBorders>
                    <w:top w:val="single" w:color="auto" w:sz="4" w:space="0"/>
                    <w:left w:val="single" w:color="auto" w:sz="4" w:space="0"/>
                    <w:bottom w:val="single" w:color="auto" w:sz="4" w:space="0"/>
                    <w:right w:val="single" w:color="auto" w:sz="4" w:space="0"/>
                  </w:tcBorders>
                  <w:vAlign w:val="center"/>
                </w:tcPr>
                <w:p w14:paraId="68FF6F9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417B4A9">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791F42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87BAD98">
                  <w:pPr>
                    <w:pStyle w:val="149"/>
                    <w:rPr>
                      <w:rFonts w:eastAsia="Times New Roman"/>
                    </w:rPr>
                  </w:pPr>
                  <w:r>
                    <w:rPr>
                      <w:rFonts w:hint="eastAsia" w:ascii="宋体" w:hAnsi="宋体" w:eastAsia="宋体" w:cs="宋体"/>
                    </w:rPr>
                    <w:t>夜间</w:t>
                  </w:r>
                </w:p>
              </w:tc>
            </w:tr>
            <w:tr w14:paraId="201125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8555F30">
                  <w:pPr>
                    <w:pStyle w:val="149"/>
                    <w:rPr>
                      <w:rFonts w:eastAsia="Times New Roman"/>
                    </w:rPr>
                  </w:pPr>
                  <w:r>
                    <w:rPr>
                      <w:rFonts w:eastAsia="Times New Roman"/>
                    </w:rPr>
                    <w:t>151</w:t>
                  </w:r>
                </w:p>
              </w:tc>
              <w:tc>
                <w:tcPr>
                  <w:tcW w:w="848" w:type="pct"/>
                  <w:tcBorders>
                    <w:top w:val="single" w:color="auto" w:sz="4" w:space="0"/>
                    <w:left w:val="single" w:color="auto" w:sz="4" w:space="0"/>
                    <w:bottom w:val="single" w:color="auto" w:sz="4" w:space="0"/>
                    <w:right w:val="single" w:color="auto" w:sz="4" w:space="0"/>
                  </w:tcBorders>
                  <w:vAlign w:val="center"/>
                </w:tcPr>
                <w:p w14:paraId="71E981ED">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38F77B6">
                  <w:pPr>
                    <w:pStyle w:val="149"/>
                    <w:rPr>
                      <w:rFonts w:eastAsia="Times New Roman"/>
                    </w:rPr>
                  </w:pPr>
                  <w:r>
                    <w:rPr>
                      <w:rFonts w:hint="eastAsia" w:eastAsia="Times New Roman"/>
                    </w:rPr>
                    <w:t>101.18</w:t>
                  </w:r>
                </w:p>
              </w:tc>
              <w:tc>
                <w:tcPr>
                  <w:tcW w:w="440" w:type="pct"/>
                  <w:tcBorders>
                    <w:top w:val="single" w:color="auto" w:sz="4" w:space="0"/>
                    <w:left w:val="single" w:color="auto" w:sz="4" w:space="0"/>
                    <w:bottom w:val="single" w:color="auto" w:sz="4" w:space="0"/>
                    <w:right w:val="single" w:color="auto" w:sz="4" w:space="0"/>
                  </w:tcBorders>
                  <w:vAlign w:val="center"/>
                </w:tcPr>
                <w:p w14:paraId="720B2D6B">
                  <w:pPr>
                    <w:pStyle w:val="149"/>
                    <w:rPr>
                      <w:rFonts w:eastAsia="Times New Roman"/>
                    </w:rPr>
                  </w:pPr>
                  <w:r>
                    <w:rPr>
                      <w:rFonts w:hint="eastAsia" w:eastAsia="Times New Roman"/>
                    </w:rPr>
                    <w:t>44.8</w:t>
                  </w:r>
                </w:p>
              </w:tc>
              <w:tc>
                <w:tcPr>
                  <w:tcW w:w="457" w:type="pct"/>
                  <w:tcBorders>
                    <w:top w:val="single" w:color="auto" w:sz="4" w:space="0"/>
                    <w:left w:val="single" w:color="auto" w:sz="4" w:space="0"/>
                    <w:bottom w:val="single" w:color="auto" w:sz="4" w:space="0"/>
                    <w:right w:val="single" w:color="auto" w:sz="4" w:space="0"/>
                  </w:tcBorders>
                  <w:vAlign w:val="center"/>
                </w:tcPr>
                <w:p w14:paraId="6EC717C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983A428">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4F1E16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FE74E00">
                  <w:pPr>
                    <w:pStyle w:val="149"/>
                    <w:rPr>
                      <w:rFonts w:eastAsia="Times New Roman"/>
                    </w:rPr>
                  </w:pPr>
                  <w:r>
                    <w:rPr>
                      <w:rFonts w:hint="eastAsia" w:ascii="宋体" w:hAnsi="宋体" w:eastAsia="宋体" w:cs="宋体"/>
                    </w:rPr>
                    <w:t>昼间</w:t>
                  </w:r>
                </w:p>
              </w:tc>
            </w:tr>
            <w:tr w14:paraId="2B3099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BF8DF8E">
                  <w:pPr>
                    <w:pStyle w:val="149"/>
                    <w:rPr>
                      <w:rFonts w:eastAsia="Times New Roman"/>
                    </w:rPr>
                  </w:pPr>
                  <w:r>
                    <w:rPr>
                      <w:rFonts w:eastAsia="Times New Roman"/>
                    </w:rPr>
                    <w:t>152</w:t>
                  </w:r>
                </w:p>
              </w:tc>
              <w:tc>
                <w:tcPr>
                  <w:tcW w:w="848" w:type="pct"/>
                  <w:tcBorders>
                    <w:top w:val="single" w:color="auto" w:sz="4" w:space="0"/>
                    <w:left w:val="single" w:color="auto" w:sz="4" w:space="0"/>
                    <w:bottom w:val="single" w:color="auto" w:sz="4" w:space="0"/>
                    <w:right w:val="single" w:color="auto" w:sz="4" w:space="0"/>
                  </w:tcBorders>
                  <w:vAlign w:val="center"/>
                </w:tcPr>
                <w:p w14:paraId="1637FE71">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650C9AB">
                  <w:pPr>
                    <w:pStyle w:val="149"/>
                    <w:rPr>
                      <w:rFonts w:eastAsia="Times New Roman"/>
                    </w:rPr>
                  </w:pPr>
                  <w:r>
                    <w:rPr>
                      <w:rFonts w:hint="eastAsia" w:eastAsia="Times New Roman"/>
                    </w:rPr>
                    <w:t>101.18</w:t>
                  </w:r>
                </w:p>
              </w:tc>
              <w:tc>
                <w:tcPr>
                  <w:tcW w:w="440" w:type="pct"/>
                  <w:tcBorders>
                    <w:top w:val="single" w:color="auto" w:sz="4" w:space="0"/>
                    <w:left w:val="single" w:color="auto" w:sz="4" w:space="0"/>
                    <w:bottom w:val="single" w:color="auto" w:sz="4" w:space="0"/>
                    <w:right w:val="single" w:color="auto" w:sz="4" w:space="0"/>
                  </w:tcBorders>
                  <w:vAlign w:val="center"/>
                </w:tcPr>
                <w:p w14:paraId="71A4EB32">
                  <w:pPr>
                    <w:pStyle w:val="149"/>
                    <w:rPr>
                      <w:rFonts w:eastAsia="Times New Roman"/>
                    </w:rPr>
                  </w:pPr>
                  <w:r>
                    <w:rPr>
                      <w:rFonts w:hint="eastAsia" w:eastAsia="Times New Roman"/>
                    </w:rPr>
                    <w:t>44.8</w:t>
                  </w:r>
                </w:p>
              </w:tc>
              <w:tc>
                <w:tcPr>
                  <w:tcW w:w="457" w:type="pct"/>
                  <w:tcBorders>
                    <w:top w:val="single" w:color="auto" w:sz="4" w:space="0"/>
                    <w:left w:val="single" w:color="auto" w:sz="4" w:space="0"/>
                    <w:bottom w:val="single" w:color="auto" w:sz="4" w:space="0"/>
                    <w:right w:val="single" w:color="auto" w:sz="4" w:space="0"/>
                  </w:tcBorders>
                  <w:vAlign w:val="center"/>
                </w:tcPr>
                <w:p w14:paraId="3F57349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8101DC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10EEBD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975FCDA">
                  <w:pPr>
                    <w:pStyle w:val="149"/>
                    <w:rPr>
                      <w:rFonts w:eastAsia="Times New Roman"/>
                    </w:rPr>
                  </w:pPr>
                  <w:r>
                    <w:rPr>
                      <w:rFonts w:hint="eastAsia" w:ascii="宋体" w:hAnsi="宋体" w:eastAsia="宋体" w:cs="宋体"/>
                    </w:rPr>
                    <w:t>夜间</w:t>
                  </w:r>
                </w:p>
              </w:tc>
            </w:tr>
            <w:tr w14:paraId="65594E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3840601">
                  <w:pPr>
                    <w:pStyle w:val="149"/>
                    <w:rPr>
                      <w:rFonts w:eastAsia="Times New Roman"/>
                    </w:rPr>
                  </w:pPr>
                  <w:r>
                    <w:rPr>
                      <w:rFonts w:eastAsia="Times New Roman"/>
                    </w:rPr>
                    <w:t>153</w:t>
                  </w:r>
                </w:p>
              </w:tc>
              <w:tc>
                <w:tcPr>
                  <w:tcW w:w="848" w:type="pct"/>
                  <w:tcBorders>
                    <w:top w:val="single" w:color="auto" w:sz="4" w:space="0"/>
                    <w:left w:val="single" w:color="auto" w:sz="4" w:space="0"/>
                    <w:bottom w:val="single" w:color="auto" w:sz="4" w:space="0"/>
                    <w:right w:val="single" w:color="auto" w:sz="4" w:space="0"/>
                  </w:tcBorders>
                  <w:vAlign w:val="center"/>
                </w:tcPr>
                <w:p w14:paraId="1BF8F800">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33FF4CF9">
                  <w:pPr>
                    <w:pStyle w:val="149"/>
                    <w:rPr>
                      <w:rFonts w:eastAsia="Times New Roman"/>
                    </w:rPr>
                  </w:pPr>
                  <w:r>
                    <w:rPr>
                      <w:rFonts w:hint="eastAsia" w:eastAsia="Times New Roman"/>
                    </w:rPr>
                    <w:t>110.98</w:t>
                  </w:r>
                </w:p>
              </w:tc>
              <w:tc>
                <w:tcPr>
                  <w:tcW w:w="440" w:type="pct"/>
                  <w:tcBorders>
                    <w:top w:val="single" w:color="auto" w:sz="4" w:space="0"/>
                    <w:left w:val="single" w:color="auto" w:sz="4" w:space="0"/>
                    <w:bottom w:val="single" w:color="auto" w:sz="4" w:space="0"/>
                    <w:right w:val="single" w:color="auto" w:sz="4" w:space="0"/>
                  </w:tcBorders>
                  <w:vAlign w:val="center"/>
                </w:tcPr>
                <w:p w14:paraId="590634F5">
                  <w:pPr>
                    <w:pStyle w:val="149"/>
                    <w:rPr>
                      <w:rFonts w:eastAsia="Times New Roman"/>
                    </w:rPr>
                  </w:pPr>
                  <w:r>
                    <w:rPr>
                      <w:rFonts w:hint="eastAsia" w:eastAsia="Times New Roman"/>
                    </w:rPr>
                    <w:t>42.93</w:t>
                  </w:r>
                </w:p>
              </w:tc>
              <w:tc>
                <w:tcPr>
                  <w:tcW w:w="457" w:type="pct"/>
                  <w:tcBorders>
                    <w:top w:val="single" w:color="auto" w:sz="4" w:space="0"/>
                    <w:left w:val="single" w:color="auto" w:sz="4" w:space="0"/>
                    <w:bottom w:val="single" w:color="auto" w:sz="4" w:space="0"/>
                    <w:right w:val="single" w:color="auto" w:sz="4" w:space="0"/>
                  </w:tcBorders>
                  <w:vAlign w:val="center"/>
                </w:tcPr>
                <w:p w14:paraId="2E30627D">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FE9414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6FDE8FF">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735D016">
                  <w:pPr>
                    <w:pStyle w:val="149"/>
                    <w:rPr>
                      <w:rFonts w:eastAsia="Times New Roman"/>
                    </w:rPr>
                  </w:pPr>
                  <w:r>
                    <w:rPr>
                      <w:rFonts w:hint="eastAsia" w:ascii="宋体" w:hAnsi="宋体" w:eastAsia="宋体" w:cs="宋体"/>
                    </w:rPr>
                    <w:t>昼间</w:t>
                  </w:r>
                </w:p>
              </w:tc>
            </w:tr>
            <w:tr w14:paraId="45FFE1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EBE5D79">
                  <w:pPr>
                    <w:pStyle w:val="149"/>
                    <w:rPr>
                      <w:rFonts w:eastAsia="Times New Roman"/>
                    </w:rPr>
                  </w:pPr>
                  <w:r>
                    <w:rPr>
                      <w:rFonts w:eastAsia="Times New Roman"/>
                    </w:rPr>
                    <w:t>154</w:t>
                  </w:r>
                </w:p>
              </w:tc>
              <w:tc>
                <w:tcPr>
                  <w:tcW w:w="848" w:type="pct"/>
                  <w:tcBorders>
                    <w:top w:val="single" w:color="auto" w:sz="4" w:space="0"/>
                    <w:left w:val="single" w:color="auto" w:sz="4" w:space="0"/>
                    <w:bottom w:val="single" w:color="auto" w:sz="4" w:space="0"/>
                    <w:right w:val="single" w:color="auto" w:sz="4" w:space="0"/>
                  </w:tcBorders>
                  <w:vAlign w:val="center"/>
                </w:tcPr>
                <w:p w14:paraId="15ABC03E">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63C2EC3A">
                  <w:pPr>
                    <w:pStyle w:val="149"/>
                    <w:rPr>
                      <w:rFonts w:eastAsia="Times New Roman"/>
                    </w:rPr>
                  </w:pPr>
                  <w:r>
                    <w:rPr>
                      <w:rFonts w:hint="eastAsia" w:eastAsia="Times New Roman"/>
                    </w:rPr>
                    <w:t>110.98</w:t>
                  </w:r>
                </w:p>
              </w:tc>
              <w:tc>
                <w:tcPr>
                  <w:tcW w:w="440" w:type="pct"/>
                  <w:tcBorders>
                    <w:top w:val="single" w:color="auto" w:sz="4" w:space="0"/>
                    <w:left w:val="single" w:color="auto" w:sz="4" w:space="0"/>
                    <w:bottom w:val="single" w:color="auto" w:sz="4" w:space="0"/>
                    <w:right w:val="single" w:color="auto" w:sz="4" w:space="0"/>
                  </w:tcBorders>
                  <w:vAlign w:val="center"/>
                </w:tcPr>
                <w:p w14:paraId="6BEE02B8">
                  <w:pPr>
                    <w:pStyle w:val="149"/>
                    <w:rPr>
                      <w:rFonts w:eastAsia="Times New Roman"/>
                    </w:rPr>
                  </w:pPr>
                  <w:r>
                    <w:rPr>
                      <w:rFonts w:hint="eastAsia" w:eastAsia="Times New Roman"/>
                    </w:rPr>
                    <w:t>42.93</w:t>
                  </w:r>
                </w:p>
              </w:tc>
              <w:tc>
                <w:tcPr>
                  <w:tcW w:w="457" w:type="pct"/>
                  <w:tcBorders>
                    <w:top w:val="single" w:color="auto" w:sz="4" w:space="0"/>
                    <w:left w:val="single" w:color="auto" w:sz="4" w:space="0"/>
                    <w:bottom w:val="single" w:color="auto" w:sz="4" w:space="0"/>
                    <w:right w:val="single" w:color="auto" w:sz="4" w:space="0"/>
                  </w:tcBorders>
                  <w:vAlign w:val="center"/>
                </w:tcPr>
                <w:p w14:paraId="79A4782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78C441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616AB3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ACF4C8C">
                  <w:pPr>
                    <w:pStyle w:val="149"/>
                    <w:rPr>
                      <w:rFonts w:eastAsia="Times New Roman"/>
                    </w:rPr>
                  </w:pPr>
                  <w:r>
                    <w:rPr>
                      <w:rFonts w:hint="eastAsia" w:ascii="宋体" w:hAnsi="宋体" w:eastAsia="宋体" w:cs="宋体"/>
                    </w:rPr>
                    <w:t>夜间</w:t>
                  </w:r>
                </w:p>
              </w:tc>
            </w:tr>
            <w:tr w14:paraId="17E17C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4BAF49F">
                  <w:pPr>
                    <w:pStyle w:val="149"/>
                    <w:rPr>
                      <w:rFonts w:eastAsia="Times New Roman"/>
                    </w:rPr>
                  </w:pPr>
                  <w:r>
                    <w:rPr>
                      <w:rFonts w:eastAsia="Times New Roman"/>
                    </w:rPr>
                    <w:t>155</w:t>
                  </w:r>
                </w:p>
              </w:tc>
              <w:tc>
                <w:tcPr>
                  <w:tcW w:w="848" w:type="pct"/>
                  <w:tcBorders>
                    <w:top w:val="single" w:color="auto" w:sz="4" w:space="0"/>
                    <w:left w:val="single" w:color="auto" w:sz="4" w:space="0"/>
                    <w:bottom w:val="single" w:color="auto" w:sz="4" w:space="0"/>
                    <w:right w:val="single" w:color="auto" w:sz="4" w:space="0"/>
                  </w:tcBorders>
                  <w:vAlign w:val="center"/>
                </w:tcPr>
                <w:p w14:paraId="68D0AC3A">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78EC2CA8">
                  <w:pPr>
                    <w:pStyle w:val="149"/>
                    <w:rPr>
                      <w:rFonts w:eastAsia="Times New Roman"/>
                    </w:rPr>
                  </w:pPr>
                  <w:r>
                    <w:rPr>
                      <w:rFonts w:hint="eastAsia" w:eastAsia="Times New Roman"/>
                    </w:rPr>
                    <w:t>60.1</w:t>
                  </w:r>
                </w:p>
              </w:tc>
              <w:tc>
                <w:tcPr>
                  <w:tcW w:w="440" w:type="pct"/>
                  <w:tcBorders>
                    <w:top w:val="single" w:color="auto" w:sz="4" w:space="0"/>
                    <w:left w:val="single" w:color="auto" w:sz="4" w:space="0"/>
                    <w:bottom w:val="single" w:color="auto" w:sz="4" w:space="0"/>
                    <w:right w:val="single" w:color="auto" w:sz="4" w:space="0"/>
                  </w:tcBorders>
                  <w:vAlign w:val="center"/>
                </w:tcPr>
                <w:p w14:paraId="1D33AD17">
                  <w:pPr>
                    <w:pStyle w:val="149"/>
                    <w:rPr>
                      <w:rFonts w:eastAsia="Times New Roman"/>
                    </w:rPr>
                  </w:pPr>
                  <w:r>
                    <w:rPr>
                      <w:rFonts w:hint="eastAsia" w:eastAsia="Times New Roman"/>
                    </w:rPr>
                    <w:t>54.13</w:t>
                  </w:r>
                </w:p>
              </w:tc>
              <w:tc>
                <w:tcPr>
                  <w:tcW w:w="457" w:type="pct"/>
                  <w:tcBorders>
                    <w:top w:val="single" w:color="auto" w:sz="4" w:space="0"/>
                    <w:left w:val="single" w:color="auto" w:sz="4" w:space="0"/>
                    <w:bottom w:val="single" w:color="auto" w:sz="4" w:space="0"/>
                    <w:right w:val="single" w:color="auto" w:sz="4" w:space="0"/>
                  </w:tcBorders>
                  <w:vAlign w:val="center"/>
                </w:tcPr>
                <w:p w14:paraId="50456149">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4B63C09">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D60FE0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3F33C5B">
                  <w:pPr>
                    <w:pStyle w:val="149"/>
                    <w:rPr>
                      <w:rFonts w:eastAsia="Times New Roman"/>
                    </w:rPr>
                  </w:pPr>
                  <w:r>
                    <w:rPr>
                      <w:rFonts w:hint="eastAsia" w:ascii="宋体" w:hAnsi="宋体" w:eastAsia="宋体" w:cs="宋体"/>
                    </w:rPr>
                    <w:t>昼间</w:t>
                  </w:r>
                </w:p>
              </w:tc>
            </w:tr>
            <w:tr w14:paraId="0C7754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2CB345D">
                  <w:pPr>
                    <w:pStyle w:val="149"/>
                    <w:rPr>
                      <w:rFonts w:eastAsia="Times New Roman"/>
                    </w:rPr>
                  </w:pPr>
                  <w:r>
                    <w:rPr>
                      <w:rFonts w:eastAsia="Times New Roman"/>
                    </w:rPr>
                    <w:t>156</w:t>
                  </w:r>
                </w:p>
              </w:tc>
              <w:tc>
                <w:tcPr>
                  <w:tcW w:w="848" w:type="pct"/>
                  <w:tcBorders>
                    <w:top w:val="single" w:color="auto" w:sz="4" w:space="0"/>
                    <w:left w:val="single" w:color="auto" w:sz="4" w:space="0"/>
                    <w:bottom w:val="single" w:color="auto" w:sz="4" w:space="0"/>
                    <w:right w:val="single" w:color="auto" w:sz="4" w:space="0"/>
                  </w:tcBorders>
                  <w:vAlign w:val="center"/>
                </w:tcPr>
                <w:p w14:paraId="059DE89C">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4802F23">
                  <w:pPr>
                    <w:pStyle w:val="149"/>
                    <w:rPr>
                      <w:rFonts w:eastAsia="Times New Roman"/>
                    </w:rPr>
                  </w:pPr>
                  <w:r>
                    <w:rPr>
                      <w:rFonts w:hint="eastAsia" w:eastAsia="Times New Roman"/>
                    </w:rPr>
                    <w:t>60.1</w:t>
                  </w:r>
                </w:p>
              </w:tc>
              <w:tc>
                <w:tcPr>
                  <w:tcW w:w="440" w:type="pct"/>
                  <w:tcBorders>
                    <w:top w:val="single" w:color="auto" w:sz="4" w:space="0"/>
                    <w:left w:val="single" w:color="auto" w:sz="4" w:space="0"/>
                    <w:bottom w:val="single" w:color="auto" w:sz="4" w:space="0"/>
                    <w:right w:val="single" w:color="auto" w:sz="4" w:space="0"/>
                  </w:tcBorders>
                  <w:vAlign w:val="center"/>
                </w:tcPr>
                <w:p w14:paraId="3A985F7A">
                  <w:pPr>
                    <w:pStyle w:val="149"/>
                    <w:rPr>
                      <w:rFonts w:eastAsia="Times New Roman"/>
                    </w:rPr>
                  </w:pPr>
                  <w:r>
                    <w:rPr>
                      <w:rFonts w:hint="eastAsia" w:eastAsia="Times New Roman"/>
                    </w:rPr>
                    <w:t>54.13</w:t>
                  </w:r>
                </w:p>
              </w:tc>
              <w:tc>
                <w:tcPr>
                  <w:tcW w:w="457" w:type="pct"/>
                  <w:tcBorders>
                    <w:top w:val="single" w:color="auto" w:sz="4" w:space="0"/>
                    <w:left w:val="single" w:color="auto" w:sz="4" w:space="0"/>
                    <w:bottom w:val="single" w:color="auto" w:sz="4" w:space="0"/>
                    <w:right w:val="single" w:color="auto" w:sz="4" w:space="0"/>
                  </w:tcBorders>
                  <w:vAlign w:val="center"/>
                </w:tcPr>
                <w:p w14:paraId="04C9C42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D07FFA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160377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B3302E6">
                  <w:pPr>
                    <w:pStyle w:val="149"/>
                    <w:rPr>
                      <w:rFonts w:eastAsia="Times New Roman"/>
                    </w:rPr>
                  </w:pPr>
                  <w:r>
                    <w:rPr>
                      <w:rFonts w:hint="eastAsia" w:ascii="宋体" w:hAnsi="宋体" w:eastAsia="宋体" w:cs="宋体"/>
                    </w:rPr>
                    <w:t>夜间</w:t>
                  </w:r>
                </w:p>
              </w:tc>
            </w:tr>
            <w:tr w14:paraId="3818A9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F602788">
                  <w:pPr>
                    <w:pStyle w:val="149"/>
                    <w:rPr>
                      <w:rFonts w:eastAsia="Times New Roman"/>
                    </w:rPr>
                  </w:pPr>
                  <w:r>
                    <w:rPr>
                      <w:rFonts w:eastAsia="Times New Roman"/>
                    </w:rPr>
                    <w:t>157</w:t>
                  </w:r>
                </w:p>
              </w:tc>
              <w:tc>
                <w:tcPr>
                  <w:tcW w:w="848" w:type="pct"/>
                  <w:tcBorders>
                    <w:top w:val="single" w:color="auto" w:sz="4" w:space="0"/>
                    <w:left w:val="single" w:color="auto" w:sz="4" w:space="0"/>
                    <w:bottom w:val="single" w:color="auto" w:sz="4" w:space="0"/>
                    <w:right w:val="single" w:color="auto" w:sz="4" w:space="0"/>
                  </w:tcBorders>
                  <w:vAlign w:val="center"/>
                </w:tcPr>
                <w:p w14:paraId="2E102B55">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172CC3FA">
                  <w:pPr>
                    <w:pStyle w:val="149"/>
                    <w:rPr>
                      <w:rFonts w:eastAsia="Times New Roman"/>
                    </w:rPr>
                  </w:pPr>
                  <w:r>
                    <w:rPr>
                      <w:rFonts w:hint="eastAsia" w:eastAsia="Times New Roman"/>
                    </w:rPr>
                    <w:t>61.71</w:t>
                  </w:r>
                </w:p>
              </w:tc>
              <w:tc>
                <w:tcPr>
                  <w:tcW w:w="440" w:type="pct"/>
                  <w:tcBorders>
                    <w:top w:val="single" w:color="auto" w:sz="4" w:space="0"/>
                    <w:left w:val="single" w:color="auto" w:sz="4" w:space="0"/>
                    <w:bottom w:val="single" w:color="auto" w:sz="4" w:space="0"/>
                    <w:right w:val="single" w:color="auto" w:sz="4" w:space="0"/>
                  </w:tcBorders>
                  <w:vAlign w:val="center"/>
                </w:tcPr>
                <w:p w14:paraId="2BE9F41F">
                  <w:pPr>
                    <w:pStyle w:val="149"/>
                    <w:rPr>
                      <w:rFonts w:eastAsia="Times New Roman"/>
                    </w:rPr>
                  </w:pPr>
                  <w:r>
                    <w:rPr>
                      <w:rFonts w:hint="eastAsia" w:eastAsia="Times New Roman"/>
                    </w:rPr>
                    <w:t>67.07</w:t>
                  </w:r>
                </w:p>
              </w:tc>
              <w:tc>
                <w:tcPr>
                  <w:tcW w:w="457" w:type="pct"/>
                  <w:tcBorders>
                    <w:top w:val="single" w:color="auto" w:sz="4" w:space="0"/>
                    <w:left w:val="single" w:color="auto" w:sz="4" w:space="0"/>
                    <w:bottom w:val="single" w:color="auto" w:sz="4" w:space="0"/>
                    <w:right w:val="single" w:color="auto" w:sz="4" w:space="0"/>
                  </w:tcBorders>
                  <w:vAlign w:val="center"/>
                </w:tcPr>
                <w:p w14:paraId="691BE76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2FC60C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3B20BBA">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000D05E">
                  <w:pPr>
                    <w:pStyle w:val="149"/>
                    <w:rPr>
                      <w:rFonts w:eastAsia="Times New Roman"/>
                    </w:rPr>
                  </w:pPr>
                  <w:r>
                    <w:rPr>
                      <w:rFonts w:hint="eastAsia" w:ascii="宋体" w:hAnsi="宋体" w:eastAsia="宋体" w:cs="宋体"/>
                    </w:rPr>
                    <w:t>昼间</w:t>
                  </w:r>
                </w:p>
              </w:tc>
            </w:tr>
            <w:tr w14:paraId="5B2D00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DC94B5D">
                  <w:pPr>
                    <w:pStyle w:val="149"/>
                    <w:rPr>
                      <w:rFonts w:eastAsia="Times New Roman"/>
                    </w:rPr>
                  </w:pPr>
                  <w:r>
                    <w:rPr>
                      <w:rFonts w:eastAsia="Times New Roman"/>
                    </w:rPr>
                    <w:t>158</w:t>
                  </w:r>
                </w:p>
              </w:tc>
              <w:tc>
                <w:tcPr>
                  <w:tcW w:w="848" w:type="pct"/>
                  <w:tcBorders>
                    <w:top w:val="single" w:color="auto" w:sz="4" w:space="0"/>
                    <w:left w:val="single" w:color="auto" w:sz="4" w:space="0"/>
                    <w:bottom w:val="single" w:color="auto" w:sz="4" w:space="0"/>
                    <w:right w:val="single" w:color="auto" w:sz="4" w:space="0"/>
                  </w:tcBorders>
                  <w:vAlign w:val="center"/>
                </w:tcPr>
                <w:p w14:paraId="3A0A51B4">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2C3ACB56">
                  <w:pPr>
                    <w:pStyle w:val="149"/>
                    <w:rPr>
                      <w:rFonts w:eastAsia="Times New Roman"/>
                    </w:rPr>
                  </w:pPr>
                  <w:r>
                    <w:rPr>
                      <w:rFonts w:hint="eastAsia" w:eastAsia="Times New Roman"/>
                    </w:rPr>
                    <w:t>61.71</w:t>
                  </w:r>
                </w:p>
              </w:tc>
              <w:tc>
                <w:tcPr>
                  <w:tcW w:w="440" w:type="pct"/>
                  <w:tcBorders>
                    <w:top w:val="single" w:color="auto" w:sz="4" w:space="0"/>
                    <w:left w:val="single" w:color="auto" w:sz="4" w:space="0"/>
                    <w:bottom w:val="single" w:color="auto" w:sz="4" w:space="0"/>
                    <w:right w:val="single" w:color="auto" w:sz="4" w:space="0"/>
                  </w:tcBorders>
                  <w:vAlign w:val="center"/>
                </w:tcPr>
                <w:p w14:paraId="68B5EA56">
                  <w:pPr>
                    <w:pStyle w:val="149"/>
                    <w:rPr>
                      <w:rFonts w:eastAsia="Times New Roman"/>
                    </w:rPr>
                  </w:pPr>
                  <w:r>
                    <w:rPr>
                      <w:rFonts w:hint="eastAsia" w:eastAsia="Times New Roman"/>
                    </w:rPr>
                    <w:t>67.07</w:t>
                  </w:r>
                </w:p>
              </w:tc>
              <w:tc>
                <w:tcPr>
                  <w:tcW w:w="457" w:type="pct"/>
                  <w:tcBorders>
                    <w:top w:val="single" w:color="auto" w:sz="4" w:space="0"/>
                    <w:left w:val="single" w:color="auto" w:sz="4" w:space="0"/>
                    <w:bottom w:val="single" w:color="auto" w:sz="4" w:space="0"/>
                    <w:right w:val="single" w:color="auto" w:sz="4" w:space="0"/>
                  </w:tcBorders>
                  <w:vAlign w:val="center"/>
                </w:tcPr>
                <w:p w14:paraId="669ADEC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833F43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079C69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E714F86">
                  <w:pPr>
                    <w:pStyle w:val="149"/>
                    <w:rPr>
                      <w:rFonts w:eastAsia="Times New Roman"/>
                    </w:rPr>
                  </w:pPr>
                  <w:r>
                    <w:rPr>
                      <w:rFonts w:hint="eastAsia" w:ascii="宋体" w:hAnsi="宋体" w:eastAsia="宋体" w:cs="宋体"/>
                    </w:rPr>
                    <w:t>夜间</w:t>
                  </w:r>
                </w:p>
              </w:tc>
            </w:tr>
            <w:tr w14:paraId="5268B4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29299E2">
                  <w:pPr>
                    <w:pStyle w:val="149"/>
                    <w:rPr>
                      <w:rFonts w:eastAsia="Times New Roman"/>
                    </w:rPr>
                  </w:pPr>
                  <w:r>
                    <w:rPr>
                      <w:rFonts w:eastAsia="Times New Roman"/>
                    </w:rPr>
                    <w:t>159</w:t>
                  </w:r>
                </w:p>
              </w:tc>
              <w:tc>
                <w:tcPr>
                  <w:tcW w:w="848" w:type="pct"/>
                  <w:tcBorders>
                    <w:top w:val="single" w:color="auto" w:sz="4" w:space="0"/>
                    <w:left w:val="single" w:color="auto" w:sz="4" w:space="0"/>
                    <w:bottom w:val="single" w:color="auto" w:sz="4" w:space="0"/>
                    <w:right w:val="single" w:color="auto" w:sz="4" w:space="0"/>
                  </w:tcBorders>
                  <w:vAlign w:val="center"/>
                </w:tcPr>
                <w:p w14:paraId="1FFA0F12">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59CA4BA7">
                  <w:pPr>
                    <w:pStyle w:val="149"/>
                    <w:rPr>
                      <w:rFonts w:eastAsia="Times New Roman"/>
                    </w:rPr>
                  </w:pPr>
                  <w:r>
                    <w:rPr>
                      <w:rFonts w:hint="eastAsia" w:eastAsia="Times New Roman"/>
                    </w:rPr>
                    <w:t>124.42</w:t>
                  </w:r>
                </w:p>
              </w:tc>
              <w:tc>
                <w:tcPr>
                  <w:tcW w:w="440" w:type="pct"/>
                  <w:tcBorders>
                    <w:top w:val="single" w:color="auto" w:sz="4" w:space="0"/>
                    <w:left w:val="single" w:color="auto" w:sz="4" w:space="0"/>
                    <w:bottom w:val="single" w:color="auto" w:sz="4" w:space="0"/>
                    <w:right w:val="single" w:color="auto" w:sz="4" w:space="0"/>
                  </w:tcBorders>
                  <w:vAlign w:val="center"/>
                </w:tcPr>
                <w:p w14:paraId="55B8C0F6">
                  <w:pPr>
                    <w:pStyle w:val="149"/>
                    <w:rPr>
                      <w:rFonts w:eastAsia="Times New Roman"/>
                    </w:rPr>
                  </w:pPr>
                  <w:r>
                    <w:rPr>
                      <w:rFonts w:hint="eastAsia" w:eastAsia="Times New Roman"/>
                    </w:rPr>
                    <w:t>58.23</w:t>
                  </w:r>
                </w:p>
              </w:tc>
              <w:tc>
                <w:tcPr>
                  <w:tcW w:w="457" w:type="pct"/>
                  <w:tcBorders>
                    <w:top w:val="single" w:color="auto" w:sz="4" w:space="0"/>
                    <w:left w:val="single" w:color="auto" w:sz="4" w:space="0"/>
                    <w:bottom w:val="single" w:color="auto" w:sz="4" w:space="0"/>
                    <w:right w:val="single" w:color="auto" w:sz="4" w:space="0"/>
                  </w:tcBorders>
                  <w:vAlign w:val="center"/>
                </w:tcPr>
                <w:p w14:paraId="4C4D872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A1821E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4C2302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7AA0B85">
                  <w:pPr>
                    <w:pStyle w:val="149"/>
                    <w:rPr>
                      <w:rFonts w:eastAsia="Times New Roman"/>
                    </w:rPr>
                  </w:pPr>
                  <w:r>
                    <w:rPr>
                      <w:rFonts w:hint="eastAsia" w:ascii="宋体" w:hAnsi="宋体" w:eastAsia="宋体" w:cs="宋体"/>
                    </w:rPr>
                    <w:t>昼间</w:t>
                  </w:r>
                </w:p>
              </w:tc>
            </w:tr>
            <w:tr w14:paraId="494CD9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6FB0111">
                  <w:pPr>
                    <w:pStyle w:val="149"/>
                    <w:rPr>
                      <w:rFonts w:eastAsia="Times New Roman"/>
                    </w:rPr>
                  </w:pPr>
                  <w:r>
                    <w:rPr>
                      <w:rFonts w:eastAsia="Times New Roman"/>
                    </w:rPr>
                    <w:t>160</w:t>
                  </w:r>
                </w:p>
              </w:tc>
              <w:tc>
                <w:tcPr>
                  <w:tcW w:w="848" w:type="pct"/>
                  <w:tcBorders>
                    <w:top w:val="single" w:color="auto" w:sz="4" w:space="0"/>
                    <w:left w:val="single" w:color="auto" w:sz="4" w:space="0"/>
                    <w:bottom w:val="single" w:color="auto" w:sz="4" w:space="0"/>
                    <w:right w:val="single" w:color="auto" w:sz="4" w:space="0"/>
                  </w:tcBorders>
                  <w:vAlign w:val="center"/>
                </w:tcPr>
                <w:p w14:paraId="243456D0">
                  <w:pPr>
                    <w:pStyle w:val="149"/>
                    <w:rPr>
                      <w:rFonts w:eastAsia="Times New Roman"/>
                    </w:rPr>
                  </w:pPr>
                  <w:r>
                    <w:rPr>
                      <w:rFonts w:hint="eastAsia" w:ascii="宋体" w:hAnsi="宋体" w:eastAsia="宋体" w:cs="宋体"/>
                    </w:rPr>
                    <w:t>电池舱风机</w:t>
                  </w:r>
                </w:p>
              </w:tc>
              <w:tc>
                <w:tcPr>
                  <w:tcW w:w="528" w:type="pct"/>
                  <w:tcBorders>
                    <w:top w:val="single" w:color="auto" w:sz="4" w:space="0"/>
                    <w:left w:val="single" w:color="auto" w:sz="4" w:space="0"/>
                    <w:bottom w:val="single" w:color="auto" w:sz="4" w:space="0"/>
                    <w:right w:val="single" w:color="auto" w:sz="4" w:space="0"/>
                  </w:tcBorders>
                  <w:vAlign w:val="center"/>
                </w:tcPr>
                <w:p w14:paraId="05486BC6">
                  <w:pPr>
                    <w:pStyle w:val="149"/>
                    <w:rPr>
                      <w:rFonts w:eastAsia="Times New Roman"/>
                    </w:rPr>
                  </w:pPr>
                  <w:r>
                    <w:rPr>
                      <w:rFonts w:hint="eastAsia" w:eastAsia="Times New Roman"/>
                    </w:rPr>
                    <w:t>124.42</w:t>
                  </w:r>
                </w:p>
              </w:tc>
              <w:tc>
                <w:tcPr>
                  <w:tcW w:w="440" w:type="pct"/>
                  <w:tcBorders>
                    <w:top w:val="single" w:color="auto" w:sz="4" w:space="0"/>
                    <w:left w:val="single" w:color="auto" w:sz="4" w:space="0"/>
                    <w:bottom w:val="single" w:color="auto" w:sz="4" w:space="0"/>
                    <w:right w:val="single" w:color="auto" w:sz="4" w:space="0"/>
                  </w:tcBorders>
                  <w:vAlign w:val="center"/>
                </w:tcPr>
                <w:p w14:paraId="35CBC9A5">
                  <w:pPr>
                    <w:pStyle w:val="149"/>
                    <w:rPr>
                      <w:rFonts w:eastAsia="Times New Roman"/>
                    </w:rPr>
                  </w:pPr>
                  <w:r>
                    <w:rPr>
                      <w:rFonts w:hint="eastAsia" w:eastAsia="Times New Roman"/>
                    </w:rPr>
                    <w:t>58.23</w:t>
                  </w:r>
                </w:p>
              </w:tc>
              <w:tc>
                <w:tcPr>
                  <w:tcW w:w="457" w:type="pct"/>
                  <w:tcBorders>
                    <w:top w:val="single" w:color="auto" w:sz="4" w:space="0"/>
                    <w:left w:val="single" w:color="auto" w:sz="4" w:space="0"/>
                    <w:bottom w:val="single" w:color="auto" w:sz="4" w:space="0"/>
                    <w:right w:val="single" w:color="auto" w:sz="4" w:space="0"/>
                  </w:tcBorders>
                  <w:vAlign w:val="center"/>
                </w:tcPr>
                <w:p w14:paraId="6598182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EEDF86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4C23F5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ED7E050">
                  <w:pPr>
                    <w:pStyle w:val="149"/>
                    <w:rPr>
                      <w:rFonts w:eastAsia="Times New Roman"/>
                    </w:rPr>
                  </w:pPr>
                  <w:r>
                    <w:rPr>
                      <w:rFonts w:hint="eastAsia" w:ascii="宋体" w:hAnsi="宋体" w:eastAsia="宋体" w:cs="宋体"/>
                    </w:rPr>
                    <w:t>夜间</w:t>
                  </w:r>
                </w:p>
              </w:tc>
            </w:tr>
            <w:tr w14:paraId="0CDDB9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5BCAC52">
                  <w:pPr>
                    <w:pStyle w:val="149"/>
                    <w:rPr>
                      <w:rFonts w:eastAsia="Times New Roman"/>
                    </w:rPr>
                  </w:pPr>
                  <w:r>
                    <w:rPr>
                      <w:rFonts w:eastAsia="Times New Roman"/>
                    </w:rPr>
                    <w:t>161</w:t>
                  </w:r>
                </w:p>
              </w:tc>
              <w:tc>
                <w:tcPr>
                  <w:tcW w:w="848" w:type="pct"/>
                  <w:tcBorders>
                    <w:top w:val="single" w:color="auto" w:sz="4" w:space="0"/>
                    <w:left w:val="single" w:color="auto" w:sz="4" w:space="0"/>
                    <w:bottom w:val="single" w:color="auto" w:sz="4" w:space="0"/>
                    <w:right w:val="single" w:color="auto" w:sz="4" w:space="0"/>
                  </w:tcBorders>
                  <w:vAlign w:val="center"/>
                </w:tcPr>
                <w:p w14:paraId="514909B4">
                  <w:pPr>
                    <w:pStyle w:val="149"/>
                    <w:rPr>
                      <w:rFonts w:eastAsia="Times New Roman"/>
                    </w:rPr>
                  </w:pPr>
                  <w:r>
                    <w:rPr>
                      <w:rFonts w:hint="eastAsia" w:ascii="宋体" w:hAnsi="宋体" w:eastAsia="宋体" w:cs="宋体"/>
                    </w:rPr>
                    <w:t>主变压器</w:t>
                  </w:r>
                </w:p>
              </w:tc>
              <w:tc>
                <w:tcPr>
                  <w:tcW w:w="528" w:type="pct"/>
                  <w:tcBorders>
                    <w:top w:val="single" w:color="auto" w:sz="4" w:space="0"/>
                    <w:left w:val="single" w:color="auto" w:sz="4" w:space="0"/>
                    <w:bottom w:val="single" w:color="auto" w:sz="4" w:space="0"/>
                    <w:right w:val="single" w:color="auto" w:sz="4" w:space="0"/>
                  </w:tcBorders>
                  <w:vAlign w:val="center"/>
                </w:tcPr>
                <w:p w14:paraId="4B6BB832">
                  <w:pPr>
                    <w:pStyle w:val="149"/>
                    <w:rPr>
                      <w:rFonts w:eastAsiaTheme="minorEastAsia"/>
                    </w:rPr>
                  </w:pPr>
                  <w:r>
                    <w:rPr>
                      <w:rFonts w:hint="eastAsia" w:eastAsiaTheme="minorEastAsia"/>
                    </w:rPr>
                    <w:t>3</w:t>
                  </w:r>
                  <w:r>
                    <w:rPr>
                      <w:rFonts w:eastAsiaTheme="minorEastAsia"/>
                    </w:rPr>
                    <w:t>1.78</w:t>
                  </w:r>
                </w:p>
              </w:tc>
              <w:tc>
                <w:tcPr>
                  <w:tcW w:w="440" w:type="pct"/>
                  <w:tcBorders>
                    <w:top w:val="single" w:color="auto" w:sz="4" w:space="0"/>
                    <w:left w:val="single" w:color="auto" w:sz="4" w:space="0"/>
                    <w:bottom w:val="single" w:color="auto" w:sz="4" w:space="0"/>
                    <w:right w:val="single" w:color="auto" w:sz="4" w:space="0"/>
                  </w:tcBorders>
                  <w:vAlign w:val="center"/>
                </w:tcPr>
                <w:p w14:paraId="55C05F47">
                  <w:pPr>
                    <w:pStyle w:val="149"/>
                    <w:rPr>
                      <w:rFonts w:eastAsiaTheme="minorEastAsia"/>
                    </w:rPr>
                  </w:pPr>
                  <w:r>
                    <w:rPr>
                      <w:rFonts w:hint="eastAsia" w:eastAsiaTheme="minorEastAsia"/>
                    </w:rPr>
                    <w:t>2</w:t>
                  </w:r>
                  <w:r>
                    <w:rPr>
                      <w:rFonts w:eastAsiaTheme="minorEastAsia"/>
                    </w:rPr>
                    <w:t>0.75</w:t>
                  </w:r>
                </w:p>
              </w:tc>
              <w:tc>
                <w:tcPr>
                  <w:tcW w:w="457" w:type="pct"/>
                  <w:tcBorders>
                    <w:top w:val="single" w:color="auto" w:sz="4" w:space="0"/>
                    <w:left w:val="single" w:color="auto" w:sz="4" w:space="0"/>
                    <w:bottom w:val="single" w:color="auto" w:sz="4" w:space="0"/>
                    <w:right w:val="single" w:color="auto" w:sz="4" w:space="0"/>
                  </w:tcBorders>
                  <w:vAlign w:val="center"/>
                </w:tcPr>
                <w:p w14:paraId="01B2F1F2">
                  <w:pPr>
                    <w:pStyle w:val="149"/>
                    <w:rPr>
                      <w:rFonts w:eastAsia="Times New Roman"/>
                    </w:rPr>
                  </w:pPr>
                  <w:r>
                    <w:rPr>
                      <w:rFonts w:eastAsia="Times New Roman"/>
                    </w:rPr>
                    <w:t>1.5</w:t>
                  </w:r>
                </w:p>
              </w:tc>
              <w:tc>
                <w:tcPr>
                  <w:tcW w:w="1000" w:type="pct"/>
                  <w:tcBorders>
                    <w:top w:val="single" w:color="auto" w:sz="4" w:space="0"/>
                    <w:left w:val="single" w:color="auto" w:sz="4" w:space="0"/>
                    <w:bottom w:val="single" w:color="auto" w:sz="4" w:space="0"/>
                    <w:right w:val="single" w:color="auto" w:sz="4" w:space="0"/>
                  </w:tcBorders>
                  <w:vAlign w:val="center"/>
                </w:tcPr>
                <w:p w14:paraId="3A58AB14">
                  <w:pPr>
                    <w:pStyle w:val="149"/>
                    <w:rPr>
                      <w:rFonts w:eastAsia="Times New Roman"/>
                    </w:rPr>
                  </w:pPr>
                  <w:r>
                    <w:rPr>
                      <w:rFonts w:eastAsia="Times New Roman"/>
                    </w:rPr>
                    <w:t>70</w:t>
                  </w:r>
                </w:p>
              </w:tc>
              <w:tc>
                <w:tcPr>
                  <w:tcW w:w="959" w:type="pct"/>
                  <w:vMerge w:val="restart"/>
                  <w:tcBorders>
                    <w:top w:val="single" w:color="auto" w:sz="4" w:space="0"/>
                    <w:left w:val="single" w:color="auto" w:sz="4" w:space="0"/>
                    <w:bottom w:val="single" w:color="auto" w:sz="4" w:space="0"/>
                    <w:right w:val="single" w:color="auto" w:sz="4" w:space="0"/>
                  </w:tcBorders>
                  <w:vAlign w:val="center"/>
                </w:tcPr>
                <w:p w14:paraId="186F0BE6">
                  <w:pPr>
                    <w:pStyle w:val="149"/>
                    <w:rPr>
                      <w:rFonts w:eastAsia="Times New Roman"/>
                    </w:rPr>
                  </w:pPr>
                  <w:r>
                    <w:rPr>
                      <w:rFonts w:hint="eastAsia" w:ascii="宋体" w:hAnsi="宋体" w:eastAsia="宋体" w:cs="宋体"/>
                    </w:rPr>
                    <w:t>减振+隔声</w:t>
                  </w:r>
                </w:p>
              </w:tc>
              <w:tc>
                <w:tcPr>
                  <w:tcW w:w="465" w:type="pct"/>
                  <w:tcBorders>
                    <w:top w:val="single" w:color="auto" w:sz="4" w:space="0"/>
                    <w:left w:val="single" w:color="auto" w:sz="4" w:space="0"/>
                    <w:bottom w:val="single" w:color="auto" w:sz="4" w:space="0"/>
                    <w:right w:val="nil"/>
                  </w:tcBorders>
                  <w:vAlign w:val="center"/>
                </w:tcPr>
                <w:p w14:paraId="50106238">
                  <w:pPr>
                    <w:pStyle w:val="149"/>
                    <w:rPr>
                      <w:rFonts w:eastAsia="Times New Roman"/>
                    </w:rPr>
                  </w:pPr>
                  <w:r>
                    <w:rPr>
                      <w:rFonts w:hint="eastAsia" w:ascii="宋体" w:hAnsi="宋体" w:eastAsia="宋体" w:cs="宋体"/>
                    </w:rPr>
                    <w:t>昼间</w:t>
                  </w:r>
                </w:p>
              </w:tc>
            </w:tr>
            <w:tr w14:paraId="02FFF7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EB7F57E">
                  <w:pPr>
                    <w:pStyle w:val="149"/>
                    <w:rPr>
                      <w:rFonts w:eastAsia="Times New Roman"/>
                    </w:rPr>
                  </w:pPr>
                  <w:r>
                    <w:rPr>
                      <w:rFonts w:eastAsia="Times New Roman"/>
                    </w:rPr>
                    <w:t>162</w:t>
                  </w:r>
                </w:p>
              </w:tc>
              <w:tc>
                <w:tcPr>
                  <w:tcW w:w="848" w:type="pct"/>
                  <w:tcBorders>
                    <w:top w:val="single" w:color="auto" w:sz="4" w:space="0"/>
                    <w:left w:val="single" w:color="auto" w:sz="4" w:space="0"/>
                    <w:bottom w:val="single" w:color="auto" w:sz="4" w:space="0"/>
                    <w:right w:val="single" w:color="auto" w:sz="4" w:space="0"/>
                  </w:tcBorders>
                  <w:vAlign w:val="center"/>
                </w:tcPr>
                <w:p w14:paraId="5EA23659">
                  <w:pPr>
                    <w:pStyle w:val="149"/>
                    <w:rPr>
                      <w:rFonts w:eastAsia="Times New Roman"/>
                    </w:rPr>
                  </w:pPr>
                  <w:r>
                    <w:rPr>
                      <w:rFonts w:hint="eastAsia" w:ascii="宋体" w:hAnsi="宋体" w:eastAsia="宋体" w:cs="宋体"/>
                    </w:rPr>
                    <w:t>主变压器</w:t>
                  </w:r>
                </w:p>
              </w:tc>
              <w:tc>
                <w:tcPr>
                  <w:tcW w:w="528" w:type="pct"/>
                  <w:tcBorders>
                    <w:top w:val="single" w:color="auto" w:sz="4" w:space="0"/>
                    <w:left w:val="single" w:color="auto" w:sz="4" w:space="0"/>
                    <w:bottom w:val="single" w:color="auto" w:sz="4" w:space="0"/>
                    <w:right w:val="single" w:color="auto" w:sz="4" w:space="0"/>
                  </w:tcBorders>
                  <w:vAlign w:val="center"/>
                </w:tcPr>
                <w:p w14:paraId="1BB39878">
                  <w:pPr>
                    <w:pStyle w:val="149"/>
                    <w:rPr>
                      <w:rFonts w:eastAsia="Times New Roman"/>
                    </w:rPr>
                  </w:pPr>
                  <w:r>
                    <w:rPr>
                      <w:rFonts w:hint="eastAsia" w:eastAsiaTheme="minorEastAsia"/>
                    </w:rPr>
                    <w:t>3</w:t>
                  </w:r>
                  <w:r>
                    <w:rPr>
                      <w:rFonts w:eastAsiaTheme="minorEastAsia"/>
                    </w:rPr>
                    <w:t>1.78</w:t>
                  </w:r>
                </w:p>
              </w:tc>
              <w:tc>
                <w:tcPr>
                  <w:tcW w:w="440" w:type="pct"/>
                  <w:tcBorders>
                    <w:top w:val="single" w:color="auto" w:sz="4" w:space="0"/>
                    <w:left w:val="single" w:color="auto" w:sz="4" w:space="0"/>
                    <w:bottom w:val="single" w:color="auto" w:sz="4" w:space="0"/>
                    <w:right w:val="single" w:color="auto" w:sz="4" w:space="0"/>
                  </w:tcBorders>
                  <w:vAlign w:val="center"/>
                </w:tcPr>
                <w:p w14:paraId="445F0570">
                  <w:pPr>
                    <w:pStyle w:val="149"/>
                    <w:rPr>
                      <w:rFonts w:eastAsia="Times New Roman"/>
                    </w:rPr>
                  </w:pPr>
                  <w:r>
                    <w:rPr>
                      <w:rFonts w:hint="eastAsia" w:eastAsiaTheme="minorEastAsia"/>
                    </w:rPr>
                    <w:t>2</w:t>
                  </w:r>
                  <w:r>
                    <w:rPr>
                      <w:rFonts w:eastAsiaTheme="minorEastAsia"/>
                    </w:rPr>
                    <w:t>0.75</w:t>
                  </w:r>
                </w:p>
              </w:tc>
              <w:tc>
                <w:tcPr>
                  <w:tcW w:w="457" w:type="pct"/>
                  <w:tcBorders>
                    <w:top w:val="single" w:color="auto" w:sz="4" w:space="0"/>
                    <w:left w:val="single" w:color="auto" w:sz="4" w:space="0"/>
                    <w:bottom w:val="single" w:color="auto" w:sz="4" w:space="0"/>
                    <w:right w:val="single" w:color="auto" w:sz="4" w:space="0"/>
                  </w:tcBorders>
                  <w:vAlign w:val="center"/>
                </w:tcPr>
                <w:p w14:paraId="00741428">
                  <w:pPr>
                    <w:pStyle w:val="149"/>
                    <w:rPr>
                      <w:rFonts w:eastAsia="Times New Roman"/>
                    </w:rPr>
                  </w:pPr>
                  <w:r>
                    <w:rPr>
                      <w:rFonts w:eastAsia="Times New Roman"/>
                    </w:rPr>
                    <w:t>1.5</w:t>
                  </w:r>
                </w:p>
              </w:tc>
              <w:tc>
                <w:tcPr>
                  <w:tcW w:w="1000" w:type="pct"/>
                  <w:tcBorders>
                    <w:top w:val="single" w:color="auto" w:sz="4" w:space="0"/>
                    <w:left w:val="single" w:color="auto" w:sz="4" w:space="0"/>
                    <w:bottom w:val="single" w:color="auto" w:sz="4" w:space="0"/>
                    <w:right w:val="single" w:color="auto" w:sz="4" w:space="0"/>
                  </w:tcBorders>
                  <w:vAlign w:val="center"/>
                </w:tcPr>
                <w:p w14:paraId="502B37C3">
                  <w:pPr>
                    <w:pStyle w:val="149"/>
                    <w:rPr>
                      <w:rFonts w:eastAsia="Times New Roman"/>
                    </w:rPr>
                  </w:pPr>
                  <w:r>
                    <w:rPr>
                      <w:rFonts w:eastAsia="Times New Roman"/>
                    </w:rPr>
                    <w:t>70</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97F829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D9A1F0A">
                  <w:pPr>
                    <w:pStyle w:val="149"/>
                    <w:rPr>
                      <w:rFonts w:eastAsia="Times New Roman"/>
                    </w:rPr>
                  </w:pPr>
                  <w:r>
                    <w:rPr>
                      <w:rFonts w:hint="eastAsia" w:ascii="宋体" w:hAnsi="宋体" w:eastAsia="宋体" w:cs="宋体"/>
                    </w:rPr>
                    <w:t>夜间</w:t>
                  </w:r>
                </w:p>
              </w:tc>
            </w:tr>
            <w:tr w14:paraId="0DF5B6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9AE0B7A">
                  <w:pPr>
                    <w:pStyle w:val="149"/>
                    <w:rPr>
                      <w:rFonts w:eastAsia="Times New Roman"/>
                    </w:rPr>
                  </w:pPr>
                  <w:r>
                    <w:rPr>
                      <w:rFonts w:eastAsia="Times New Roman"/>
                    </w:rPr>
                    <w:t>163</w:t>
                  </w:r>
                </w:p>
              </w:tc>
              <w:tc>
                <w:tcPr>
                  <w:tcW w:w="848" w:type="pct"/>
                  <w:tcBorders>
                    <w:top w:val="single" w:color="auto" w:sz="4" w:space="0"/>
                    <w:left w:val="single" w:color="auto" w:sz="4" w:space="0"/>
                    <w:bottom w:val="single" w:color="auto" w:sz="4" w:space="0"/>
                    <w:right w:val="single" w:color="auto" w:sz="4" w:space="0"/>
                  </w:tcBorders>
                  <w:vAlign w:val="center"/>
                </w:tcPr>
                <w:p w14:paraId="1925BEFC">
                  <w:pPr>
                    <w:pStyle w:val="149"/>
                    <w:rPr>
                      <w:rFonts w:eastAsia="Times New Roman"/>
                    </w:rPr>
                  </w:pPr>
                  <w:r>
                    <w:rPr>
                      <w:rFonts w:hint="eastAsia" w:ascii="宋体" w:hAnsi="宋体" w:eastAsia="宋体" w:cs="宋体"/>
                    </w:rPr>
                    <w:t>站内用变压器</w:t>
                  </w:r>
                </w:p>
              </w:tc>
              <w:tc>
                <w:tcPr>
                  <w:tcW w:w="528" w:type="pct"/>
                  <w:tcBorders>
                    <w:top w:val="single" w:color="auto" w:sz="4" w:space="0"/>
                    <w:left w:val="single" w:color="auto" w:sz="4" w:space="0"/>
                    <w:bottom w:val="single" w:color="auto" w:sz="4" w:space="0"/>
                    <w:right w:val="single" w:color="auto" w:sz="4" w:space="0"/>
                  </w:tcBorders>
                  <w:vAlign w:val="center"/>
                </w:tcPr>
                <w:p w14:paraId="76D95FE0">
                  <w:pPr>
                    <w:pStyle w:val="149"/>
                    <w:rPr>
                      <w:rFonts w:eastAsiaTheme="minorEastAsia"/>
                    </w:rPr>
                  </w:pPr>
                  <w:r>
                    <w:rPr>
                      <w:rFonts w:hint="eastAsia" w:eastAsia="Times New Roman"/>
                    </w:rPr>
                    <w:t>41.07</w:t>
                  </w:r>
                </w:p>
              </w:tc>
              <w:tc>
                <w:tcPr>
                  <w:tcW w:w="440" w:type="pct"/>
                  <w:tcBorders>
                    <w:top w:val="single" w:color="auto" w:sz="4" w:space="0"/>
                    <w:left w:val="single" w:color="auto" w:sz="4" w:space="0"/>
                    <w:bottom w:val="single" w:color="auto" w:sz="4" w:space="0"/>
                    <w:right w:val="single" w:color="auto" w:sz="4" w:space="0"/>
                  </w:tcBorders>
                  <w:vAlign w:val="center"/>
                </w:tcPr>
                <w:p w14:paraId="7E7BAF3B">
                  <w:pPr>
                    <w:pStyle w:val="149"/>
                    <w:rPr>
                      <w:rFonts w:eastAsiaTheme="minorEastAsia"/>
                    </w:rPr>
                  </w:pPr>
                  <w:r>
                    <w:rPr>
                      <w:rFonts w:hint="eastAsia" w:eastAsia="Times New Roman"/>
                    </w:rPr>
                    <w:t>18.99</w:t>
                  </w:r>
                </w:p>
              </w:tc>
              <w:tc>
                <w:tcPr>
                  <w:tcW w:w="457" w:type="pct"/>
                  <w:tcBorders>
                    <w:top w:val="single" w:color="auto" w:sz="4" w:space="0"/>
                    <w:left w:val="single" w:color="auto" w:sz="4" w:space="0"/>
                    <w:bottom w:val="single" w:color="auto" w:sz="4" w:space="0"/>
                    <w:right w:val="single" w:color="auto" w:sz="4" w:space="0"/>
                  </w:tcBorders>
                  <w:vAlign w:val="center"/>
                </w:tcPr>
                <w:p w14:paraId="27A3F96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center"/>
                </w:tcPr>
                <w:p w14:paraId="53AC5EB3">
                  <w:pPr>
                    <w:pStyle w:val="149"/>
                    <w:rPr>
                      <w:rFonts w:eastAsia="Times New Roman"/>
                    </w:rPr>
                  </w:pPr>
                  <w:r>
                    <w:rPr>
                      <w:rFonts w:eastAsia="Times New Roman"/>
                    </w:rPr>
                    <w:t>60</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3563E8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56AB35D">
                  <w:pPr>
                    <w:pStyle w:val="149"/>
                    <w:rPr>
                      <w:rFonts w:eastAsia="Times New Roman"/>
                    </w:rPr>
                  </w:pPr>
                  <w:r>
                    <w:rPr>
                      <w:rFonts w:hint="eastAsia" w:ascii="宋体" w:hAnsi="宋体" w:eastAsia="宋体" w:cs="宋体"/>
                    </w:rPr>
                    <w:t>昼间</w:t>
                  </w:r>
                </w:p>
              </w:tc>
            </w:tr>
            <w:tr w14:paraId="69E075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AA4E1F1">
                  <w:pPr>
                    <w:pStyle w:val="149"/>
                    <w:rPr>
                      <w:rFonts w:eastAsia="Times New Roman"/>
                    </w:rPr>
                  </w:pPr>
                  <w:r>
                    <w:rPr>
                      <w:rFonts w:eastAsia="Times New Roman"/>
                    </w:rPr>
                    <w:t>164</w:t>
                  </w:r>
                </w:p>
              </w:tc>
              <w:tc>
                <w:tcPr>
                  <w:tcW w:w="848" w:type="pct"/>
                  <w:tcBorders>
                    <w:top w:val="single" w:color="auto" w:sz="4" w:space="0"/>
                    <w:left w:val="single" w:color="auto" w:sz="4" w:space="0"/>
                    <w:bottom w:val="single" w:color="auto" w:sz="4" w:space="0"/>
                    <w:right w:val="single" w:color="auto" w:sz="4" w:space="0"/>
                  </w:tcBorders>
                  <w:vAlign w:val="center"/>
                </w:tcPr>
                <w:p w14:paraId="505E4C9F">
                  <w:pPr>
                    <w:pStyle w:val="149"/>
                    <w:rPr>
                      <w:rFonts w:eastAsia="Times New Roman"/>
                    </w:rPr>
                  </w:pPr>
                  <w:r>
                    <w:rPr>
                      <w:rFonts w:hint="eastAsia" w:ascii="宋体" w:hAnsi="宋体" w:eastAsia="宋体" w:cs="宋体"/>
                    </w:rPr>
                    <w:t>站内用变压器</w:t>
                  </w:r>
                </w:p>
              </w:tc>
              <w:tc>
                <w:tcPr>
                  <w:tcW w:w="528" w:type="pct"/>
                  <w:tcBorders>
                    <w:top w:val="single" w:color="auto" w:sz="4" w:space="0"/>
                    <w:left w:val="single" w:color="auto" w:sz="4" w:space="0"/>
                    <w:bottom w:val="single" w:color="auto" w:sz="4" w:space="0"/>
                    <w:right w:val="single" w:color="auto" w:sz="4" w:space="0"/>
                  </w:tcBorders>
                  <w:vAlign w:val="center"/>
                </w:tcPr>
                <w:p w14:paraId="1662630B">
                  <w:pPr>
                    <w:pStyle w:val="149"/>
                    <w:rPr>
                      <w:rFonts w:eastAsia="Times New Roman"/>
                    </w:rPr>
                  </w:pPr>
                  <w:r>
                    <w:rPr>
                      <w:rFonts w:hint="eastAsia" w:eastAsia="Times New Roman"/>
                    </w:rPr>
                    <w:t>41.07</w:t>
                  </w:r>
                </w:p>
              </w:tc>
              <w:tc>
                <w:tcPr>
                  <w:tcW w:w="440" w:type="pct"/>
                  <w:tcBorders>
                    <w:top w:val="single" w:color="auto" w:sz="4" w:space="0"/>
                    <w:left w:val="single" w:color="auto" w:sz="4" w:space="0"/>
                    <w:bottom w:val="single" w:color="auto" w:sz="4" w:space="0"/>
                    <w:right w:val="single" w:color="auto" w:sz="4" w:space="0"/>
                  </w:tcBorders>
                  <w:vAlign w:val="center"/>
                </w:tcPr>
                <w:p w14:paraId="78080F1C">
                  <w:pPr>
                    <w:pStyle w:val="149"/>
                    <w:rPr>
                      <w:rFonts w:eastAsia="Times New Roman"/>
                    </w:rPr>
                  </w:pPr>
                  <w:r>
                    <w:rPr>
                      <w:rFonts w:hint="eastAsia" w:eastAsia="Times New Roman"/>
                    </w:rPr>
                    <w:t>18.99</w:t>
                  </w:r>
                </w:p>
              </w:tc>
              <w:tc>
                <w:tcPr>
                  <w:tcW w:w="457" w:type="pct"/>
                  <w:tcBorders>
                    <w:top w:val="single" w:color="auto" w:sz="4" w:space="0"/>
                    <w:left w:val="single" w:color="auto" w:sz="4" w:space="0"/>
                    <w:bottom w:val="single" w:color="auto" w:sz="4" w:space="0"/>
                    <w:right w:val="single" w:color="auto" w:sz="4" w:space="0"/>
                  </w:tcBorders>
                  <w:vAlign w:val="center"/>
                </w:tcPr>
                <w:p w14:paraId="440C3E5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center"/>
                </w:tcPr>
                <w:p w14:paraId="4A32BA4A">
                  <w:pPr>
                    <w:pStyle w:val="149"/>
                    <w:rPr>
                      <w:rFonts w:eastAsia="Times New Roman"/>
                    </w:rPr>
                  </w:pPr>
                  <w:r>
                    <w:rPr>
                      <w:rFonts w:eastAsia="Times New Roman"/>
                    </w:rPr>
                    <w:t>60</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C4B2B98">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9B37A7C">
                  <w:pPr>
                    <w:pStyle w:val="149"/>
                    <w:rPr>
                      <w:rFonts w:eastAsia="Times New Roman"/>
                    </w:rPr>
                  </w:pPr>
                  <w:r>
                    <w:rPr>
                      <w:rFonts w:hint="eastAsia" w:ascii="宋体" w:hAnsi="宋体" w:eastAsia="宋体" w:cs="宋体"/>
                    </w:rPr>
                    <w:t>夜间</w:t>
                  </w:r>
                </w:p>
              </w:tc>
            </w:tr>
            <w:tr w14:paraId="53BDB6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AAD6830">
                  <w:pPr>
                    <w:pStyle w:val="149"/>
                    <w:rPr>
                      <w:rFonts w:eastAsia="Times New Roman"/>
                    </w:rPr>
                  </w:pPr>
                  <w:r>
                    <w:rPr>
                      <w:rFonts w:eastAsia="Times New Roman"/>
                    </w:rPr>
                    <w:t>165</w:t>
                  </w:r>
                </w:p>
              </w:tc>
              <w:tc>
                <w:tcPr>
                  <w:tcW w:w="848" w:type="pct"/>
                  <w:tcBorders>
                    <w:top w:val="single" w:color="auto" w:sz="4" w:space="0"/>
                    <w:left w:val="single" w:color="auto" w:sz="4" w:space="0"/>
                    <w:bottom w:val="single" w:color="auto" w:sz="4" w:space="0"/>
                    <w:right w:val="single" w:color="auto" w:sz="4" w:space="0"/>
                  </w:tcBorders>
                  <w:vAlign w:val="center"/>
                </w:tcPr>
                <w:p w14:paraId="7A03AAB7">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DF6839A">
                  <w:pPr>
                    <w:pStyle w:val="149"/>
                    <w:rPr>
                      <w:rFonts w:eastAsia="Times New Roman"/>
                    </w:rPr>
                  </w:pPr>
                  <w:r>
                    <w:rPr>
                      <w:rFonts w:hint="eastAsia" w:eastAsia="Times New Roman"/>
                    </w:rPr>
                    <w:t>115.95</w:t>
                  </w:r>
                </w:p>
              </w:tc>
              <w:tc>
                <w:tcPr>
                  <w:tcW w:w="440" w:type="pct"/>
                  <w:tcBorders>
                    <w:top w:val="single" w:color="auto" w:sz="4" w:space="0"/>
                    <w:left w:val="single" w:color="auto" w:sz="4" w:space="0"/>
                    <w:bottom w:val="single" w:color="auto" w:sz="4" w:space="0"/>
                    <w:right w:val="single" w:color="auto" w:sz="4" w:space="0"/>
                  </w:tcBorders>
                  <w:vAlign w:val="center"/>
                </w:tcPr>
                <w:p w14:paraId="1B655108">
                  <w:pPr>
                    <w:pStyle w:val="149"/>
                    <w:rPr>
                      <w:rFonts w:eastAsia="Times New Roman"/>
                    </w:rPr>
                  </w:pPr>
                  <w:r>
                    <w:rPr>
                      <w:rFonts w:hint="eastAsia" w:eastAsia="Times New Roman"/>
                    </w:rPr>
                    <w:t>59.57</w:t>
                  </w:r>
                </w:p>
              </w:tc>
              <w:tc>
                <w:tcPr>
                  <w:tcW w:w="457" w:type="pct"/>
                  <w:tcBorders>
                    <w:top w:val="single" w:color="auto" w:sz="4" w:space="0"/>
                    <w:left w:val="single" w:color="auto" w:sz="4" w:space="0"/>
                    <w:bottom w:val="single" w:color="auto" w:sz="4" w:space="0"/>
                    <w:right w:val="single" w:color="auto" w:sz="4" w:space="0"/>
                  </w:tcBorders>
                  <w:vAlign w:val="center"/>
                </w:tcPr>
                <w:p w14:paraId="7386FFF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AF27293">
                  <w:pPr>
                    <w:pStyle w:val="149"/>
                    <w:rPr>
                      <w:rFonts w:eastAsia="Times New Roman"/>
                    </w:rPr>
                  </w:pPr>
                  <w:r>
                    <w:rPr>
                      <w:rFonts w:eastAsia="Times New Roman"/>
                    </w:rPr>
                    <w:t>75</w:t>
                  </w:r>
                </w:p>
              </w:tc>
              <w:tc>
                <w:tcPr>
                  <w:tcW w:w="959" w:type="pct"/>
                  <w:vMerge w:val="restart"/>
                  <w:tcBorders>
                    <w:top w:val="single" w:color="auto" w:sz="4" w:space="0"/>
                    <w:left w:val="single" w:color="auto" w:sz="4" w:space="0"/>
                    <w:bottom w:val="single" w:color="auto" w:sz="4" w:space="0"/>
                    <w:right w:val="single" w:color="auto" w:sz="4" w:space="0"/>
                  </w:tcBorders>
                  <w:vAlign w:val="center"/>
                </w:tcPr>
                <w:p w14:paraId="658C5C84">
                  <w:pPr>
                    <w:pStyle w:val="149"/>
                    <w:rPr>
                      <w:rFonts w:eastAsia="Times New Roman"/>
                    </w:rPr>
                  </w:pPr>
                  <w:r>
                    <w:rPr>
                      <w:rFonts w:hint="eastAsia" w:ascii="宋体" w:hAnsi="宋体" w:eastAsia="宋体" w:cs="宋体"/>
                    </w:rPr>
                    <w:t>消声罩</w:t>
                  </w:r>
                  <w:r>
                    <w:rPr>
                      <w:rFonts w:hint="eastAsia" w:eastAsia="Times New Roman"/>
                    </w:rPr>
                    <w:t>+</w:t>
                  </w:r>
                  <w:r>
                    <w:rPr>
                      <w:rFonts w:hint="eastAsia" w:asciiTheme="minorEastAsia" w:hAnsiTheme="minorEastAsia" w:eastAsiaTheme="minorEastAsia"/>
                    </w:rPr>
                    <w:t>减振</w:t>
                  </w:r>
                  <w:r>
                    <w:rPr>
                      <w:rFonts w:eastAsia="Times New Roman"/>
                    </w:rPr>
                    <w:t>+</w:t>
                  </w:r>
                  <w:r>
                    <w:rPr>
                      <w:rFonts w:hint="eastAsia" w:ascii="宋体" w:hAnsi="宋体" w:eastAsia="宋体" w:cs="宋体"/>
                    </w:rPr>
                    <w:t>集装箱隔声</w:t>
                  </w:r>
                </w:p>
              </w:tc>
              <w:tc>
                <w:tcPr>
                  <w:tcW w:w="465" w:type="pct"/>
                  <w:tcBorders>
                    <w:top w:val="single" w:color="auto" w:sz="4" w:space="0"/>
                    <w:left w:val="single" w:color="auto" w:sz="4" w:space="0"/>
                    <w:bottom w:val="single" w:color="auto" w:sz="4" w:space="0"/>
                    <w:right w:val="nil"/>
                  </w:tcBorders>
                  <w:vAlign w:val="center"/>
                </w:tcPr>
                <w:p w14:paraId="38C96DD9">
                  <w:pPr>
                    <w:pStyle w:val="149"/>
                    <w:rPr>
                      <w:rFonts w:eastAsia="Times New Roman"/>
                    </w:rPr>
                  </w:pPr>
                  <w:r>
                    <w:rPr>
                      <w:rFonts w:hint="eastAsia" w:ascii="宋体" w:hAnsi="宋体" w:eastAsia="宋体" w:cs="宋体"/>
                    </w:rPr>
                    <w:t>昼间</w:t>
                  </w:r>
                </w:p>
              </w:tc>
            </w:tr>
            <w:tr w14:paraId="482C08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CF90868">
                  <w:pPr>
                    <w:pStyle w:val="149"/>
                    <w:rPr>
                      <w:rFonts w:eastAsia="Times New Roman"/>
                    </w:rPr>
                  </w:pPr>
                  <w:r>
                    <w:rPr>
                      <w:rFonts w:eastAsia="Times New Roman"/>
                    </w:rPr>
                    <w:t>166</w:t>
                  </w:r>
                </w:p>
              </w:tc>
              <w:tc>
                <w:tcPr>
                  <w:tcW w:w="848" w:type="pct"/>
                  <w:tcBorders>
                    <w:top w:val="single" w:color="auto" w:sz="4" w:space="0"/>
                    <w:left w:val="single" w:color="auto" w:sz="4" w:space="0"/>
                    <w:bottom w:val="single" w:color="auto" w:sz="4" w:space="0"/>
                    <w:right w:val="single" w:color="auto" w:sz="4" w:space="0"/>
                  </w:tcBorders>
                  <w:vAlign w:val="center"/>
                </w:tcPr>
                <w:p w14:paraId="5FA905DF">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5DF80B4D">
                  <w:pPr>
                    <w:pStyle w:val="149"/>
                    <w:rPr>
                      <w:rFonts w:eastAsia="Times New Roman"/>
                    </w:rPr>
                  </w:pPr>
                  <w:r>
                    <w:rPr>
                      <w:rFonts w:hint="eastAsia" w:eastAsia="Times New Roman"/>
                    </w:rPr>
                    <w:t>115.95</w:t>
                  </w:r>
                </w:p>
              </w:tc>
              <w:tc>
                <w:tcPr>
                  <w:tcW w:w="440" w:type="pct"/>
                  <w:tcBorders>
                    <w:top w:val="single" w:color="auto" w:sz="4" w:space="0"/>
                    <w:left w:val="single" w:color="auto" w:sz="4" w:space="0"/>
                    <w:bottom w:val="single" w:color="auto" w:sz="4" w:space="0"/>
                    <w:right w:val="single" w:color="auto" w:sz="4" w:space="0"/>
                  </w:tcBorders>
                  <w:vAlign w:val="center"/>
                </w:tcPr>
                <w:p w14:paraId="6482702E">
                  <w:pPr>
                    <w:pStyle w:val="149"/>
                    <w:rPr>
                      <w:rFonts w:eastAsia="Times New Roman"/>
                    </w:rPr>
                  </w:pPr>
                  <w:r>
                    <w:rPr>
                      <w:rFonts w:hint="eastAsia" w:eastAsia="Times New Roman"/>
                    </w:rPr>
                    <w:t>59.57</w:t>
                  </w:r>
                </w:p>
              </w:tc>
              <w:tc>
                <w:tcPr>
                  <w:tcW w:w="457" w:type="pct"/>
                  <w:tcBorders>
                    <w:top w:val="single" w:color="auto" w:sz="4" w:space="0"/>
                    <w:left w:val="single" w:color="auto" w:sz="4" w:space="0"/>
                    <w:bottom w:val="single" w:color="auto" w:sz="4" w:space="0"/>
                    <w:right w:val="single" w:color="auto" w:sz="4" w:space="0"/>
                  </w:tcBorders>
                  <w:vAlign w:val="center"/>
                </w:tcPr>
                <w:p w14:paraId="1DA01B1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48DB4D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DBF55E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658F1AC">
                  <w:pPr>
                    <w:pStyle w:val="149"/>
                    <w:rPr>
                      <w:rFonts w:eastAsia="Times New Roman"/>
                    </w:rPr>
                  </w:pPr>
                  <w:r>
                    <w:rPr>
                      <w:rFonts w:hint="eastAsia" w:ascii="宋体" w:hAnsi="宋体" w:eastAsia="宋体" w:cs="宋体"/>
                    </w:rPr>
                    <w:t>夜间</w:t>
                  </w:r>
                </w:p>
              </w:tc>
            </w:tr>
            <w:tr w14:paraId="7A5567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7BE881E">
                  <w:pPr>
                    <w:pStyle w:val="149"/>
                    <w:rPr>
                      <w:rFonts w:eastAsia="Times New Roman"/>
                    </w:rPr>
                  </w:pPr>
                  <w:r>
                    <w:rPr>
                      <w:rFonts w:eastAsia="Times New Roman"/>
                    </w:rPr>
                    <w:t>167</w:t>
                  </w:r>
                </w:p>
              </w:tc>
              <w:tc>
                <w:tcPr>
                  <w:tcW w:w="848" w:type="pct"/>
                  <w:tcBorders>
                    <w:top w:val="single" w:color="auto" w:sz="4" w:space="0"/>
                    <w:left w:val="single" w:color="auto" w:sz="4" w:space="0"/>
                    <w:bottom w:val="single" w:color="auto" w:sz="4" w:space="0"/>
                    <w:right w:val="single" w:color="auto" w:sz="4" w:space="0"/>
                  </w:tcBorders>
                  <w:vAlign w:val="center"/>
                </w:tcPr>
                <w:p w14:paraId="16AA3C09">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13532E5D">
                  <w:pPr>
                    <w:pStyle w:val="149"/>
                    <w:rPr>
                      <w:rFonts w:eastAsia="Times New Roman"/>
                    </w:rPr>
                  </w:pPr>
                  <w:r>
                    <w:rPr>
                      <w:rFonts w:hint="eastAsia" w:eastAsia="Times New Roman"/>
                    </w:rPr>
                    <w:t>111.64</w:t>
                  </w:r>
                </w:p>
              </w:tc>
              <w:tc>
                <w:tcPr>
                  <w:tcW w:w="440" w:type="pct"/>
                  <w:tcBorders>
                    <w:top w:val="single" w:color="auto" w:sz="4" w:space="0"/>
                    <w:left w:val="single" w:color="auto" w:sz="4" w:space="0"/>
                    <w:bottom w:val="single" w:color="auto" w:sz="4" w:space="0"/>
                    <w:right w:val="single" w:color="auto" w:sz="4" w:space="0"/>
                  </w:tcBorders>
                  <w:vAlign w:val="center"/>
                </w:tcPr>
                <w:p w14:paraId="43486213">
                  <w:pPr>
                    <w:pStyle w:val="149"/>
                    <w:rPr>
                      <w:rFonts w:eastAsia="Times New Roman"/>
                    </w:rPr>
                  </w:pPr>
                  <w:r>
                    <w:rPr>
                      <w:rFonts w:hint="eastAsia" w:eastAsia="Times New Roman"/>
                    </w:rPr>
                    <w:t>60.07</w:t>
                  </w:r>
                </w:p>
              </w:tc>
              <w:tc>
                <w:tcPr>
                  <w:tcW w:w="457" w:type="pct"/>
                  <w:tcBorders>
                    <w:top w:val="single" w:color="auto" w:sz="4" w:space="0"/>
                    <w:left w:val="single" w:color="auto" w:sz="4" w:space="0"/>
                    <w:bottom w:val="single" w:color="auto" w:sz="4" w:space="0"/>
                    <w:right w:val="single" w:color="auto" w:sz="4" w:space="0"/>
                  </w:tcBorders>
                  <w:vAlign w:val="center"/>
                </w:tcPr>
                <w:p w14:paraId="5932DD0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BFF0F2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2550D4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F4F5DA0">
                  <w:pPr>
                    <w:pStyle w:val="149"/>
                    <w:rPr>
                      <w:rFonts w:eastAsia="Times New Roman"/>
                    </w:rPr>
                  </w:pPr>
                  <w:r>
                    <w:rPr>
                      <w:rFonts w:hint="eastAsia" w:ascii="宋体" w:hAnsi="宋体" w:eastAsia="宋体" w:cs="宋体"/>
                    </w:rPr>
                    <w:t>昼间</w:t>
                  </w:r>
                </w:p>
              </w:tc>
            </w:tr>
            <w:tr w14:paraId="3227F6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720A852">
                  <w:pPr>
                    <w:pStyle w:val="149"/>
                    <w:rPr>
                      <w:rFonts w:eastAsia="Times New Roman"/>
                    </w:rPr>
                  </w:pPr>
                  <w:r>
                    <w:rPr>
                      <w:rFonts w:eastAsia="Times New Roman"/>
                    </w:rPr>
                    <w:t>168</w:t>
                  </w:r>
                </w:p>
              </w:tc>
              <w:tc>
                <w:tcPr>
                  <w:tcW w:w="848" w:type="pct"/>
                  <w:tcBorders>
                    <w:top w:val="single" w:color="auto" w:sz="4" w:space="0"/>
                    <w:left w:val="single" w:color="auto" w:sz="4" w:space="0"/>
                    <w:bottom w:val="single" w:color="auto" w:sz="4" w:space="0"/>
                    <w:right w:val="single" w:color="auto" w:sz="4" w:space="0"/>
                  </w:tcBorders>
                  <w:vAlign w:val="center"/>
                </w:tcPr>
                <w:p w14:paraId="5F854CC5">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065F164C">
                  <w:pPr>
                    <w:pStyle w:val="149"/>
                    <w:rPr>
                      <w:rFonts w:eastAsia="Times New Roman"/>
                    </w:rPr>
                  </w:pPr>
                  <w:r>
                    <w:rPr>
                      <w:rFonts w:hint="eastAsia" w:eastAsia="Times New Roman"/>
                    </w:rPr>
                    <w:t>111.64</w:t>
                  </w:r>
                </w:p>
              </w:tc>
              <w:tc>
                <w:tcPr>
                  <w:tcW w:w="440" w:type="pct"/>
                  <w:tcBorders>
                    <w:top w:val="single" w:color="auto" w:sz="4" w:space="0"/>
                    <w:left w:val="single" w:color="auto" w:sz="4" w:space="0"/>
                    <w:bottom w:val="single" w:color="auto" w:sz="4" w:space="0"/>
                    <w:right w:val="single" w:color="auto" w:sz="4" w:space="0"/>
                  </w:tcBorders>
                  <w:vAlign w:val="center"/>
                </w:tcPr>
                <w:p w14:paraId="091E8428">
                  <w:pPr>
                    <w:pStyle w:val="149"/>
                    <w:rPr>
                      <w:rFonts w:eastAsia="Times New Roman"/>
                    </w:rPr>
                  </w:pPr>
                  <w:r>
                    <w:rPr>
                      <w:rFonts w:hint="eastAsia" w:eastAsia="Times New Roman"/>
                    </w:rPr>
                    <w:t>60.07</w:t>
                  </w:r>
                </w:p>
              </w:tc>
              <w:tc>
                <w:tcPr>
                  <w:tcW w:w="457" w:type="pct"/>
                  <w:tcBorders>
                    <w:top w:val="single" w:color="auto" w:sz="4" w:space="0"/>
                    <w:left w:val="single" w:color="auto" w:sz="4" w:space="0"/>
                    <w:bottom w:val="single" w:color="auto" w:sz="4" w:space="0"/>
                    <w:right w:val="single" w:color="auto" w:sz="4" w:space="0"/>
                  </w:tcBorders>
                  <w:vAlign w:val="center"/>
                </w:tcPr>
                <w:p w14:paraId="1E5CDEFC">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A5BDDC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422C67A">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1A7FA89">
                  <w:pPr>
                    <w:pStyle w:val="149"/>
                    <w:rPr>
                      <w:rFonts w:eastAsia="Times New Roman"/>
                    </w:rPr>
                  </w:pPr>
                  <w:r>
                    <w:rPr>
                      <w:rFonts w:hint="eastAsia" w:ascii="宋体" w:hAnsi="宋体" w:eastAsia="宋体" w:cs="宋体"/>
                    </w:rPr>
                    <w:t>夜间</w:t>
                  </w:r>
                </w:p>
              </w:tc>
            </w:tr>
            <w:tr w14:paraId="3A25FF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CCE4870">
                  <w:pPr>
                    <w:pStyle w:val="149"/>
                    <w:rPr>
                      <w:rFonts w:eastAsia="Times New Roman"/>
                    </w:rPr>
                  </w:pPr>
                  <w:r>
                    <w:rPr>
                      <w:rFonts w:eastAsia="Times New Roman"/>
                    </w:rPr>
                    <w:t>169</w:t>
                  </w:r>
                </w:p>
              </w:tc>
              <w:tc>
                <w:tcPr>
                  <w:tcW w:w="848" w:type="pct"/>
                  <w:tcBorders>
                    <w:top w:val="single" w:color="auto" w:sz="4" w:space="0"/>
                    <w:left w:val="single" w:color="auto" w:sz="4" w:space="0"/>
                    <w:bottom w:val="single" w:color="auto" w:sz="4" w:space="0"/>
                    <w:right w:val="single" w:color="auto" w:sz="4" w:space="0"/>
                  </w:tcBorders>
                  <w:vAlign w:val="center"/>
                </w:tcPr>
                <w:p w14:paraId="3B632615">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56D18FB0">
                  <w:pPr>
                    <w:pStyle w:val="149"/>
                    <w:rPr>
                      <w:rFonts w:eastAsia="Times New Roman"/>
                    </w:rPr>
                  </w:pPr>
                  <w:r>
                    <w:rPr>
                      <w:rFonts w:hint="eastAsia" w:eastAsia="Times New Roman"/>
                    </w:rPr>
                    <w:t>64.83</w:t>
                  </w:r>
                </w:p>
              </w:tc>
              <w:tc>
                <w:tcPr>
                  <w:tcW w:w="440" w:type="pct"/>
                  <w:tcBorders>
                    <w:top w:val="single" w:color="auto" w:sz="4" w:space="0"/>
                    <w:left w:val="single" w:color="auto" w:sz="4" w:space="0"/>
                    <w:bottom w:val="single" w:color="auto" w:sz="4" w:space="0"/>
                    <w:right w:val="single" w:color="auto" w:sz="4" w:space="0"/>
                  </w:tcBorders>
                  <w:vAlign w:val="center"/>
                </w:tcPr>
                <w:p w14:paraId="0C50D29D">
                  <w:pPr>
                    <w:pStyle w:val="149"/>
                    <w:rPr>
                      <w:rFonts w:eastAsia="Times New Roman"/>
                    </w:rPr>
                  </w:pPr>
                  <w:r>
                    <w:rPr>
                      <w:rFonts w:hint="eastAsia" w:eastAsia="Times New Roman"/>
                    </w:rPr>
                    <w:t>70.19</w:t>
                  </w:r>
                </w:p>
              </w:tc>
              <w:tc>
                <w:tcPr>
                  <w:tcW w:w="457" w:type="pct"/>
                  <w:tcBorders>
                    <w:top w:val="single" w:color="auto" w:sz="4" w:space="0"/>
                    <w:left w:val="single" w:color="auto" w:sz="4" w:space="0"/>
                    <w:bottom w:val="single" w:color="auto" w:sz="4" w:space="0"/>
                    <w:right w:val="single" w:color="auto" w:sz="4" w:space="0"/>
                  </w:tcBorders>
                  <w:vAlign w:val="center"/>
                </w:tcPr>
                <w:p w14:paraId="0240422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01876E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97FC108">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8EE9BD1">
                  <w:pPr>
                    <w:pStyle w:val="149"/>
                    <w:rPr>
                      <w:rFonts w:eastAsia="Times New Roman"/>
                    </w:rPr>
                  </w:pPr>
                  <w:r>
                    <w:rPr>
                      <w:rFonts w:hint="eastAsia" w:ascii="宋体" w:hAnsi="宋体" w:eastAsia="宋体" w:cs="宋体"/>
                    </w:rPr>
                    <w:t>昼间</w:t>
                  </w:r>
                </w:p>
              </w:tc>
            </w:tr>
            <w:tr w14:paraId="36178F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5403862">
                  <w:pPr>
                    <w:pStyle w:val="149"/>
                    <w:rPr>
                      <w:rFonts w:eastAsia="Times New Roman"/>
                    </w:rPr>
                  </w:pPr>
                  <w:r>
                    <w:rPr>
                      <w:rFonts w:eastAsia="Times New Roman"/>
                    </w:rPr>
                    <w:t>170</w:t>
                  </w:r>
                </w:p>
              </w:tc>
              <w:tc>
                <w:tcPr>
                  <w:tcW w:w="848" w:type="pct"/>
                  <w:tcBorders>
                    <w:top w:val="single" w:color="auto" w:sz="4" w:space="0"/>
                    <w:left w:val="single" w:color="auto" w:sz="4" w:space="0"/>
                    <w:bottom w:val="single" w:color="auto" w:sz="4" w:space="0"/>
                    <w:right w:val="single" w:color="auto" w:sz="4" w:space="0"/>
                  </w:tcBorders>
                  <w:vAlign w:val="center"/>
                </w:tcPr>
                <w:p w14:paraId="297F8BA8">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6498F08F">
                  <w:pPr>
                    <w:pStyle w:val="149"/>
                    <w:rPr>
                      <w:rFonts w:eastAsia="Times New Roman"/>
                    </w:rPr>
                  </w:pPr>
                  <w:r>
                    <w:rPr>
                      <w:rFonts w:hint="eastAsia" w:eastAsia="Times New Roman"/>
                    </w:rPr>
                    <w:t>64.83</w:t>
                  </w:r>
                </w:p>
              </w:tc>
              <w:tc>
                <w:tcPr>
                  <w:tcW w:w="440" w:type="pct"/>
                  <w:tcBorders>
                    <w:top w:val="single" w:color="auto" w:sz="4" w:space="0"/>
                    <w:left w:val="single" w:color="auto" w:sz="4" w:space="0"/>
                    <w:bottom w:val="single" w:color="auto" w:sz="4" w:space="0"/>
                    <w:right w:val="single" w:color="auto" w:sz="4" w:space="0"/>
                  </w:tcBorders>
                  <w:vAlign w:val="center"/>
                </w:tcPr>
                <w:p w14:paraId="4DE19C5D">
                  <w:pPr>
                    <w:pStyle w:val="149"/>
                    <w:rPr>
                      <w:rFonts w:eastAsia="Times New Roman"/>
                    </w:rPr>
                  </w:pPr>
                  <w:r>
                    <w:rPr>
                      <w:rFonts w:hint="eastAsia" w:eastAsia="Times New Roman"/>
                    </w:rPr>
                    <w:t>70.19</w:t>
                  </w:r>
                </w:p>
              </w:tc>
              <w:tc>
                <w:tcPr>
                  <w:tcW w:w="457" w:type="pct"/>
                  <w:tcBorders>
                    <w:top w:val="single" w:color="auto" w:sz="4" w:space="0"/>
                    <w:left w:val="single" w:color="auto" w:sz="4" w:space="0"/>
                    <w:bottom w:val="single" w:color="auto" w:sz="4" w:space="0"/>
                    <w:right w:val="single" w:color="auto" w:sz="4" w:space="0"/>
                  </w:tcBorders>
                  <w:vAlign w:val="center"/>
                </w:tcPr>
                <w:p w14:paraId="1F3B572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C1E75FD">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10636A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BC12E2F">
                  <w:pPr>
                    <w:pStyle w:val="149"/>
                    <w:rPr>
                      <w:rFonts w:eastAsia="Times New Roman"/>
                    </w:rPr>
                  </w:pPr>
                  <w:r>
                    <w:rPr>
                      <w:rFonts w:hint="eastAsia" w:ascii="宋体" w:hAnsi="宋体" w:eastAsia="宋体" w:cs="宋体"/>
                    </w:rPr>
                    <w:t>夜间</w:t>
                  </w:r>
                </w:p>
              </w:tc>
            </w:tr>
            <w:tr w14:paraId="51ADBC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17C864E">
                  <w:pPr>
                    <w:pStyle w:val="149"/>
                    <w:rPr>
                      <w:rFonts w:eastAsia="Times New Roman"/>
                    </w:rPr>
                  </w:pPr>
                  <w:r>
                    <w:rPr>
                      <w:rFonts w:eastAsia="Times New Roman"/>
                    </w:rPr>
                    <w:t>171</w:t>
                  </w:r>
                </w:p>
              </w:tc>
              <w:tc>
                <w:tcPr>
                  <w:tcW w:w="848" w:type="pct"/>
                  <w:tcBorders>
                    <w:top w:val="single" w:color="auto" w:sz="4" w:space="0"/>
                    <w:left w:val="single" w:color="auto" w:sz="4" w:space="0"/>
                    <w:bottom w:val="single" w:color="auto" w:sz="4" w:space="0"/>
                    <w:right w:val="single" w:color="auto" w:sz="4" w:space="0"/>
                  </w:tcBorders>
                  <w:vAlign w:val="center"/>
                </w:tcPr>
                <w:p w14:paraId="4B434972">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0DA7E3C5">
                  <w:pPr>
                    <w:pStyle w:val="149"/>
                    <w:rPr>
                      <w:rFonts w:eastAsia="Times New Roman"/>
                    </w:rPr>
                  </w:pPr>
                  <w:r>
                    <w:rPr>
                      <w:rFonts w:hint="eastAsia" w:eastAsia="Times New Roman"/>
                    </w:rPr>
                    <w:t>106.79</w:t>
                  </w:r>
                </w:p>
              </w:tc>
              <w:tc>
                <w:tcPr>
                  <w:tcW w:w="440" w:type="pct"/>
                  <w:tcBorders>
                    <w:top w:val="single" w:color="auto" w:sz="4" w:space="0"/>
                    <w:left w:val="single" w:color="auto" w:sz="4" w:space="0"/>
                    <w:bottom w:val="single" w:color="auto" w:sz="4" w:space="0"/>
                    <w:right w:val="single" w:color="auto" w:sz="4" w:space="0"/>
                  </w:tcBorders>
                  <w:vAlign w:val="center"/>
                </w:tcPr>
                <w:p w14:paraId="0BB67FCD">
                  <w:pPr>
                    <w:pStyle w:val="149"/>
                    <w:rPr>
                      <w:rFonts w:eastAsia="Times New Roman"/>
                    </w:rPr>
                  </w:pPr>
                  <w:r>
                    <w:rPr>
                      <w:rFonts w:hint="eastAsia" w:eastAsia="Times New Roman"/>
                    </w:rPr>
                    <w:t>60.67</w:t>
                  </w:r>
                </w:p>
              </w:tc>
              <w:tc>
                <w:tcPr>
                  <w:tcW w:w="457" w:type="pct"/>
                  <w:tcBorders>
                    <w:top w:val="single" w:color="auto" w:sz="4" w:space="0"/>
                    <w:left w:val="single" w:color="auto" w:sz="4" w:space="0"/>
                    <w:bottom w:val="single" w:color="auto" w:sz="4" w:space="0"/>
                    <w:right w:val="single" w:color="auto" w:sz="4" w:space="0"/>
                  </w:tcBorders>
                  <w:vAlign w:val="center"/>
                </w:tcPr>
                <w:p w14:paraId="736E592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09F05B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74F7A78">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BE3AD9B">
                  <w:pPr>
                    <w:pStyle w:val="149"/>
                    <w:rPr>
                      <w:rFonts w:eastAsia="Times New Roman"/>
                    </w:rPr>
                  </w:pPr>
                  <w:r>
                    <w:rPr>
                      <w:rFonts w:hint="eastAsia" w:ascii="宋体" w:hAnsi="宋体" w:eastAsia="宋体" w:cs="宋体"/>
                    </w:rPr>
                    <w:t>昼间</w:t>
                  </w:r>
                </w:p>
              </w:tc>
            </w:tr>
            <w:tr w14:paraId="67DC3D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D9CB9DA">
                  <w:pPr>
                    <w:pStyle w:val="149"/>
                    <w:rPr>
                      <w:rFonts w:eastAsia="Times New Roman"/>
                    </w:rPr>
                  </w:pPr>
                  <w:r>
                    <w:rPr>
                      <w:rFonts w:eastAsia="Times New Roman"/>
                    </w:rPr>
                    <w:t>172</w:t>
                  </w:r>
                </w:p>
              </w:tc>
              <w:tc>
                <w:tcPr>
                  <w:tcW w:w="848" w:type="pct"/>
                  <w:tcBorders>
                    <w:top w:val="single" w:color="auto" w:sz="4" w:space="0"/>
                    <w:left w:val="single" w:color="auto" w:sz="4" w:space="0"/>
                    <w:bottom w:val="single" w:color="auto" w:sz="4" w:space="0"/>
                    <w:right w:val="single" w:color="auto" w:sz="4" w:space="0"/>
                  </w:tcBorders>
                  <w:vAlign w:val="center"/>
                </w:tcPr>
                <w:p w14:paraId="33287BC5">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CDE3908">
                  <w:pPr>
                    <w:pStyle w:val="149"/>
                    <w:rPr>
                      <w:rFonts w:eastAsia="Times New Roman"/>
                    </w:rPr>
                  </w:pPr>
                  <w:r>
                    <w:rPr>
                      <w:rFonts w:hint="eastAsia" w:eastAsia="Times New Roman"/>
                    </w:rPr>
                    <w:t>106.79</w:t>
                  </w:r>
                </w:p>
              </w:tc>
              <w:tc>
                <w:tcPr>
                  <w:tcW w:w="440" w:type="pct"/>
                  <w:tcBorders>
                    <w:top w:val="single" w:color="auto" w:sz="4" w:space="0"/>
                    <w:left w:val="single" w:color="auto" w:sz="4" w:space="0"/>
                    <w:bottom w:val="single" w:color="auto" w:sz="4" w:space="0"/>
                    <w:right w:val="single" w:color="auto" w:sz="4" w:space="0"/>
                  </w:tcBorders>
                  <w:vAlign w:val="center"/>
                </w:tcPr>
                <w:p w14:paraId="1C997C28">
                  <w:pPr>
                    <w:pStyle w:val="149"/>
                    <w:rPr>
                      <w:rFonts w:eastAsia="Times New Roman"/>
                    </w:rPr>
                  </w:pPr>
                  <w:r>
                    <w:rPr>
                      <w:rFonts w:hint="eastAsia" w:eastAsia="Times New Roman"/>
                    </w:rPr>
                    <w:t>60.67</w:t>
                  </w:r>
                </w:p>
              </w:tc>
              <w:tc>
                <w:tcPr>
                  <w:tcW w:w="457" w:type="pct"/>
                  <w:tcBorders>
                    <w:top w:val="single" w:color="auto" w:sz="4" w:space="0"/>
                    <w:left w:val="single" w:color="auto" w:sz="4" w:space="0"/>
                    <w:bottom w:val="single" w:color="auto" w:sz="4" w:space="0"/>
                    <w:right w:val="single" w:color="auto" w:sz="4" w:space="0"/>
                  </w:tcBorders>
                  <w:vAlign w:val="center"/>
                </w:tcPr>
                <w:p w14:paraId="403B812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853A0D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C31751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0D936C8">
                  <w:pPr>
                    <w:pStyle w:val="149"/>
                    <w:rPr>
                      <w:rFonts w:eastAsia="Times New Roman"/>
                    </w:rPr>
                  </w:pPr>
                  <w:r>
                    <w:rPr>
                      <w:rFonts w:hint="eastAsia" w:ascii="宋体" w:hAnsi="宋体" w:eastAsia="宋体" w:cs="宋体"/>
                    </w:rPr>
                    <w:t>夜间</w:t>
                  </w:r>
                </w:p>
              </w:tc>
            </w:tr>
            <w:tr w14:paraId="1C33C4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07EB218">
                  <w:pPr>
                    <w:pStyle w:val="149"/>
                    <w:rPr>
                      <w:rFonts w:eastAsia="Times New Roman"/>
                    </w:rPr>
                  </w:pPr>
                  <w:r>
                    <w:rPr>
                      <w:rFonts w:eastAsia="Times New Roman"/>
                    </w:rPr>
                    <w:t>173</w:t>
                  </w:r>
                </w:p>
              </w:tc>
              <w:tc>
                <w:tcPr>
                  <w:tcW w:w="848" w:type="pct"/>
                  <w:tcBorders>
                    <w:top w:val="single" w:color="auto" w:sz="4" w:space="0"/>
                    <w:left w:val="single" w:color="auto" w:sz="4" w:space="0"/>
                    <w:bottom w:val="single" w:color="auto" w:sz="4" w:space="0"/>
                    <w:right w:val="single" w:color="auto" w:sz="4" w:space="0"/>
                  </w:tcBorders>
                  <w:vAlign w:val="center"/>
                </w:tcPr>
                <w:p w14:paraId="5E7A53EC">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29911052">
                  <w:pPr>
                    <w:pStyle w:val="149"/>
                    <w:rPr>
                      <w:rFonts w:eastAsia="Times New Roman"/>
                    </w:rPr>
                  </w:pPr>
                  <w:r>
                    <w:rPr>
                      <w:rFonts w:hint="eastAsia" w:eastAsia="Times New Roman"/>
                    </w:rPr>
                    <w:t>101.39</w:t>
                  </w:r>
                </w:p>
              </w:tc>
              <w:tc>
                <w:tcPr>
                  <w:tcW w:w="440" w:type="pct"/>
                  <w:tcBorders>
                    <w:top w:val="single" w:color="auto" w:sz="4" w:space="0"/>
                    <w:left w:val="single" w:color="auto" w:sz="4" w:space="0"/>
                    <w:bottom w:val="single" w:color="auto" w:sz="4" w:space="0"/>
                    <w:right w:val="single" w:color="auto" w:sz="4" w:space="0"/>
                  </w:tcBorders>
                  <w:vAlign w:val="center"/>
                </w:tcPr>
                <w:p w14:paraId="3186D7B6">
                  <w:pPr>
                    <w:pStyle w:val="149"/>
                    <w:rPr>
                      <w:rFonts w:eastAsia="Times New Roman"/>
                    </w:rPr>
                  </w:pPr>
                  <w:r>
                    <w:rPr>
                      <w:rFonts w:hint="eastAsia" w:eastAsia="Times New Roman"/>
                    </w:rPr>
                    <w:t>61.63</w:t>
                  </w:r>
                </w:p>
              </w:tc>
              <w:tc>
                <w:tcPr>
                  <w:tcW w:w="457" w:type="pct"/>
                  <w:tcBorders>
                    <w:top w:val="single" w:color="auto" w:sz="4" w:space="0"/>
                    <w:left w:val="single" w:color="auto" w:sz="4" w:space="0"/>
                    <w:bottom w:val="single" w:color="auto" w:sz="4" w:space="0"/>
                    <w:right w:val="single" w:color="auto" w:sz="4" w:space="0"/>
                  </w:tcBorders>
                  <w:vAlign w:val="center"/>
                </w:tcPr>
                <w:p w14:paraId="6041C8B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AFDD38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75BFEC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40C1DCB">
                  <w:pPr>
                    <w:pStyle w:val="149"/>
                    <w:rPr>
                      <w:rFonts w:eastAsia="Times New Roman"/>
                    </w:rPr>
                  </w:pPr>
                  <w:r>
                    <w:rPr>
                      <w:rFonts w:hint="eastAsia" w:ascii="宋体" w:hAnsi="宋体" w:eastAsia="宋体" w:cs="宋体"/>
                    </w:rPr>
                    <w:t>昼间</w:t>
                  </w:r>
                </w:p>
              </w:tc>
            </w:tr>
            <w:tr w14:paraId="48D5D8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2D16252">
                  <w:pPr>
                    <w:pStyle w:val="149"/>
                    <w:rPr>
                      <w:rFonts w:eastAsia="Times New Roman"/>
                    </w:rPr>
                  </w:pPr>
                  <w:r>
                    <w:rPr>
                      <w:rFonts w:eastAsia="Times New Roman"/>
                    </w:rPr>
                    <w:t>174</w:t>
                  </w:r>
                </w:p>
              </w:tc>
              <w:tc>
                <w:tcPr>
                  <w:tcW w:w="848" w:type="pct"/>
                  <w:tcBorders>
                    <w:top w:val="single" w:color="auto" w:sz="4" w:space="0"/>
                    <w:left w:val="single" w:color="auto" w:sz="4" w:space="0"/>
                    <w:bottom w:val="single" w:color="auto" w:sz="4" w:space="0"/>
                    <w:right w:val="single" w:color="auto" w:sz="4" w:space="0"/>
                  </w:tcBorders>
                  <w:vAlign w:val="center"/>
                </w:tcPr>
                <w:p w14:paraId="7EB57A21">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DCC7E03">
                  <w:pPr>
                    <w:pStyle w:val="149"/>
                    <w:rPr>
                      <w:rFonts w:eastAsia="Times New Roman"/>
                    </w:rPr>
                  </w:pPr>
                  <w:r>
                    <w:rPr>
                      <w:rFonts w:hint="eastAsia" w:eastAsia="Times New Roman"/>
                    </w:rPr>
                    <w:t>101.39</w:t>
                  </w:r>
                </w:p>
              </w:tc>
              <w:tc>
                <w:tcPr>
                  <w:tcW w:w="440" w:type="pct"/>
                  <w:tcBorders>
                    <w:top w:val="single" w:color="auto" w:sz="4" w:space="0"/>
                    <w:left w:val="single" w:color="auto" w:sz="4" w:space="0"/>
                    <w:bottom w:val="single" w:color="auto" w:sz="4" w:space="0"/>
                    <w:right w:val="single" w:color="auto" w:sz="4" w:space="0"/>
                  </w:tcBorders>
                  <w:vAlign w:val="center"/>
                </w:tcPr>
                <w:p w14:paraId="655084DC">
                  <w:pPr>
                    <w:pStyle w:val="149"/>
                    <w:rPr>
                      <w:rFonts w:eastAsia="Times New Roman"/>
                    </w:rPr>
                  </w:pPr>
                  <w:r>
                    <w:rPr>
                      <w:rFonts w:hint="eastAsia" w:eastAsia="Times New Roman"/>
                    </w:rPr>
                    <w:t>61.63</w:t>
                  </w:r>
                </w:p>
              </w:tc>
              <w:tc>
                <w:tcPr>
                  <w:tcW w:w="457" w:type="pct"/>
                  <w:tcBorders>
                    <w:top w:val="single" w:color="auto" w:sz="4" w:space="0"/>
                    <w:left w:val="single" w:color="auto" w:sz="4" w:space="0"/>
                    <w:bottom w:val="single" w:color="auto" w:sz="4" w:space="0"/>
                    <w:right w:val="single" w:color="auto" w:sz="4" w:space="0"/>
                  </w:tcBorders>
                  <w:vAlign w:val="center"/>
                </w:tcPr>
                <w:p w14:paraId="0F826C0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7280B5D">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5F4463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7D264A5">
                  <w:pPr>
                    <w:pStyle w:val="149"/>
                    <w:rPr>
                      <w:rFonts w:eastAsia="Times New Roman"/>
                    </w:rPr>
                  </w:pPr>
                  <w:r>
                    <w:rPr>
                      <w:rFonts w:hint="eastAsia" w:ascii="宋体" w:hAnsi="宋体" w:eastAsia="宋体" w:cs="宋体"/>
                    </w:rPr>
                    <w:t>夜间</w:t>
                  </w:r>
                </w:p>
              </w:tc>
            </w:tr>
            <w:tr w14:paraId="704D0A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34C6951">
                  <w:pPr>
                    <w:pStyle w:val="149"/>
                    <w:rPr>
                      <w:rFonts w:eastAsia="Times New Roman"/>
                    </w:rPr>
                  </w:pPr>
                  <w:r>
                    <w:rPr>
                      <w:rFonts w:eastAsia="Times New Roman"/>
                    </w:rPr>
                    <w:t>175</w:t>
                  </w:r>
                </w:p>
              </w:tc>
              <w:tc>
                <w:tcPr>
                  <w:tcW w:w="848" w:type="pct"/>
                  <w:tcBorders>
                    <w:top w:val="single" w:color="auto" w:sz="4" w:space="0"/>
                    <w:left w:val="single" w:color="auto" w:sz="4" w:space="0"/>
                    <w:bottom w:val="single" w:color="auto" w:sz="4" w:space="0"/>
                    <w:right w:val="single" w:color="auto" w:sz="4" w:space="0"/>
                  </w:tcBorders>
                  <w:vAlign w:val="center"/>
                </w:tcPr>
                <w:p w14:paraId="3BDBDF17">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0BA64527">
                  <w:pPr>
                    <w:pStyle w:val="149"/>
                    <w:rPr>
                      <w:rFonts w:eastAsia="Times New Roman"/>
                    </w:rPr>
                  </w:pPr>
                  <w:r>
                    <w:rPr>
                      <w:rFonts w:hint="eastAsia" w:eastAsia="Times New Roman"/>
                    </w:rPr>
                    <w:t>96.84</w:t>
                  </w:r>
                </w:p>
              </w:tc>
              <w:tc>
                <w:tcPr>
                  <w:tcW w:w="440" w:type="pct"/>
                  <w:tcBorders>
                    <w:top w:val="single" w:color="auto" w:sz="4" w:space="0"/>
                    <w:left w:val="single" w:color="auto" w:sz="4" w:space="0"/>
                    <w:bottom w:val="single" w:color="auto" w:sz="4" w:space="0"/>
                    <w:right w:val="single" w:color="auto" w:sz="4" w:space="0"/>
                  </w:tcBorders>
                  <w:vAlign w:val="center"/>
                </w:tcPr>
                <w:p w14:paraId="60800360">
                  <w:pPr>
                    <w:pStyle w:val="149"/>
                    <w:rPr>
                      <w:rFonts w:eastAsia="Times New Roman"/>
                    </w:rPr>
                  </w:pPr>
                  <w:r>
                    <w:rPr>
                      <w:rFonts w:hint="eastAsia" w:eastAsia="Times New Roman"/>
                    </w:rPr>
                    <w:t>62.51</w:t>
                  </w:r>
                </w:p>
              </w:tc>
              <w:tc>
                <w:tcPr>
                  <w:tcW w:w="457" w:type="pct"/>
                  <w:tcBorders>
                    <w:top w:val="single" w:color="auto" w:sz="4" w:space="0"/>
                    <w:left w:val="single" w:color="auto" w:sz="4" w:space="0"/>
                    <w:bottom w:val="single" w:color="auto" w:sz="4" w:space="0"/>
                    <w:right w:val="single" w:color="auto" w:sz="4" w:space="0"/>
                  </w:tcBorders>
                  <w:vAlign w:val="center"/>
                </w:tcPr>
                <w:p w14:paraId="23AD600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5AFE56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A492DA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504DA2A">
                  <w:pPr>
                    <w:pStyle w:val="149"/>
                    <w:rPr>
                      <w:rFonts w:eastAsia="Times New Roman"/>
                    </w:rPr>
                  </w:pPr>
                  <w:r>
                    <w:rPr>
                      <w:rFonts w:hint="eastAsia" w:ascii="宋体" w:hAnsi="宋体" w:eastAsia="宋体" w:cs="宋体"/>
                    </w:rPr>
                    <w:t>昼间</w:t>
                  </w:r>
                </w:p>
              </w:tc>
            </w:tr>
            <w:tr w14:paraId="6BB527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4BD2125">
                  <w:pPr>
                    <w:pStyle w:val="149"/>
                    <w:rPr>
                      <w:rFonts w:eastAsia="Times New Roman"/>
                    </w:rPr>
                  </w:pPr>
                  <w:r>
                    <w:rPr>
                      <w:rFonts w:eastAsia="Times New Roman"/>
                    </w:rPr>
                    <w:t>176</w:t>
                  </w:r>
                </w:p>
              </w:tc>
              <w:tc>
                <w:tcPr>
                  <w:tcW w:w="848" w:type="pct"/>
                  <w:tcBorders>
                    <w:top w:val="single" w:color="auto" w:sz="4" w:space="0"/>
                    <w:left w:val="single" w:color="auto" w:sz="4" w:space="0"/>
                    <w:bottom w:val="single" w:color="auto" w:sz="4" w:space="0"/>
                    <w:right w:val="single" w:color="auto" w:sz="4" w:space="0"/>
                  </w:tcBorders>
                  <w:vAlign w:val="center"/>
                </w:tcPr>
                <w:p w14:paraId="0D19890E">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2D86D72D">
                  <w:pPr>
                    <w:pStyle w:val="149"/>
                    <w:rPr>
                      <w:rFonts w:eastAsia="Times New Roman"/>
                    </w:rPr>
                  </w:pPr>
                  <w:r>
                    <w:rPr>
                      <w:rFonts w:hint="eastAsia" w:eastAsia="Times New Roman"/>
                    </w:rPr>
                    <w:t>96.84</w:t>
                  </w:r>
                </w:p>
              </w:tc>
              <w:tc>
                <w:tcPr>
                  <w:tcW w:w="440" w:type="pct"/>
                  <w:tcBorders>
                    <w:top w:val="single" w:color="auto" w:sz="4" w:space="0"/>
                    <w:left w:val="single" w:color="auto" w:sz="4" w:space="0"/>
                    <w:bottom w:val="single" w:color="auto" w:sz="4" w:space="0"/>
                    <w:right w:val="single" w:color="auto" w:sz="4" w:space="0"/>
                  </w:tcBorders>
                  <w:vAlign w:val="center"/>
                </w:tcPr>
                <w:p w14:paraId="377E64D9">
                  <w:pPr>
                    <w:pStyle w:val="149"/>
                    <w:rPr>
                      <w:rFonts w:eastAsia="Times New Roman"/>
                    </w:rPr>
                  </w:pPr>
                  <w:r>
                    <w:rPr>
                      <w:rFonts w:hint="eastAsia" w:eastAsia="Times New Roman"/>
                    </w:rPr>
                    <w:t>62.51</w:t>
                  </w:r>
                </w:p>
              </w:tc>
              <w:tc>
                <w:tcPr>
                  <w:tcW w:w="457" w:type="pct"/>
                  <w:tcBorders>
                    <w:top w:val="single" w:color="auto" w:sz="4" w:space="0"/>
                    <w:left w:val="single" w:color="auto" w:sz="4" w:space="0"/>
                    <w:bottom w:val="single" w:color="auto" w:sz="4" w:space="0"/>
                    <w:right w:val="single" w:color="auto" w:sz="4" w:space="0"/>
                  </w:tcBorders>
                  <w:vAlign w:val="center"/>
                </w:tcPr>
                <w:p w14:paraId="31DBC30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72DEF3C">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1B96892">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E5C6605">
                  <w:pPr>
                    <w:pStyle w:val="149"/>
                    <w:rPr>
                      <w:rFonts w:eastAsia="Times New Roman"/>
                    </w:rPr>
                  </w:pPr>
                  <w:r>
                    <w:rPr>
                      <w:rFonts w:hint="eastAsia" w:ascii="宋体" w:hAnsi="宋体" w:eastAsia="宋体" w:cs="宋体"/>
                    </w:rPr>
                    <w:t>夜间</w:t>
                  </w:r>
                </w:p>
              </w:tc>
            </w:tr>
            <w:tr w14:paraId="1B98E7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CDBBB14">
                  <w:pPr>
                    <w:pStyle w:val="149"/>
                    <w:rPr>
                      <w:rFonts w:eastAsia="Times New Roman"/>
                    </w:rPr>
                  </w:pPr>
                  <w:r>
                    <w:rPr>
                      <w:rFonts w:eastAsia="Times New Roman"/>
                    </w:rPr>
                    <w:t>177</w:t>
                  </w:r>
                </w:p>
              </w:tc>
              <w:tc>
                <w:tcPr>
                  <w:tcW w:w="848" w:type="pct"/>
                  <w:tcBorders>
                    <w:top w:val="single" w:color="auto" w:sz="4" w:space="0"/>
                    <w:left w:val="single" w:color="auto" w:sz="4" w:space="0"/>
                    <w:bottom w:val="single" w:color="auto" w:sz="4" w:space="0"/>
                    <w:right w:val="single" w:color="auto" w:sz="4" w:space="0"/>
                  </w:tcBorders>
                  <w:vAlign w:val="center"/>
                </w:tcPr>
                <w:p w14:paraId="59172AEE">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5043C37">
                  <w:pPr>
                    <w:pStyle w:val="149"/>
                    <w:rPr>
                      <w:rFonts w:eastAsia="Times New Roman"/>
                    </w:rPr>
                  </w:pPr>
                  <w:r>
                    <w:rPr>
                      <w:rFonts w:hint="eastAsia" w:eastAsia="Times New Roman"/>
                    </w:rPr>
                    <w:t>92.48</w:t>
                  </w:r>
                </w:p>
              </w:tc>
              <w:tc>
                <w:tcPr>
                  <w:tcW w:w="440" w:type="pct"/>
                  <w:tcBorders>
                    <w:top w:val="single" w:color="auto" w:sz="4" w:space="0"/>
                    <w:left w:val="single" w:color="auto" w:sz="4" w:space="0"/>
                    <w:bottom w:val="single" w:color="auto" w:sz="4" w:space="0"/>
                    <w:right w:val="single" w:color="auto" w:sz="4" w:space="0"/>
                  </w:tcBorders>
                  <w:vAlign w:val="center"/>
                </w:tcPr>
                <w:p w14:paraId="2B206F46">
                  <w:pPr>
                    <w:pStyle w:val="149"/>
                    <w:rPr>
                      <w:rFonts w:eastAsia="Times New Roman"/>
                    </w:rPr>
                  </w:pPr>
                  <w:r>
                    <w:rPr>
                      <w:rFonts w:hint="eastAsia" w:eastAsia="Times New Roman"/>
                    </w:rPr>
                    <w:t>63.03</w:t>
                  </w:r>
                </w:p>
              </w:tc>
              <w:tc>
                <w:tcPr>
                  <w:tcW w:w="457" w:type="pct"/>
                  <w:tcBorders>
                    <w:top w:val="single" w:color="auto" w:sz="4" w:space="0"/>
                    <w:left w:val="single" w:color="auto" w:sz="4" w:space="0"/>
                    <w:bottom w:val="single" w:color="auto" w:sz="4" w:space="0"/>
                    <w:right w:val="single" w:color="auto" w:sz="4" w:space="0"/>
                  </w:tcBorders>
                  <w:vAlign w:val="center"/>
                </w:tcPr>
                <w:p w14:paraId="35A37D5D">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58D38B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0E65B72">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65100E9">
                  <w:pPr>
                    <w:pStyle w:val="149"/>
                    <w:rPr>
                      <w:rFonts w:eastAsia="Times New Roman"/>
                    </w:rPr>
                  </w:pPr>
                  <w:r>
                    <w:rPr>
                      <w:rFonts w:hint="eastAsia" w:ascii="宋体" w:hAnsi="宋体" w:eastAsia="宋体" w:cs="宋体"/>
                    </w:rPr>
                    <w:t>昼间</w:t>
                  </w:r>
                </w:p>
              </w:tc>
            </w:tr>
            <w:tr w14:paraId="0072DC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950016B">
                  <w:pPr>
                    <w:pStyle w:val="149"/>
                    <w:rPr>
                      <w:rFonts w:eastAsia="Times New Roman"/>
                    </w:rPr>
                  </w:pPr>
                  <w:r>
                    <w:rPr>
                      <w:rFonts w:eastAsia="Times New Roman"/>
                    </w:rPr>
                    <w:t>178</w:t>
                  </w:r>
                </w:p>
              </w:tc>
              <w:tc>
                <w:tcPr>
                  <w:tcW w:w="848" w:type="pct"/>
                  <w:tcBorders>
                    <w:top w:val="single" w:color="auto" w:sz="4" w:space="0"/>
                    <w:left w:val="single" w:color="auto" w:sz="4" w:space="0"/>
                    <w:bottom w:val="single" w:color="auto" w:sz="4" w:space="0"/>
                    <w:right w:val="single" w:color="auto" w:sz="4" w:space="0"/>
                  </w:tcBorders>
                  <w:vAlign w:val="center"/>
                </w:tcPr>
                <w:p w14:paraId="18D1A2FD">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E0E9E48">
                  <w:pPr>
                    <w:pStyle w:val="149"/>
                    <w:rPr>
                      <w:rFonts w:eastAsia="Times New Roman"/>
                    </w:rPr>
                  </w:pPr>
                  <w:r>
                    <w:rPr>
                      <w:rFonts w:hint="eastAsia" w:eastAsia="Times New Roman"/>
                    </w:rPr>
                    <w:t>92.48</w:t>
                  </w:r>
                </w:p>
              </w:tc>
              <w:tc>
                <w:tcPr>
                  <w:tcW w:w="440" w:type="pct"/>
                  <w:tcBorders>
                    <w:top w:val="single" w:color="auto" w:sz="4" w:space="0"/>
                    <w:left w:val="single" w:color="auto" w:sz="4" w:space="0"/>
                    <w:bottom w:val="single" w:color="auto" w:sz="4" w:space="0"/>
                    <w:right w:val="single" w:color="auto" w:sz="4" w:space="0"/>
                  </w:tcBorders>
                  <w:vAlign w:val="center"/>
                </w:tcPr>
                <w:p w14:paraId="10B96349">
                  <w:pPr>
                    <w:pStyle w:val="149"/>
                    <w:rPr>
                      <w:rFonts w:eastAsia="Times New Roman"/>
                    </w:rPr>
                  </w:pPr>
                  <w:r>
                    <w:rPr>
                      <w:rFonts w:hint="eastAsia" w:eastAsia="Times New Roman"/>
                    </w:rPr>
                    <w:t>63.03</w:t>
                  </w:r>
                </w:p>
              </w:tc>
              <w:tc>
                <w:tcPr>
                  <w:tcW w:w="457" w:type="pct"/>
                  <w:tcBorders>
                    <w:top w:val="single" w:color="auto" w:sz="4" w:space="0"/>
                    <w:left w:val="single" w:color="auto" w:sz="4" w:space="0"/>
                    <w:bottom w:val="single" w:color="auto" w:sz="4" w:space="0"/>
                    <w:right w:val="single" w:color="auto" w:sz="4" w:space="0"/>
                  </w:tcBorders>
                  <w:vAlign w:val="center"/>
                </w:tcPr>
                <w:p w14:paraId="29FC766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7A12FD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EBDA39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37D596E">
                  <w:pPr>
                    <w:pStyle w:val="149"/>
                    <w:rPr>
                      <w:rFonts w:eastAsia="Times New Roman"/>
                    </w:rPr>
                  </w:pPr>
                  <w:r>
                    <w:rPr>
                      <w:rFonts w:hint="eastAsia" w:ascii="宋体" w:hAnsi="宋体" w:eastAsia="宋体" w:cs="宋体"/>
                    </w:rPr>
                    <w:t>夜间</w:t>
                  </w:r>
                </w:p>
              </w:tc>
            </w:tr>
            <w:tr w14:paraId="0E5838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597023F">
                  <w:pPr>
                    <w:pStyle w:val="149"/>
                    <w:rPr>
                      <w:rFonts w:eastAsia="Times New Roman"/>
                    </w:rPr>
                  </w:pPr>
                  <w:r>
                    <w:rPr>
                      <w:rFonts w:eastAsia="Times New Roman"/>
                    </w:rPr>
                    <w:t>179</w:t>
                  </w:r>
                </w:p>
              </w:tc>
              <w:tc>
                <w:tcPr>
                  <w:tcW w:w="848" w:type="pct"/>
                  <w:tcBorders>
                    <w:top w:val="single" w:color="auto" w:sz="4" w:space="0"/>
                    <w:left w:val="single" w:color="auto" w:sz="4" w:space="0"/>
                    <w:bottom w:val="single" w:color="auto" w:sz="4" w:space="0"/>
                    <w:right w:val="single" w:color="auto" w:sz="4" w:space="0"/>
                  </w:tcBorders>
                  <w:vAlign w:val="center"/>
                </w:tcPr>
                <w:p w14:paraId="4781A3A5">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7008757">
                  <w:pPr>
                    <w:pStyle w:val="149"/>
                    <w:rPr>
                      <w:rFonts w:eastAsia="Times New Roman"/>
                    </w:rPr>
                  </w:pPr>
                  <w:r>
                    <w:rPr>
                      <w:rFonts w:hint="eastAsia" w:eastAsia="Times New Roman"/>
                    </w:rPr>
                    <w:t>87.22</w:t>
                  </w:r>
                </w:p>
              </w:tc>
              <w:tc>
                <w:tcPr>
                  <w:tcW w:w="440" w:type="pct"/>
                  <w:tcBorders>
                    <w:top w:val="single" w:color="auto" w:sz="4" w:space="0"/>
                    <w:left w:val="single" w:color="auto" w:sz="4" w:space="0"/>
                    <w:bottom w:val="single" w:color="auto" w:sz="4" w:space="0"/>
                    <w:right w:val="single" w:color="auto" w:sz="4" w:space="0"/>
                  </w:tcBorders>
                  <w:vAlign w:val="center"/>
                </w:tcPr>
                <w:p w14:paraId="7D82303C">
                  <w:pPr>
                    <w:pStyle w:val="149"/>
                    <w:rPr>
                      <w:rFonts w:eastAsia="Times New Roman"/>
                    </w:rPr>
                  </w:pPr>
                  <w:r>
                    <w:rPr>
                      <w:rFonts w:hint="eastAsia" w:eastAsia="Times New Roman"/>
                    </w:rPr>
                    <w:t>63.63</w:t>
                  </w:r>
                </w:p>
              </w:tc>
              <w:tc>
                <w:tcPr>
                  <w:tcW w:w="457" w:type="pct"/>
                  <w:tcBorders>
                    <w:top w:val="single" w:color="auto" w:sz="4" w:space="0"/>
                    <w:left w:val="single" w:color="auto" w:sz="4" w:space="0"/>
                    <w:bottom w:val="single" w:color="auto" w:sz="4" w:space="0"/>
                    <w:right w:val="single" w:color="auto" w:sz="4" w:space="0"/>
                  </w:tcBorders>
                  <w:vAlign w:val="center"/>
                </w:tcPr>
                <w:p w14:paraId="4330F72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EC59D6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66D22C2">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C816D95">
                  <w:pPr>
                    <w:pStyle w:val="149"/>
                    <w:rPr>
                      <w:rFonts w:eastAsia="Times New Roman"/>
                    </w:rPr>
                  </w:pPr>
                  <w:r>
                    <w:rPr>
                      <w:rFonts w:hint="eastAsia" w:ascii="宋体" w:hAnsi="宋体" w:eastAsia="宋体" w:cs="宋体"/>
                    </w:rPr>
                    <w:t>昼间</w:t>
                  </w:r>
                </w:p>
              </w:tc>
            </w:tr>
            <w:tr w14:paraId="265C2F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FD57A07">
                  <w:pPr>
                    <w:pStyle w:val="149"/>
                    <w:rPr>
                      <w:rFonts w:eastAsia="Times New Roman"/>
                    </w:rPr>
                  </w:pPr>
                  <w:r>
                    <w:rPr>
                      <w:rFonts w:eastAsia="Times New Roman"/>
                    </w:rPr>
                    <w:t>180</w:t>
                  </w:r>
                </w:p>
              </w:tc>
              <w:tc>
                <w:tcPr>
                  <w:tcW w:w="848" w:type="pct"/>
                  <w:tcBorders>
                    <w:top w:val="single" w:color="auto" w:sz="4" w:space="0"/>
                    <w:left w:val="single" w:color="auto" w:sz="4" w:space="0"/>
                    <w:bottom w:val="single" w:color="auto" w:sz="4" w:space="0"/>
                    <w:right w:val="single" w:color="auto" w:sz="4" w:space="0"/>
                  </w:tcBorders>
                  <w:vAlign w:val="center"/>
                </w:tcPr>
                <w:p w14:paraId="3F7A295C">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ACF7F5D">
                  <w:pPr>
                    <w:pStyle w:val="149"/>
                    <w:rPr>
                      <w:rFonts w:eastAsia="Times New Roman"/>
                    </w:rPr>
                  </w:pPr>
                  <w:r>
                    <w:rPr>
                      <w:rFonts w:hint="eastAsia" w:eastAsia="Times New Roman"/>
                    </w:rPr>
                    <w:t>87.22</w:t>
                  </w:r>
                </w:p>
              </w:tc>
              <w:tc>
                <w:tcPr>
                  <w:tcW w:w="440" w:type="pct"/>
                  <w:tcBorders>
                    <w:top w:val="single" w:color="auto" w:sz="4" w:space="0"/>
                    <w:left w:val="single" w:color="auto" w:sz="4" w:space="0"/>
                    <w:bottom w:val="single" w:color="auto" w:sz="4" w:space="0"/>
                    <w:right w:val="single" w:color="auto" w:sz="4" w:space="0"/>
                  </w:tcBorders>
                  <w:vAlign w:val="center"/>
                </w:tcPr>
                <w:p w14:paraId="37555C5E">
                  <w:pPr>
                    <w:pStyle w:val="149"/>
                    <w:rPr>
                      <w:rFonts w:eastAsia="Times New Roman"/>
                    </w:rPr>
                  </w:pPr>
                  <w:r>
                    <w:rPr>
                      <w:rFonts w:hint="eastAsia" w:eastAsia="Times New Roman"/>
                    </w:rPr>
                    <w:t>63.63</w:t>
                  </w:r>
                </w:p>
              </w:tc>
              <w:tc>
                <w:tcPr>
                  <w:tcW w:w="457" w:type="pct"/>
                  <w:tcBorders>
                    <w:top w:val="single" w:color="auto" w:sz="4" w:space="0"/>
                    <w:left w:val="single" w:color="auto" w:sz="4" w:space="0"/>
                    <w:bottom w:val="single" w:color="auto" w:sz="4" w:space="0"/>
                    <w:right w:val="single" w:color="auto" w:sz="4" w:space="0"/>
                  </w:tcBorders>
                  <w:vAlign w:val="center"/>
                </w:tcPr>
                <w:p w14:paraId="6DDD853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70DC8E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3D8380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4623AC5">
                  <w:pPr>
                    <w:pStyle w:val="149"/>
                    <w:rPr>
                      <w:rFonts w:eastAsia="Times New Roman"/>
                    </w:rPr>
                  </w:pPr>
                  <w:r>
                    <w:rPr>
                      <w:rFonts w:hint="eastAsia" w:ascii="宋体" w:hAnsi="宋体" w:eastAsia="宋体" w:cs="宋体"/>
                    </w:rPr>
                    <w:t>夜间</w:t>
                  </w:r>
                </w:p>
              </w:tc>
            </w:tr>
            <w:tr w14:paraId="3E8083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22F33AC">
                  <w:pPr>
                    <w:pStyle w:val="149"/>
                    <w:rPr>
                      <w:rFonts w:eastAsia="Times New Roman"/>
                    </w:rPr>
                  </w:pPr>
                  <w:r>
                    <w:rPr>
                      <w:rFonts w:eastAsia="Times New Roman"/>
                    </w:rPr>
                    <w:t>181</w:t>
                  </w:r>
                </w:p>
              </w:tc>
              <w:tc>
                <w:tcPr>
                  <w:tcW w:w="848" w:type="pct"/>
                  <w:tcBorders>
                    <w:top w:val="single" w:color="auto" w:sz="4" w:space="0"/>
                    <w:left w:val="single" w:color="auto" w:sz="4" w:space="0"/>
                    <w:bottom w:val="single" w:color="auto" w:sz="4" w:space="0"/>
                    <w:right w:val="single" w:color="auto" w:sz="4" w:space="0"/>
                  </w:tcBorders>
                  <w:vAlign w:val="center"/>
                </w:tcPr>
                <w:p w14:paraId="3197B10B">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7763FC88">
                  <w:pPr>
                    <w:pStyle w:val="149"/>
                    <w:rPr>
                      <w:rFonts w:eastAsia="Times New Roman"/>
                    </w:rPr>
                  </w:pPr>
                  <w:r>
                    <w:rPr>
                      <w:rFonts w:hint="eastAsia" w:eastAsia="Times New Roman"/>
                    </w:rPr>
                    <w:t>81.84</w:t>
                  </w:r>
                </w:p>
              </w:tc>
              <w:tc>
                <w:tcPr>
                  <w:tcW w:w="440" w:type="pct"/>
                  <w:tcBorders>
                    <w:top w:val="single" w:color="auto" w:sz="4" w:space="0"/>
                    <w:left w:val="single" w:color="auto" w:sz="4" w:space="0"/>
                    <w:bottom w:val="single" w:color="auto" w:sz="4" w:space="0"/>
                    <w:right w:val="single" w:color="auto" w:sz="4" w:space="0"/>
                  </w:tcBorders>
                  <w:vAlign w:val="center"/>
                </w:tcPr>
                <w:p w14:paraId="24C49D19">
                  <w:pPr>
                    <w:pStyle w:val="149"/>
                    <w:rPr>
                      <w:rFonts w:eastAsia="Times New Roman"/>
                    </w:rPr>
                  </w:pPr>
                  <w:r>
                    <w:rPr>
                      <w:rFonts w:hint="eastAsia" w:eastAsia="Times New Roman"/>
                    </w:rPr>
                    <w:t>64.36</w:t>
                  </w:r>
                </w:p>
              </w:tc>
              <w:tc>
                <w:tcPr>
                  <w:tcW w:w="457" w:type="pct"/>
                  <w:tcBorders>
                    <w:top w:val="single" w:color="auto" w:sz="4" w:space="0"/>
                    <w:left w:val="single" w:color="auto" w:sz="4" w:space="0"/>
                    <w:bottom w:val="single" w:color="auto" w:sz="4" w:space="0"/>
                    <w:right w:val="single" w:color="auto" w:sz="4" w:space="0"/>
                  </w:tcBorders>
                  <w:vAlign w:val="center"/>
                </w:tcPr>
                <w:p w14:paraId="7DDB69E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3AE6148">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53584B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3A51BC5">
                  <w:pPr>
                    <w:pStyle w:val="149"/>
                    <w:rPr>
                      <w:rFonts w:eastAsia="Times New Roman"/>
                    </w:rPr>
                  </w:pPr>
                  <w:r>
                    <w:rPr>
                      <w:rFonts w:hint="eastAsia" w:ascii="宋体" w:hAnsi="宋体" w:eastAsia="宋体" w:cs="宋体"/>
                    </w:rPr>
                    <w:t>昼间</w:t>
                  </w:r>
                </w:p>
              </w:tc>
            </w:tr>
            <w:tr w14:paraId="50C7D2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8899975">
                  <w:pPr>
                    <w:pStyle w:val="149"/>
                    <w:rPr>
                      <w:rFonts w:eastAsia="Times New Roman"/>
                    </w:rPr>
                  </w:pPr>
                  <w:r>
                    <w:rPr>
                      <w:rFonts w:eastAsia="Times New Roman"/>
                    </w:rPr>
                    <w:t>182</w:t>
                  </w:r>
                </w:p>
              </w:tc>
              <w:tc>
                <w:tcPr>
                  <w:tcW w:w="848" w:type="pct"/>
                  <w:tcBorders>
                    <w:top w:val="single" w:color="auto" w:sz="4" w:space="0"/>
                    <w:left w:val="single" w:color="auto" w:sz="4" w:space="0"/>
                    <w:bottom w:val="single" w:color="auto" w:sz="4" w:space="0"/>
                    <w:right w:val="single" w:color="auto" w:sz="4" w:space="0"/>
                  </w:tcBorders>
                  <w:vAlign w:val="center"/>
                </w:tcPr>
                <w:p w14:paraId="2FAB3A6B">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66F997EF">
                  <w:pPr>
                    <w:pStyle w:val="149"/>
                    <w:rPr>
                      <w:rFonts w:eastAsia="Times New Roman"/>
                    </w:rPr>
                  </w:pPr>
                  <w:r>
                    <w:rPr>
                      <w:rFonts w:hint="eastAsia" w:eastAsia="Times New Roman"/>
                    </w:rPr>
                    <w:t>81.84</w:t>
                  </w:r>
                </w:p>
              </w:tc>
              <w:tc>
                <w:tcPr>
                  <w:tcW w:w="440" w:type="pct"/>
                  <w:tcBorders>
                    <w:top w:val="single" w:color="auto" w:sz="4" w:space="0"/>
                    <w:left w:val="single" w:color="auto" w:sz="4" w:space="0"/>
                    <w:bottom w:val="single" w:color="auto" w:sz="4" w:space="0"/>
                    <w:right w:val="single" w:color="auto" w:sz="4" w:space="0"/>
                  </w:tcBorders>
                  <w:vAlign w:val="center"/>
                </w:tcPr>
                <w:p w14:paraId="0F91F13B">
                  <w:pPr>
                    <w:pStyle w:val="149"/>
                    <w:rPr>
                      <w:rFonts w:eastAsia="Times New Roman"/>
                    </w:rPr>
                  </w:pPr>
                  <w:r>
                    <w:rPr>
                      <w:rFonts w:hint="eastAsia" w:eastAsia="Times New Roman"/>
                    </w:rPr>
                    <w:t>64.36</w:t>
                  </w:r>
                </w:p>
              </w:tc>
              <w:tc>
                <w:tcPr>
                  <w:tcW w:w="457" w:type="pct"/>
                  <w:tcBorders>
                    <w:top w:val="single" w:color="auto" w:sz="4" w:space="0"/>
                    <w:left w:val="single" w:color="auto" w:sz="4" w:space="0"/>
                    <w:bottom w:val="single" w:color="auto" w:sz="4" w:space="0"/>
                    <w:right w:val="single" w:color="auto" w:sz="4" w:space="0"/>
                  </w:tcBorders>
                  <w:vAlign w:val="center"/>
                </w:tcPr>
                <w:p w14:paraId="6DAFAD6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98A6B4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49CE73A">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0C5506C">
                  <w:pPr>
                    <w:pStyle w:val="149"/>
                    <w:rPr>
                      <w:rFonts w:eastAsia="Times New Roman"/>
                    </w:rPr>
                  </w:pPr>
                  <w:r>
                    <w:rPr>
                      <w:rFonts w:hint="eastAsia" w:ascii="宋体" w:hAnsi="宋体" w:eastAsia="宋体" w:cs="宋体"/>
                    </w:rPr>
                    <w:t>夜间</w:t>
                  </w:r>
                </w:p>
              </w:tc>
            </w:tr>
            <w:tr w14:paraId="442475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DF7ECD7">
                  <w:pPr>
                    <w:pStyle w:val="149"/>
                    <w:rPr>
                      <w:rFonts w:eastAsia="Times New Roman"/>
                    </w:rPr>
                  </w:pPr>
                  <w:r>
                    <w:rPr>
                      <w:rFonts w:eastAsia="Times New Roman"/>
                    </w:rPr>
                    <w:t>183</w:t>
                  </w:r>
                </w:p>
              </w:tc>
              <w:tc>
                <w:tcPr>
                  <w:tcW w:w="848" w:type="pct"/>
                  <w:tcBorders>
                    <w:top w:val="single" w:color="auto" w:sz="4" w:space="0"/>
                    <w:left w:val="single" w:color="auto" w:sz="4" w:space="0"/>
                    <w:bottom w:val="single" w:color="auto" w:sz="4" w:space="0"/>
                    <w:right w:val="single" w:color="auto" w:sz="4" w:space="0"/>
                  </w:tcBorders>
                  <w:vAlign w:val="center"/>
                </w:tcPr>
                <w:p w14:paraId="253F8B4A">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E90E2FB">
                  <w:pPr>
                    <w:pStyle w:val="149"/>
                    <w:rPr>
                      <w:rFonts w:eastAsia="Times New Roman"/>
                    </w:rPr>
                  </w:pPr>
                  <w:r>
                    <w:rPr>
                      <w:rFonts w:hint="eastAsia" w:eastAsia="Times New Roman"/>
                    </w:rPr>
                    <w:t>77.11</w:t>
                  </w:r>
                </w:p>
              </w:tc>
              <w:tc>
                <w:tcPr>
                  <w:tcW w:w="440" w:type="pct"/>
                  <w:tcBorders>
                    <w:top w:val="single" w:color="auto" w:sz="4" w:space="0"/>
                    <w:left w:val="single" w:color="auto" w:sz="4" w:space="0"/>
                    <w:bottom w:val="single" w:color="auto" w:sz="4" w:space="0"/>
                    <w:right w:val="single" w:color="auto" w:sz="4" w:space="0"/>
                  </w:tcBorders>
                  <w:vAlign w:val="center"/>
                </w:tcPr>
                <w:p w14:paraId="34CCA5B7">
                  <w:pPr>
                    <w:pStyle w:val="149"/>
                    <w:rPr>
                      <w:rFonts w:eastAsia="Times New Roman"/>
                    </w:rPr>
                  </w:pPr>
                  <w:r>
                    <w:rPr>
                      <w:rFonts w:hint="eastAsia" w:eastAsia="Times New Roman"/>
                    </w:rPr>
                    <w:t>64.45</w:t>
                  </w:r>
                </w:p>
              </w:tc>
              <w:tc>
                <w:tcPr>
                  <w:tcW w:w="457" w:type="pct"/>
                  <w:tcBorders>
                    <w:top w:val="single" w:color="auto" w:sz="4" w:space="0"/>
                    <w:left w:val="single" w:color="auto" w:sz="4" w:space="0"/>
                    <w:bottom w:val="single" w:color="auto" w:sz="4" w:space="0"/>
                    <w:right w:val="single" w:color="auto" w:sz="4" w:space="0"/>
                  </w:tcBorders>
                  <w:vAlign w:val="center"/>
                </w:tcPr>
                <w:p w14:paraId="09E715B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0EC05B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55E63BA">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1253817">
                  <w:pPr>
                    <w:pStyle w:val="149"/>
                    <w:rPr>
                      <w:rFonts w:eastAsia="Times New Roman"/>
                    </w:rPr>
                  </w:pPr>
                  <w:r>
                    <w:rPr>
                      <w:rFonts w:hint="eastAsia" w:ascii="宋体" w:hAnsi="宋体" w:eastAsia="宋体" w:cs="宋体"/>
                    </w:rPr>
                    <w:t>昼间</w:t>
                  </w:r>
                </w:p>
              </w:tc>
            </w:tr>
            <w:tr w14:paraId="087617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66B6907">
                  <w:pPr>
                    <w:pStyle w:val="149"/>
                    <w:rPr>
                      <w:rFonts w:eastAsia="Times New Roman"/>
                    </w:rPr>
                  </w:pPr>
                  <w:r>
                    <w:rPr>
                      <w:rFonts w:eastAsia="Times New Roman"/>
                    </w:rPr>
                    <w:t>184</w:t>
                  </w:r>
                </w:p>
              </w:tc>
              <w:tc>
                <w:tcPr>
                  <w:tcW w:w="848" w:type="pct"/>
                  <w:tcBorders>
                    <w:top w:val="single" w:color="auto" w:sz="4" w:space="0"/>
                    <w:left w:val="single" w:color="auto" w:sz="4" w:space="0"/>
                    <w:bottom w:val="single" w:color="auto" w:sz="4" w:space="0"/>
                    <w:right w:val="single" w:color="auto" w:sz="4" w:space="0"/>
                  </w:tcBorders>
                  <w:vAlign w:val="center"/>
                </w:tcPr>
                <w:p w14:paraId="0D7A50D6">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0015B63A">
                  <w:pPr>
                    <w:pStyle w:val="149"/>
                    <w:rPr>
                      <w:rFonts w:eastAsia="Times New Roman"/>
                    </w:rPr>
                  </w:pPr>
                  <w:r>
                    <w:rPr>
                      <w:rFonts w:hint="eastAsia" w:eastAsia="Times New Roman"/>
                    </w:rPr>
                    <w:t>77.11</w:t>
                  </w:r>
                </w:p>
              </w:tc>
              <w:tc>
                <w:tcPr>
                  <w:tcW w:w="440" w:type="pct"/>
                  <w:tcBorders>
                    <w:top w:val="single" w:color="auto" w:sz="4" w:space="0"/>
                    <w:left w:val="single" w:color="auto" w:sz="4" w:space="0"/>
                    <w:bottom w:val="single" w:color="auto" w:sz="4" w:space="0"/>
                    <w:right w:val="single" w:color="auto" w:sz="4" w:space="0"/>
                  </w:tcBorders>
                  <w:vAlign w:val="center"/>
                </w:tcPr>
                <w:p w14:paraId="50136E09">
                  <w:pPr>
                    <w:pStyle w:val="149"/>
                    <w:rPr>
                      <w:rFonts w:eastAsia="Times New Roman"/>
                    </w:rPr>
                  </w:pPr>
                  <w:r>
                    <w:rPr>
                      <w:rFonts w:hint="eastAsia" w:eastAsia="Times New Roman"/>
                    </w:rPr>
                    <w:t>64.45</w:t>
                  </w:r>
                </w:p>
              </w:tc>
              <w:tc>
                <w:tcPr>
                  <w:tcW w:w="457" w:type="pct"/>
                  <w:tcBorders>
                    <w:top w:val="single" w:color="auto" w:sz="4" w:space="0"/>
                    <w:left w:val="single" w:color="auto" w:sz="4" w:space="0"/>
                    <w:bottom w:val="single" w:color="auto" w:sz="4" w:space="0"/>
                    <w:right w:val="single" w:color="auto" w:sz="4" w:space="0"/>
                  </w:tcBorders>
                  <w:vAlign w:val="center"/>
                </w:tcPr>
                <w:p w14:paraId="2CC8AAE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39A60E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E0197A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EB6BE1F">
                  <w:pPr>
                    <w:pStyle w:val="149"/>
                    <w:rPr>
                      <w:rFonts w:eastAsia="Times New Roman"/>
                    </w:rPr>
                  </w:pPr>
                  <w:r>
                    <w:rPr>
                      <w:rFonts w:hint="eastAsia" w:ascii="宋体" w:hAnsi="宋体" w:eastAsia="宋体" w:cs="宋体"/>
                    </w:rPr>
                    <w:t>夜间</w:t>
                  </w:r>
                </w:p>
              </w:tc>
            </w:tr>
            <w:tr w14:paraId="1CB8F7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AE24CAA">
                  <w:pPr>
                    <w:pStyle w:val="149"/>
                    <w:rPr>
                      <w:rFonts w:eastAsia="Times New Roman"/>
                    </w:rPr>
                  </w:pPr>
                  <w:r>
                    <w:rPr>
                      <w:rFonts w:eastAsia="Times New Roman"/>
                    </w:rPr>
                    <w:t>185</w:t>
                  </w:r>
                </w:p>
              </w:tc>
              <w:tc>
                <w:tcPr>
                  <w:tcW w:w="848" w:type="pct"/>
                  <w:tcBorders>
                    <w:top w:val="single" w:color="auto" w:sz="4" w:space="0"/>
                    <w:left w:val="single" w:color="auto" w:sz="4" w:space="0"/>
                    <w:bottom w:val="single" w:color="auto" w:sz="4" w:space="0"/>
                    <w:right w:val="single" w:color="auto" w:sz="4" w:space="0"/>
                  </w:tcBorders>
                  <w:vAlign w:val="center"/>
                </w:tcPr>
                <w:p w14:paraId="74051DD9">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2140CC99">
                  <w:pPr>
                    <w:pStyle w:val="149"/>
                    <w:rPr>
                      <w:rFonts w:eastAsia="Times New Roman"/>
                    </w:rPr>
                  </w:pPr>
                  <w:r>
                    <w:rPr>
                      <w:rFonts w:hint="eastAsia" w:eastAsia="Times New Roman"/>
                    </w:rPr>
                    <w:t>71.62</w:t>
                  </w:r>
                </w:p>
              </w:tc>
              <w:tc>
                <w:tcPr>
                  <w:tcW w:w="440" w:type="pct"/>
                  <w:tcBorders>
                    <w:top w:val="single" w:color="auto" w:sz="4" w:space="0"/>
                    <w:left w:val="single" w:color="auto" w:sz="4" w:space="0"/>
                    <w:bottom w:val="single" w:color="auto" w:sz="4" w:space="0"/>
                    <w:right w:val="single" w:color="auto" w:sz="4" w:space="0"/>
                  </w:tcBorders>
                  <w:vAlign w:val="center"/>
                </w:tcPr>
                <w:p w14:paraId="67A9CB35">
                  <w:pPr>
                    <w:pStyle w:val="149"/>
                    <w:rPr>
                      <w:rFonts w:eastAsia="Times New Roman"/>
                    </w:rPr>
                  </w:pPr>
                  <w:r>
                    <w:rPr>
                      <w:rFonts w:hint="eastAsia" w:eastAsia="Times New Roman"/>
                    </w:rPr>
                    <w:t>65.3</w:t>
                  </w:r>
                </w:p>
              </w:tc>
              <w:tc>
                <w:tcPr>
                  <w:tcW w:w="457" w:type="pct"/>
                  <w:tcBorders>
                    <w:top w:val="single" w:color="auto" w:sz="4" w:space="0"/>
                    <w:left w:val="single" w:color="auto" w:sz="4" w:space="0"/>
                    <w:bottom w:val="single" w:color="auto" w:sz="4" w:space="0"/>
                    <w:right w:val="single" w:color="auto" w:sz="4" w:space="0"/>
                  </w:tcBorders>
                  <w:vAlign w:val="center"/>
                </w:tcPr>
                <w:p w14:paraId="323CC31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E8EF4A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077205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8091017">
                  <w:pPr>
                    <w:pStyle w:val="149"/>
                    <w:rPr>
                      <w:rFonts w:eastAsia="Times New Roman"/>
                    </w:rPr>
                  </w:pPr>
                  <w:r>
                    <w:rPr>
                      <w:rFonts w:hint="eastAsia" w:ascii="宋体" w:hAnsi="宋体" w:eastAsia="宋体" w:cs="宋体"/>
                    </w:rPr>
                    <w:t>昼间</w:t>
                  </w:r>
                </w:p>
              </w:tc>
            </w:tr>
            <w:tr w14:paraId="017832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E2351BB">
                  <w:pPr>
                    <w:pStyle w:val="149"/>
                    <w:rPr>
                      <w:rFonts w:eastAsia="Times New Roman"/>
                    </w:rPr>
                  </w:pPr>
                  <w:r>
                    <w:rPr>
                      <w:rFonts w:eastAsia="Times New Roman"/>
                    </w:rPr>
                    <w:t>186</w:t>
                  </w:r>
                </w:p>
              </w:tc>
              <w:tc>
                <w:tcPr>
                  <w:tcW w:w="848" w:type="pct"/>
                  <w:tcBorders>
                    <w:top w:val="single" w:color="auto" w:sz="4" w:space="0"/>
                    <w:left w:val="single" w:color="auto" w:sz="4" w:space="0"/>
                    <w:bottom w:val="single" w:color="auto" w:sz="4" w:space="0"/>
                    <w:right w:val="single" w:color="auto" w:sz="4" w:space="0"/>
                  </w:tcBorders>
                  <w:vAlign w:val="center"/>
                </w:tcPr>
                <w:p w14:paraId="701733CB">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658341F7">
                  <w:pPr>
                    <w:pStyle w:val="149"/>
                    <w:rPr>
                      <w:rFonts w:eastAsia="Times New Roman"/>
                    </w:rPr>
                  </w:pPr>
                  <w:r>
                    <w:rPr>
                      <w:rFonts w:hint="eastAsia" w:eastAsia="Times New Roman"/>
                    </w:rPr>
                    <w:t>71.62</w:t>
                  </w:r>
                </w:p>
              </w:tc>
              <w:tc>
                <w:tcPr>
                  <w:tcW w:w="440" w:type="pct"/>
                  <w:tcBorders>
                    <w:top w:val="single" w:color="auto" w:sz="4" w:space="0"/>
                    <w:left w:val="single" w:color="auto" w:sz="4" w:space="0"/>
                    <w:bottom w:val="single" w:color="auto" w:sz="4" w:space="0"/>
                    <w:right w:val="single" w:color="auto" w:sz="4" w:space="0"/>
                  </w:tcBorders>
                  <w:vAlign w:val="center"/>
                </w:tcPr>
                <w:p w14:paraId="104BDF8C">
                  <w:pPr>
                    <w:pStyle w:val="149"/>
                    <w:rPr>
                      <w:rFonts w:eastAsia="Times New Roman"/>
                    </w:rPr>
                  </w:pPr>
                  <w:r>
                    <w:rPr>
                      <w:rFonts w:hint="eastAsia" w:eastAsia="Times New Roman"/>
                    </w:rPr>
                    <w:t>65.3</w:t>
                  </w:r>
                </w:p>
              </w:tc>
              <w:tc>
                <w:tcPr>
                  <w:tcW w:w="457" w:type="pct"/>
                  <w:tcBorders>
                    <w:top w:val="single" w:color="auto" w:sz="4" w:space="0"/>
                    <w:left w:val="single" w:color="auto" w:sz="4" w:space="0"/>
                    <w:bottom w:val="single" w:color="auto" w:sz="4" w:space="0"/>
                    <w:right w:val="single" w:color="auto" w:sz="4" w:space="0"/>
                  </w:tcBorders>
                  <w:vAlign w:val="center"/>
                </w:tcPr>
                <w:p w14:paraId="32C9DD3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C9A411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6CAE9D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C378F0F">
                  <w:pPr>
                    <w:pStyle w:val="149"/>
                    <w:rPr>
                      <w:rFonts w:eastAsia="Times New Roman"/>
                    </w:rPr>
                  </w:pPr>
                  <w:r>
                    <w:rPr>
                      <w:rFonts w:hint="eastAsia" w:ascii="宋体" w:hAnsi="宋体" w:eastAsia="宋体" w:cs="宋体"/>
                    </w:rPr>
                    <w:t>夜间</w:t>
                  </w:r>
                </w:p>
              </w:tc>
            </w:tr>
            <w:tr w14:paraId="0D666A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5EC1682">
                  <w:pPr>
                    <w:pStyle w:val="149"/>
                    <w:rPr>
                      <w:rFonts w:eastAsia="Times New Roman"/>
                    </w:rPr>
                  </w:pPr>
                  <w:r>
                    <w:rPr>
                      <w:rFonts w:eastAsia="Times New Roman"/>
                    </w:rPr>
                    <w:t>187</w:t>
                  </w:r>
                </w:p>
              </w:tc>
              <w:tc>
                <w:tcPr>
                  <w:tcW w:w="848" w:type="pct"/>
                  <w:tcBorders>
                    <w:top w:val="single" w:color="auto" w:sz="4" w:space="0"/>
                    <w:left w:val="single" w:color="auto" w:sz="4" w:space="0"/>
                    <w:bottom w:val="single" w:color="auto" w:sz="4" w:space="0"/>
                    <w:right w:val="single" w:color="auto" w:sz="4" w:space="0"/>
                  </w:tcBorders>
                  <w:vAlign w:val="center"/>
                </w:tcPr>
                <w:p w14:paraId="6F31EC81">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074A68DE">
                  <w:pPr>
                    <w:pStyle w:val="149"/>
                    <w:rPr>
                      <w:rFonts w:eastAsia="Times New Roman"/>
                    </w:rPr>
                  </w:pPr>
                  <w:r>
                    <w:rPr>
                      <w:rFonts w:hint="eastAsia" w:eastAsia="Times New Roman"/>
                    </w:rPr>
                    <w:t>66.73</w:t>
                  </w:r>
                </w:p>
              </w:tc>
              <w:tc>
                <w:tcPr>
                  <w:tcW w:w="440" w:type="pct"/>
                  <w:tcBorders>
                    <w:top w:val="single" w:color="auto" w:sz="4" w:space="0"/>
                    <w:left w:val="single" w:color="auto" w:sz="4" w:space="0"/>
                    <w:bottom w:val="single" w:color="auto" w:sz="4" w:space="0"/>
                    <w:right w:val="single" w:color="auto" w:sz="4" w:space="0"/>
                  </w:tcBorders>
                  <w:vAlign w:val="center"/>
                </w:tcPr>
                <w:p w14:paraId="1C95C1E6">
                  <w:pPr>
                    <w:pStyle w:val="149"/>
                    <w:rPr>
                      <w:rFonts w:eastAsia="Times New Roman"/>
                    </w:rPr>
                  </w:pPr>
                  <w:r>
                    <w:rPr>
                      <w:rFonts w:hint="eastAsia" w:eastAsia="Times New Roman"/>
                    </w:rPr>
                    <w:t>66.11</w:t>
                  </w:r>
                </w:p>
              </w:tc>
              <w:tc>
                <w:tcPr>
                  <w:tcW w:w="457" w:type="pct"/>
                  <w:tcBorders>
                    <w:top w:val="single" w:color="auto" w:sz="4" w:space="0"/>
                    <w:left w:val="single" w:color="auto" w:sz="4" w:space="0"/>
                    <w:bottom w:val="single" w:color="auto" w:sz="4" w:space="0"/>
                    <w:right w:val="single" w:color="auto" w:sz="4" w:space="0"/>
                  </w:tcBorders>
                  <w:vAlign w:val="center"/>
                </w:tcPr>
                <w:p w14:paraId="539641D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07F584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67E5963">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1909412">
                  <w:pPr>
                    <w:pStyle w:val="149"/>
                    <w:rPr>
                      <w:rFonts w:eastAsia="Times New Roman"/>
                    </w:rPr>
                  </w:pPr>
                  <w:r>
                    <w:rPr>
                      <w:rFonts w:hint="eastAsia" w:ascii="宋体" w:hAnsi="宋体" w:eastAsia="宋体" w:cs="宋体"/>
                    </w:rPr>
                    <w:t>昼间</w:t>
                  </w:r>
                </w:p>
              </w:tc>
            </w:tr>
            <w:tr w14:paraId="3DAA8C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BFEB803">
                  <w:pPr>
                    <w:pStyle w:val="149"/>
                    <w:rPr>
                      <w:rFonts w:eastAsia="Times New Roman"/>
                    </w:rPr>
                  </w:pPr>
                  <w:r>
                    <w:rPr>
                      <w:rFonts w:eastAsia="Times New Roman"/>
                    </w:rPr>
                    <w:t>188</w:t>
                  </w:r>
                </w:p>
              </w:tc>
              <w:tc>
                <w:tcPr>
                  <w:tcW w:w="848" w:type="pct"/>
                  <w:tcBorders>
                    <w:top w:val="single" w:color="auto" w:sz="4" w:space="0"/>
                    <w:left w:val="single" w:color="auto" w:sz="4" w:space="0"/>
                    <w:bottom w:val="single" w:color="auto" w:sz="4" w:space="0"/>
                    <w:right w:val="single" w:color="auto" w:sz="4" w:space="0"/>
                  </w:tcBorders>
                  <w:vAlign w:val="center"/>
                </w:tcPr>
                <w:p w14:paraId="31E231E1">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3EAEF7F">
                  <w:pPr>
                    <w:pStyle w:val="149"/>
                    <w:rPr>
                      <w:rFonts w:eastAsia="Times New Roman"/>
                    </w:rPr>
                  </w:pPr>
                  <w:r>
                    <w:rPr>
                      <w:rFonts w:hint="eastAsia" w:eastAsia="Times New Roman"/>
                    </w:rPr>
                    <w:t>66.73</w:t>
                  </w:r>
                </w:p>
              </w:tc>
              <w:tc>
                <w:tcPr>
                  <w:tcW w:w="440" w:type="pct"/>
                  <w:tcBorders>
                    <w:top w:val="single" w:color="auto" w:sz="4" w:space="0"/>
                    <w:left w:val="single" w:color="auto" w:sz="4" w:space="0"/>
                    <w:bottom w:val="single" w:color="auto" w:sz="4" w:space="0"/>
                    <w:right w:val="single" w:color="auto" w:sz="4" w:space="0"/>
                  </w:tcBorders>
                  <w:vAlign w:val="center"/>
                </w:tcPr>
                <w:p w14:paraId="4D944AA3">
                  <w:pPr>
                    <w:pStyle w:val="149"/>
                    <w:rPr>
                      <w:rFonts w:eastAsia="Times New Roman"/>
                    </w:rPr>
                  </w:pPr>
                  <w:r>
                    <w:rPr>
                      <w:rFonts w:hint="eastAsia" w:eastAsia="Times New Roman"/>
                    </w:rPr>
                    <w:t>66.11</w:t>
                  </w:r>
                </w:p>
              </w:tc>
              <w:tc>
                <w:tcPr>
                  <w:tcW w:w="457" w:type="pct"/>
                  <w:tcBorders>
                    <w:top w:val="single" w:color="auto" w:sz="4" w:space="0"/>
                    <w:left w:val="single" w:color="auto" w:sz="4" w:space="0"/>
                    <w:bottom w:val="single" w:color="auto" w:sz="4" w:space="0"/>
                    <w:right w:val="single" w:color="auto" w:sz="4" w:space="0"/>
                  </w:tcBorders>
                  <w:vAlign w:val="center"/>
                </w:tcPr>
                <w:p w14:paraId="4D0BC0E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386D49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B98800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9FB9605">
                  <w:pPr>
                    <w:pStyle w:val="149"/>
                    <w:rPr>
                      <w:rFonts w:eastAsia="Times New Roman"/>
                    </w:rPr>
                  </w:pPr>
                  <w:r>
                    <w:rPr>
                      <w:rFonts w:hint="eastAsia" w:ascii="宋体" w:hAnsi="宋体" w:eastAsia="宋体" w:cs="宋体"/>
                    </w:rPr>
                    <w:t>夜间</w:t>
                  </w:r>
                </w:p>
              </w:tc>
            </w:tr>
            <w:tr w14:paraId="538E0C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4AA6B79">
                  <w:pPr>
                    <w:pStyle w:val="149"/>
                    <w:rPr>
                      <w:rFonts w:eastAsia="Times New Roman"/>
                    </w:rPr>
                  </w:pPr>
                  <w:r>
                    <w:rPr>
                      <w:rFonts w:eastAsia="Times New Roman"/>
                    </w:rPr>
                    <w:t>189</w:t>
                  </w:r>
                </w:p>
              </w:tc>
              <w:tc>
                <w:tcPr>
                  <w:tcW w:w="848" w:type="pct"/>
                  <w:tcBorders>
                    <w:top w:val="single" w:color="auto" w:sz="4" w:space="0"/>
                    <w:left w:val="single" w:color="auto" w:sz="4" w:space="0"/>
                    <w:bottom w:val="single" w:color="auto" w:sz="4" w:space="0"/>
                    <w:right w:val="single" w:color="auto" w:sz="4" w:space="0"/>
                  </w:tcBorders>
                  <w:vAlign w:val="center"/>
                </w:tcPr>
                <w:p w14:paraId="234CD6EF">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D92274F">
                  <w:pPr>
                    <w:pStyle w:val="149"/>
                    <w:rPr>
                      <w:rFonts w:eastAsia="Times New Roman"/>
                    </w:rPr>
                  </w:pPr>
                  <w:r>
                    <w:rPr>
                      <w:rFonts w:hint="eastAsia" w:eastAsia="Times New Roman"/>
                    </w:rPr>
                    <w:t>69.84</w:t>
                  </w:r>
                </w:p>
              </w:tc>
              <w:tc>
                <w:tcPr>
                  <w:tcW w:w="440" w:type="pct"/>
                  <w:tcBorders>
                    <w:top w:val="single" w:color="auto" w:sz="4" w:space="0"/>
                    <w:left w:val="single" w:color="auto" w:sz="4" w:space="0"/>
                    <w:bottom w:val="single" w:color="auto" w:sz="4" w:space="0"/>
                    <w:right w:val="single" w:color="auto" w:sz="4" w:space="0"/>
                  </w:tcBorders>
                  <w:vAlign w:val="center"/>
                </w:tcPr>
                <w:p w14:paraId="46CE3C74">
                  <w:pPr>
                    <w:pStyle w:val="149"/>
                    <w:rPr>
                      <w:rFonts w:eastAsia="Times New Roman"/>
                    </w:rPr>
                  </w:pPr>
                  <w:r>
                    <w:rPr>
                      <w:rFonts w:hint="eastAsia" w:eastAsia="Times New Roman"/>
                    </w:rPr>
                    <w:t>84.65</w:t>
                  </w:r>
                </w:p>
              </w:tc>
              <w:tc>
                <w:tcPr>
                  <w:tcW w:w="457" w:type="pct"/>
                  <w:tcBorders>
                    <w:top w:val="single" w:color="auto" w:sz="4" w:space="0"/>
                    <w:left w:val="single" w:color="auto" w:sz="4" w:space="0"/>
                    <w:bottom w:val="single" w:color="auto" w:sz="4" w:space="0"/>
                    <w:right w:val="single" w:color="auto" w:sz="4" w:space="0"/>
                  </w:tcBorders>
                  <w:vAlign w:val="center"/>
                </w:tcPr>
                <w:p w14:paraId="1EB7FADC">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01EDF8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E6EDE8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92EE271">
                  <w:pPr>
                    <w:pStyle w:val="149"/>
                    <w:rPr>
                      <w:rFonts w:eastAsia="Times New Roman"/>
                    </w:rPr>
                  </w:pPr>
                  <w:r>
                    <w:rPr>
                      <w:rFonts w:hint="eastAsia" w:ascii="宋体" w:hAnsi="宋体" w:eastAsia="宋体" w:cs="宋体"/>
                    </w:rPr>
                    <w:t>昼间</w:t>
                  </w:r>
                </w:p>
              </w:tc>
            </w:tr>
            <w:tr w14:paraId="431414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011BA77">
                  <w:pPr>
                    <w:pStyle w:val="149"/>
                    <w:rPr>
                      <w:rFonts w:eastAsia="Times New Roman"/>
                    </w:rPr>
                  </w:pPr>
                  <w:r>
                    <w:rPr>
                      <w:rFonts w:eastAsia="Times New Roman"/>
                    </w:rPr>
                    <w:t>190</w:t>
                  </w:r>
                </w:p>
              </w:tc>
              <w:tc>
                <w:tcPr>
                  <w:tcW w:w="848" w:type="pct"/>
                  <w:tcBorders>
                    <w:top w:val="single" w:color="auto" w:sz="4" w:space="0"/>
                    <w:left w:val="single" w:color="auto" w:sz="4" w:space="0"/>
                    <w:bottom w:val="single" w:color="auto" w:sz="4" w:space="0"/>
                    <w:right w:val="single" w:color="auto" w:sz="4" w:space="0"/>
                  </w:tcBorders>
                  <w:vAlign w:val="center"/>
                </w:tcPr>
                <w:p w14:paraId="58CCA952">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21DE28CB">
                  <w:pPr>
                    <w:pStyle w:val="149"/>
                    <w:rPr>
                      <w:rFonts w:eastAsia="Times New Roman"/>
                    </w:rPr>
                  </w:pPr>
                  <w:r>
                    <w:rPr>
                      <w:rFonts w:hint="eastAsia" w:eastAsia="Times New Roman"/>
                    </w:rPr>
                    <w:t>69.84</w:t>
                  </w:r>
                </w:p>
              </w:tc>
              <w:tc>
                <w:tcPr>
                  <w:tcW w:w="440" w:type="pct"/>
                  <w:tcBorders>
                    <w:top w:val="single" w:color="auto" w:sz="4" w:space="0"/>
                    <w:left w:val="single" w:color="auto" w:sz="4" w:space="0"/>
                    <w:bottom w:val="single" w:color="auto" w:sz="4" w:space="0"/>
                    <w:right w:val="single" w:color="auto" w:sz="4" w:space="0"/>
                  </w:tcBorders>
                  <w:vAlign w:val="center"/>
                </w:tcPr>
                <w:p w14:paraId="27104A63">
                  <w:pPr>
                    <w:pStyle w:val="149"/>
                    <w:rPr>
                      <w:rFonts w:eastAsia="Times New Roman"/>
                    </w:rPr>
                  </w:pPr>
                  <w:r>
                    <w:rPr>
                      <w:rFonts w:hint="eastAsia" w:eastAsia="Times New Roman"/>
                    </w:rPr>
                    <w:t>84.65</w:t>
                  </w:r>
                </w:p>
              </w:tc>
              <w:tc>
                <w:tcPr>
                  <w:tcW w:w="457" w:type="pct"/>
                  <w:tcBorders>
                    <w:top w:val="single" w:color="auto" w:sz="4" w:space="0"/>
                    <w:left w:val="single" w:color="auto" w:sz="4" w:space="0"/>
                    <w:bottom w:val="single" w:color="auto" w:sz="4" w:space="0"/>
                    <w:right w:val="single" w:color="auto" w:sz="4" w:space="0"/>
                  </w:tcBorders>
                  <w:vAlign w:val="center"/>
                </w:tcPr>
                <w:p w14:paraId="4E4984C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E4FC45D">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856094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F810F9E">
                  <w:pPr>
                    <w:pStyle w:val="149"/>
                    <w:rPr>
                      <w:rFonts w:eastAsia="Times New Roman"/>
                    </w:rPr>
                  </w:pPr>
                  <w:r>
                    <w:rPr>
                      <w:rFonts w:hint="eastAsia" w:ascii="宋体" w:hAnsi="宋体" w:eastAsia="宋体" w:cs="宋体"/>
                    </w:rPr>
                    <w:t>夜间</w:t>
                  </w:r>
                </w:p>
              </w:tc>
            </w:tr>
            <w:tr w14:paraId="09B6E8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8E7836D">
                  <w:pPr>
                    <w:pStyle w:val="149"/>
                    <w:rPr>
                      <w:rFonts w:eastAsia="Times New Roman"/>
                    </w:rPr>
                  </w:pPr>
                  <w:r>
                    <w:rPr>
                      <w:rFonts w:eastAsia="Times New Roman"/>
                    </w:rPr>
                    <w:t>191</w:t>
                  </w:r>
                </w:p>
              </w:tc>
              <w:tc>
                <w:tcPr>
                  <w:tcW w:w="848" w:type="pct"/>
                  <w:tcBorders>
                    <w:top w:val="single" w:color="auto" w:sz="4" w:space="0"/>
                    <w:left w:val="single" w:color="auto" w:sz="4" w:space="0"/>
                    <w:bottom w:val="single" w:color="auto" w:sz="4" w:space="0"/>
                    <w:right w:val="single" w:color="auto" w:sz="4" w:space="0"/>
                  </w:tcBorders>
                  <w:vAlign w:val="center"/>
                </w:tcPr>
                <w:p w14:paraId="22ADB24C">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24A2C76C">
                  <w:pPr>
                    <w:pStyle w:val="149"/>
                    <w:rPr>
                      <w:rFonts w:eastAsia="Times New Roman"/>
                    </w:rPr>
                  </w:pPr>
                  <w:r>
                    <w:rPr>
                      <w:rFonts w:hint="eastAsia" w:eastAsia="Times New Roman"/>
                    </w:rPr>
                    <w:t>74.73</w:t>
                  </w:r>
                </w:p>
              </w:tc>
              <w:tc>
                <w:tcPr>
                  <w:tcW w:w="440" w:type="pct"/>
                  <w:tcBorders>
                    <w:top w:val="single" w:color="auto" w:sz="4" w:space="0"/>
                    <w:left w:val="single" w:color="auto" w:sz="4" w:space="0"/>
                    <w:bottom w:val="single" w:color="auto" w:sz="4" w:space="0"/>
                    <w:right w:val="single" w:color="auto" w:sz="4" w:space="0"/>
                  </w:tcBorders>
                  <w:vAlign w:val="center"/>
                </w:tcPr>
                <w:p w14:paraId="1D9AA1D6">
                  <w:pPr>
                    <w:pStyle w:val="149"/>
                    <w:rPr>
                      <w:rFonts w:eastAsia="Times New Roman"/>
                    </w:rPr>
                  </w:pPr>
                  <w:r>
                    <w:rPr>
                      <w:rFonts w:hint="eastAsia" w:eastAsia="Times New Roman"/>
                    </w:rPr>
                    <w:t>83.75</w:t>
                  </w:r>
                </w:p>
              </w:tc>
              <w:tc>
                <w:tcPr>
                  <w:tcW w:w="457" w:type="pct"/>
                  <w:tcBorders>
                    <w:top w:val="single" w:color="auto" w:sz="4" w:space="0"/>
                    <w:left w:val="single" w:color="auto" w:sz="4" w:space="0"/>
                    <w:bottom w:val="single" w:color="auto" w:sz="4" w:space="0"/>
                    <w:right w:val="single" w:color="auto" w:sz="4" w:space="0"/>
                  </w:tcBorders>
                  <w:vAlign w:val="center"/>
                </w:tcPr>
                <w:p w14:paraId="5C58C55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F5302D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089065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0983CA9">
                  <w:pPr>
                    <w:pStyle w:val="149"/>
                    <w:rPr>
                      <w:rFonts w:eastAsia="Times New Roman"/>
                    </w:rPr>
                  </w:pPr>
                  <w:r>
                    <w:rPr>
                      <w:rFonts w:hint="eastAsia" w:ascii="宋体" w:hAnsi="宋体" w:eastAsia="宋体" w:cs="宋体"/>
                    </w:rPr>
                    <w:t>昼间</w:t>
                  </w:r>
                </w:p>
              </w:tc>
            </w:tr>
            <w:tr w14:paraId="4407BE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1754819">
                  <w:pPr>
                    <w:pStyle w:val="149"/>
                    <w:rPr>
                      <w:rFonts w:eastAsia="Times New Roman"/>
                    </w:rPr>
                  </w:pPr>
                  <w:r>
                    <w:rPr>
                      <w:rFonts w:eastAsia="Times New Roman"/>
                    </w:rPr>
                    <w:t>192</w:t>
                  </w:r>
                </w:p>
              </w:tc>
              <w:tc>
                <w:tcPr>
                  <w:tcW w:w="848" w:type="pct"/>
                  <w:tcBorders>
                    <w:top w:val="single" w:color="auto" w:sz="4" w:space="0"/>
                    <w:left w:val="single" w:color="auto" w:sz="4" w:space="0"/>
                    <w:bottom w:val="single" w:color="auto" w:sz="4" w:space="0"/>
                    <w:right w:val="single" w:color="auto" w:sz="4" w:space="0"/>
                  </w:tcBorders>
                  <w:vAlign w:val="center"/>
                </w:tcPr>
                <w:p w14:paraId="041D4E0B">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569C6D39">
                  <w:pPr>
                    <w:pStyle w:val="149"/>
                    <w:rPr>
                      <w:rFonts w:eastAsia="Times New Roman"/>
                    </w:rPr>
                  </w:pPr>
                  <w:r>
                    <w:rPr>
                      <w:rFonts w:hint="eastAsia" w:eastAsia="Times New Roman"/>
                    </w:rPr>
                    <w:t>74.73</w:t>
                  </w:r>
                </w:p>
              </w:tc>
              <w:tc>
                <w:tcPr>
                  <w:tcW w:w="440" w:type="pct"/>
                  <w:tcBorders>
                    <w:top w:val="single" w:color="auto" w:sz="4" w:space="0"/>
                    <w:left w:val="single" w:color="auto" w:sz="4" w:space="0"/>
                    <w:bottom w:val="single" w:color="auto" w:sz="4" w:space="0"/>
                    <w:right w:val="single" w:color="auto" w:sz="4" w:space="0"/>
                  </w:tcBorders>
                  <w:vAlign w:val="center"/>
                </w:tcPr>
                <w:p w14:paraId="6998DF62">
                  <w:pPr>
                    <w:pStyle w:val="149"/>
                    <w:rPr>
                      <w:rFonts w:eastAsia="Times New Roman"/>
                    </w:rPr>
                  </w:pPr>
                  <w:r>
                    <w:rPr>
                      <w:rFonts w:hint="eastAsia" w:eastAsia="Times New Roman"/>
                    </w:rPr>
                    <w:t>83.75</w:t>
                  </w:r>
                </w:p>
              </w:tc>
              <w:tc>
                <w:tcPr>
                  <w:tcW w:w="457" w:type="pct"/>
                  <w:tcBorders>
                    <w:top w:val="single" w:color="auto" w:sz="4" w:space="0"/>
                    <w:left w:val="single" w:color="auto" w:sz="4" w:space="0"/>
                    <w:bottom w:val="single" w:color="auto" w:sz="4" w:space="0"/>
                    <w:right w:val="single" w:color="auto" w:sz="4" w:space="0"/>
                  </w:tcBorders>
                  <w:vAlign w:val="center"/>
                </w:tcPr>
                <w:p w14:paraId="4419A6B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28D8CE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7F8FCA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B89533A">
                  <w:pPr>
                    <w:pStyle w:val="149"/>
                    <w:rPr>
                      <w:rFonts w:eastAsia="Times New Roman"/>
                    </w:rPr>
                  </w:pPr>
                  <w:r>
                    <w:rPr>
                      <w:rFonts w:hint="eastAsia" w:ascii="宋体" w:hAnsi="宋体" w:eastAsia="宋体" w:cs="宋体"/>
                    </w:rPr>
                    <w:t>夜间</w:t>
                  </w:r>
                </w:p>
              </w:tc>
            </w:tr>
            <w:tr w14:paraId="78A277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98C9311">
                  <w:pPr>
                    <w:pStyle w:val="149"/>
                    <w:rPr>
                      <w:rFonts w:eastAsia="Times New Roman"/>
                    </w:rPr>
                  </w:pPr>
                  <w:r>
                    <w:rPr>
                      <w:rFonts w:eastAsia="Times New Roman"/>
                    </w:rPr>
                    <w:t>193</w:t>
                  </w:r>
                </w:p>
              </w:tc>
              <w:tc>
                <w:tcPr>
                  <w:tcW w:w="848" w:type="pct"/>
                  <w:tcBorders>
                    <w:top w:val="single" w:color="auto" w:sz="4" w:space="0"/>
                    <w:left w:val="single" w:color="auto" w:sz="4" w:space="0"/>
                    <w:bottom w:val="single" w:color="auto" w:sz="4" w:space="0"/>
                    <w:right w:val="single" w:color="auto" w:sz="4" w:space="0"/>
                  </w:tcBorders>
                  <w:vAlign w:val="center"/>
                </w:tcPr>
                <w:p w14:paraId="76DBCE0F">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238D4091">
                  <w:pPr>
                    <w:pStyle w:val="149"/>
                    <w:rPr>
                      <w:rFonts w:eastAsia="Times New Roman"/>
                    </w:rPr>
                  </w:pPr>
                  <w:r>
                    <w:rPr>
                      <w:rFonts w:hint="eastAsia" w:eastAsia="Times New Roman"/>
                    </w:rPr>
                    <w:t>79.87</w:t>
                  </w:r>
                </w:p>
              </w:tc>
              <w:tc>
                <w:tcPr>
                  <w:tcW w:w="440" w:type="pct"/>
                  <w:tcBorders>
                    <w:top w:val="single" w:color="auto" w:sz="4" w:space="0"/>
                    <w:left w:val="single" w:color="auto" w:sz="4" w:space="0"/>
                    <w:bottom w:val="single" w:color="auto" w:sz="4" w:space="0"/>
                    <w:right w:val="single" w:color="auto" w:sz="4" w:space="0"/>
                  </w:tcBorders>
                  <w:vAlign w:val="center"/>
                </w:tcPr>
                <w:p w14:paraId="6A3BA5CB">
                  <w:pPr>
                    <w:pStyle w:val="149"/>
                    <w:rPr>
                      <w:rFonts w:eastAsia="Times New Roman"/>
                    </w:rPr>
                  </w:pPr>
                  <w:r>
                    <w:rPr>
                      <w:rFonts w:hint="eastAsia" w:eastAsia="Times New Roman"/>
                    </w:rPr>
                    <w:t>83.16</w:t>
                  </w:r>
                </w:p>
              </w:tc>
              <w:tc>
                <w:tcPr>
                  <w:tcW w:w="457" w:type="pct"/>
                  <w:tcBorders>
                    <w:top w:val="single" w:color="auto" w:sz="4" w:space="0"/>
                    <w:left w:val="single" w:color="auto" w:sz="4" w:space="0"/>
                    <w:bottom w:val="single" w:color="auto" w:sz="4" w:space="0"/>
                    <w:right w:val="single" w:color="auto" w:sz="4" w:space="0"/>
                  </w:tcBorders>
                  <w:vAlign w:val="center"/>
                </w:tcPr>
                <w:p w14:paraId="72F9D6D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CBBD47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A7D54B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7409B5D">
                  <w:pPr>
                    <w:pStyle w:val="149"/>
                    <w:rPr>
                      <w:rFonts w:eastAsia="Times New Roman"/>
                    </w:rPr>
                  </w:pPr>
                  <w:r>
                    <w:rPr>
                      <w:rFonts w:hint="eastAsia" w:ascii="宋体" w:hAnsi="宋体" w:eastAsia="宋体" w:cs="宋体"/>
                    </w:rPr>
                    <w:t>昼间</w:t>
                  </w:r>
                </w:p>
              </w:tc>
            </w:tr>
            <w:tr w14:paraId="217EE3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5C8EDA6">
                  <w:pPr>
                    <w:pStyle w:val="149"/>
                    <w:rPr>
                      <w:rFonts w:eastAsia="Times New Roman"/>
                    </w:rPr>
                  </w:pPr>
                  <w:r>
                    <w:rPr>
                      <w:rFonts w:eastAsia="Times New Roman"/>
                    </w:rPr>
                    <w:t>194</w:t>
                  </w:r>
                </w:p>
              </w:tc>
              <w:tc>
                <w:tcPr>
                  <w:tcW w:w="848" w:type="pct"/>
                  <w:tcBorders>
                    <w:top w:val="single" w:color="auto" w:sz="4" w:space="0"/>
                    <w:left w:val="single" w:color="auto" w:sz="4" w:space="0"/>
                    <w:bottom w:val="single" w:color="auto" w:sz="4" w:space="0"/>
                    <w:right w:val="single" w:color="auto" w:sz="4" w:space="0"/>
                  </w:tcBorders>
                  <w:vAlign w:val="center"/>
                </w:tcPr>
                <w:p w14:paraId="2702182F">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64B7ACF1">
                  <w:pPr>
                    <w:pStyle w:val="149"/>
                    <w:rPr>
                      <w:rFonts w:eastAsia="Times New Roman"/>
                    </w:rPr>
                  </w:pPr>
                  <w:r>
                    <w:rPr>
                      <w:rFonts w:hint="eastAsia" w:eastAsia="Times New Roman"/>
                    </w:rPr>
                    <w:t>79.87</w:t>
                  </w:r>
                </w:p>
              </w:tc>
              <w:tc>
                <w:tcPr>
                  <w:tcW w:w="440" w:type="pct"/>
                  <w:tcBorders>
                    <w:top w:val="single" w:color="auto" w:sz="4" w:space="0"/>
                    <w:left w:val="single" w:color="auto" w:sz="4" w:space="0"/>
                    <w:bottom w:val="single" w:color="auto" w:sz="4" w:space="0"/>
                    <w:right w:val="single" w:color="auto" w:sz="4" w:space="0"/>
                  </w:tcBorders>
                  <w:vAlign w:val="center"/>
                </w:tcPr>
                <w:p w14:paraId="144C5BA9">
                  <w:pPr>
                    <w:pStyle w:val="149"/>
                    <w:rPr>
                      <w:rFonts w:eastAsia="Times New Roman"/>
                    </w:rPr>
                  </w:pPr>
                  <w:r>
                    <w:rPr>
                      <w:rFonts w:hint="eastAsia" w:eastAsia="Times New Roman"/>
                    </w:rPr>
                    <w:t>83.16</w:t>
                  </w:r>
                </w:p>
              </w:tc>
              <w:tc>
                <w:tcPr>
                  <w:tcW w:w="457" w:type="pct"/>
                  <w:tcBorders>
                    <w:top w:val="single" w:color="auto" w:sz="4" w:space="0"/>
                    <w:left w:val="single" w:color="auto" w:sz="4" w:space="0"/>
                    <w:bottom w:val="single" w:color="auto" w:sz="4" w:space="0"/>
                    <w:right w:val="single" w:color="auto" w:sz="4" w:space="0"/>
                  </w:tcBorders>
                  <w:vAlign w:val="center"/>
                </w:tcPr>
                <w:p w14:paraId="62AF4DE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229C9A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9A041A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B671E4E">
                  <w:pPr>
                    <w:pStyle w:val="149"/>
                    <w:rPr>
                      <w:rFonts w:eastAsia="Times New Roman"/>
                    </w:rPr>
                  </w:pPr>
                  <w:r>
                    <w:rPr>
                      <w:rFonts w:hint="eastAsia" w:ascii="宋体" w:hAnsi="宋体" w:eastAsia="宋体" w:cs="宋体"/>
                    </w:rPr>
                    <w:t>夜间</w:t>
                  </w:r>
                </w:p>
              </w:tc>
            </w:tr>
            <w:tr w14:paraId="30A3E6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B4A2674">
                  <w:pPr>
                    <w:pStyle w:val="149"/>
                    <w:rPr>
                      <w:rFonts w:eastAsia="Times New Roman"/>
                    </w:rPr>
                  </w:pPr>
                  <w:r>
                    <w:rPr>
                      <w:rFonts w:eastAsia="Times New Roman"/>
                    </w:rPr>
                    <w:t>195</w:t>
                  </w:r>
                </w:p>
              </w:tc>
              <w:tc>
                <w:tcPr>
                  <w:tcW w:w="848" w:type="pct"/>
                  <w:tcBorders>
                    <w:top w:val="single" w:color="auto" w:sz="4" w:space="0"/>
                    <w:left w:val="single" w:color="auto" w:sz="4" w:space="0"/>
                    <w:bottom w:val="single" w:color="auto" w:sz="4" w:space="0"/>
                    <w:right w:val="single" w:color="auto" w:sz="4" w:space="0"/>
                  </w:tcBorders>
                  <w:vAlign w:val="center"/>
                </w:tcPr>
                <w:p w14:paraId="26DA23D4">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6EECA94C">
                  <w:pPr>
                    <w:pStyle w:val="149"/>
                    <w:rPr>
                      <w:rFonts w:eastAsia="Times New Roman"/>
                    </w:rPr>
                  </w:pPr>
                  <w:r>
                    <w:rPr>
                      <w:rFonts w:hint="eastAsia" w:eastAsia="Times New Roman"/>
                    </w:rPr>
                    <w:t>84.95</w:t>
                  </w:r>
                </w:p>
              </w:tc>
              <w:tc>
                <w:tcPr>
                  <w:tcW w:w="440" w:type="pct"/>
                  <w:tcBorders>
                    <w:top w:val="single" w:color="auto" w:sz="4" w:space="0"/>
                    <w:left w:val="single" w:color="auto" w:sz="4" w:space="0"/>
                    <w:bottom w:val="single" w:color="auto" w:sz="4" w:space="0"/>
                    <w:right w:val="single" w:color="auto" w:sz="4" w:space="0"/>
                  </w:tcBorders>
                  <w:vAlign w:val="center"/>
                </w:tcPr>
                <w:p w14:paraId="574EC0F4">
                  <w:pPr>
                    <w:pStyle w:val="149"/>
                    <w:rPr>
                      <w:rFonts w:eastAsia="Times New Roman"/>
                    </w:rPr>
                  </w:pPr>
                  <w:r>
                    <w:rPr>
                      <w:rFonts w:hint="eastAsia" w:eastAsia="Times New Roman"/>
                    </w:rPr>
                    <w:t>82.63</w:t>
                  </w:r>
                </w:p>
              </w:tc>
              <w:tc>
                <w:tcPr>
                  <w:tcW w:w="457" w:type="pct"/>
                  <w:tcBorders>
                    <w:top w:val="single" w:color="auto" w:sz="4" w:space="0"/>
                    <w:left w:val="single" w:color="auto" w:sz="4" w:space="0"/>
                    <w:bottom w:val="single" w:color="auto" w:sz="4" w:space="0"/>
                    <w:right w:val="single" w:color="auto" w:sz="4" w:space="0"/>
                  </w:tcBorders>
                  <w:vAlign w:val="center"/>
                </w:tcPr>
                <w:p w14:paraId="753A56C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CD867BD">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3A1CAEF">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C197796">
                  <w:pPr>
                    <w:pStyle w:val="149"/>
                    <w:rPr>
                      <w:rFonts w:eastAsia="Times New Roman"/>
                    </w:rPr>
                  </w:pPr>
                  <w:r>
                    <w:rPr>
                      <w:rFonts w:hint="eastAsia" w:ascii="宋体" w:hAnsi="宋体" w:eastAsia="宋体" w:cs="宋体"/>
                    </w:rPr>
                    <w:t>昼间</w:t>
                  </w:r>
                </w:p>
              </w:tc>
            </w:tr>
            <w:tr w14:paraId="20576B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7C2DE8B">
                  <w:pPr>
                    <w:pStyle w:val="149"/>
                    <w:rPr>
                      <w:rFonts w:eastAsia="Times New Roman"/>
                    </w:rPr>
                  </w:pPr>
                  <w:r>
                    <w:rPr>
                      <w:rFonts w:eastAsia="Times New Roman"/>
                    </w:rPr>
                    <w:t>196</w:t>
                  </w:r>
                </w:p>
              </w:tc>
              <w:tc>
                <w:tcPr>
                  <w:tcW w:w="848" w:type="pct"/>
                  <w:tcBorders>
                    <w:top w:val="single" w:color="auto" w:sz="4" w:space="0"/>
                    <w:left w:val="single" w:color="auto" w:sz="4" w:space="0"/>
                    <w:bottom w:val="single" w:color="auto" w:sz="4" w:space="0"/>
                    <w:right w:val="single" w:color="auto" w:sz="4" w:space="0"/>
                  </w:tcBorders>
                  <w:vAlign w:val="center"/>
                </w:tcPr>
                <w:p w14:paraId="3E49D817">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568D145C">
                  <w:pPr>
                    <w:pStyle w:val="149"/>
                    <w:rPr>
                      <w:rFonts w:eastAsia="Times New Roman"/>
                    </w:rPr>
                  </w:pPr>
                  <w:r>
                    <w:rPr>
                      <w:rFonts w:hint="eastAsia" w:eastAsia="Times New Roman"/>
                    </w:rPr>
                    <w:t>84.95</w:t>
                  </w:r>
                </w:p>
              </w:tc>
              <w:tc>
                <w:tcPr>
                  <w:tcW w:w="440" w:type="pct"/>
                  <w:tcBorders>
                    <w:top w:val="single" w:color="auto" w:sz="4" w:space="0"/>
                    <w:left w:val="single" w:color="auto" w:sz="4" w:space="0"/>
                    <w:bottom w:val="single" w:color="auto" w:sz="4" w:space="0"/>
                    <w:right w:val="single" w:color="auto" w:sz="4" w:space="0"/>
                  </w:tcBorders>
                  <w:vAlign w:val="center"/>
                </w:tcPr>
                <w:p w14:paraId="52C61F8F">
                  <w:pPr>
                    <w:pStyle w:val="149"/>
                    <w:rPr>
                      <w:rFonts w:eastAsia="Times New Roman"/>
                    </w:rPr>
                  </w:pPr>
                  <w:r>
                    <w:rPr>
                      <w:rFonts w:hint="eastAsia" w:eastAsia="Times New Roman"/>
                    </w:rPr>
                    <w:t>82.63</w:t>
                  </w:r>
                </w:p>
              </w:tc>
              <w:tc>
                <w:tcPr>
                  <w:tcW w:w="457" w:type="pct"/>
                  <w:tcBorders>
                    <w:top w:val="single" w:color="auto" w:sz="4" w:space="0"/>
                    <w:left w:val="single" w:color="auto" w:sz="4" w:space="0"/>
                    <w:bottom w:val="single" w:color="auto" w:sz="4" w:space="0"/>
                    <w:right w:val="single" w:color="auto" w:sz="4" w:space="0"/>
                  </w:tcBorders>
                  <w:vAlign w:val="center"/>
                </w:tcPr>
                <w:p w14:paraId="14FEEBC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D913C3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76ADE73">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5504BB2">
                  <w:pPr>
                    <w:pStyle w:val="149"/>
                    <w:rPr>
                      <w:rFonts w:eastAsia="Times New Roman"/>
                    </w:rPr>
                  </w:pPr>
                  <w:r>
                    <w:rPr>
                      <w:rFonts w:hint="eastAsia" w:ascii="宋体" w:hAnsi="宋体" w:eastAsia="宋体" w:cs="宋体"/>
                    </w:rPr>
                    <w:t>夜间</w:t>
                  </w:r>
                </w:p>
              </w:tc>
            </w:tr>
            <w:tr w14:paraId="73EB08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9CB761C">
                  <w:pPr>
                    <w:pStyle w:val="149"/>
                    <w:rPr>
                      <w:rFonts w:eastAsia="Times New Roman"/>
                    </w:rPr>
                  </w:pPr>
                  <w:r>
                    <w:rPr>
                      <w:rFonts w:eastAsia="Times New Roman"/>
                    </w:rPr>
                    <w:t>197</w:t>
                  </w:r>
                </w:p>
              </w:tc>
              <w:tc>
                <w:tcPr>
                  <w:tcW w:w="848" w:type="pct"/>
                  <w:tcBorders>
                    <w:top w:val="single" w:color="auto" w:sz="4" w:space="0"/>
                    <w:left w:val="single" w:color="auto" w:sz="4" w:space="0"/>
                    <w:bottom w:val="single" w:color="auto" w:sz="4" w:space="0"/>
                    <w:right w:val="single" w:color="auto" w:sz="4" w:space="0"/>
                  </w:tcBorders>
                  <w:vAlign w:val="center"/>
                </w:tcPr>
                <w:p w14:paraId="06876199">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E0B09A7">
                  <w:pPr>
                    <w:pStyle w:val="149"/>
                    <w:rPr>
                      <w:rFonts w:eastAsia="Times New Roman"/>
                    </w:rPr>
                  </w:pPr>
                  <w:r>
                    <w:rPr>
                      <w:rFonts w:hint="eastAsia" w:eastAsia="Times New Roman"/>
                    </w:rPr>
                    <w:t>90.33</w:t>
                  </w:r>
                </w:p>
              </w:tc>
              <w:tc>
                <w:tcPr>
                  <w:tcW w:w="440" w:type="pct"/>
                  <w:tcBorders>
                    <w:top w:val="single" w:color="auto" w:sz="4" w:space="0"/>
                    <w:left w:val="single" w:color="auto" w:sz="4" w:space="0"/>
                    <w:bottom w:val="single" w:color="auto" w:sz="4" w:space="0"/>
                    <w:right w:val="single" w:color="auto" w:sz="4" w:space="0"/>
                  </w:tcBorders>
                  <w:vAlign w:val="center"/>
                </w:tcPr>
                <w:p w14:paraId="7948F8F6">
                  <w:pPr>
                    <w:pStyle w:val="149"/>
                    <w:rPr>
                      <w:rFonts w:eastAsia="Times New Roman"/>
                    </w:rPr>
                  </w:pPr>
                  <w:r>
                    <w:rPr>
                      <w:rFonts w:hint="eastAsia" w:eastAsia="Times New Roman"/>
                    </w:rPr>
                    <w:t>81.9</w:t>
                  </w:r>
                </w:p>
              </w:tc>
              <w:tc>
                <w:tcPr>
                  <w:tcW w:w="457" w:type="pct"/>
                  <w:tcBorders>
                    <w:top w:val="single" w:color="auto" w:sz="4" w:space="0"/>
                    <w:left w:val="single" w:color="auto" w:sz="4" w:space="0"/>
                    <w:bottom w:val="single" w:color="auto" w:sz="4" w:space="0"/>
                    <w:right w:val="single" w:color="auto" w:sz="4" w:space="0"/>
                  </w:tcBorders>
                  <w:vAlign w:val="center"/>
                </w:tcPr>
                <w:p w14:paraId="076AE2BC">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8B9A39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5AB490F">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B7A5E5C">
                  <w:pPr>
                    <w:pStyle w:val="149"/>
                    <w:rPr>
                      <w:rFonts w:eastAsia="Times New Roman"/>
                    </w:rPr>
                  </w:pPr>
                  <w:r>
                    <w:rPr>
                      <w:rFonts w:hint="eastAsia" w:ascii="宋体" w:hAnsi="宋体" w:eastAsia="宋体" w:cs="宋体"/>
                    </w:rPr>
                    <w:t>昼间</w:t>
                  </w:r>
                </w:p>
              </w:tc>
            </w:tr>
            <w:tr w14:paraId="4587FF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B37D8F2">
                  <w:pPr>
                    <w:pStyle w:val="149"/>
                    <w:rPr>
                      <w:rFonts w:eastAsia="Times New Roman"/>
                    </w:rPr>
                  </w:pPr>
                  <w:r>
                    <w:rPr>
                      <w:rFonts w:eastAsia="Times New Roman"/>
                    </w:rPr>
                    <w:t>198</w:t>
                  </w:r>
                </w:p>
              </w:tc>
              <w:tc>
                <w:tcPr>
                  <w:tcW w:w="848" w:type="pct"/>
                  <w:tcBorders>
                    <w:top w:val="single" w:color="auto" w:sz="4" w:space="0"/>
                    <w:left w:val="single" w:color="auto" w:sz="4" w:space="0"/>
                    <w:bottom w:val="single" w:color="auto" w:sz="4" w:space="0"/>
                    <w:right w:val="single" w:color="auto" w:sz="4" w:space="0"/>
                  </w:tcBorders>
                  <w:vAlign w:val="center"/>
                </w:tcPr>
                <w:p w14:paraId="406FDDAB">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A53F24C">
                  <w:pPr>
                    <w:pStyle w:val="149"/>
                    <w:rPr>
                      <w:rFonts w:eastAsia="Times New Roman"/>
                    </w:rPr>
                  </w:pPr>
                  <w:r>
                    <w:rPr>
                      <w:rFonts w:hint="eastAsia" w:eastAsia="Times New Roman"/>
                    </w:rPr>
                    <w:t>90.33</w:t>
                  </w:r>
                </w:p>
              </w:tc>
              <w:tc>
                <w:tcPr>
                  <w:tcW w:w="440" w:type="pct"/>
                  <w:tcBorders>
                    <w:top w:val="single" w:color="auto" w:sz="4" w:space="0"/>
                    <w:left w:val="single" w:color="auto" w:sz="4" w:space="0"/>
                    <w:bottom w:val="single" w:color="auto" w:sz="4" w:space="0"/>
                    <w:right w:val="single" w:color="auto" w:sz="4" w:space="0"/>
                  </w:tcBorders>
                  <w:vAlign w:val="center"/>
                </w:tcPr>
                <w:p w14:paraId="09021B43">
                  <w:pPr>
                    <w:pStyle w:val="149"/>
                    <w:rPr>
                      <w:rFonts w:eastAsia="Times New Roman"/>
                    </w:rPr>
                  </w:pPr>
                  <w:r>
                    <w:rPr>
                      <w:rFonts w:hint="eastAsia" w:eastAsia="Times New Roman"/>
                    </w:rPr>
                    <w:t>81.9</w:t>
                  </w:r>
                </w:p>
              </w:tc>
              <w:tc>
                <w:tcPr>
                  <w:tcW w:w="457" w:type="pct"/>
                  <w:tcBorders>
                    <w:top w:val="single" w:color="auto" w:sz="4" w:space="0"/>
                    <w:left w:val="single" w:color="auto" w:sz="4" w:space="0"/>
                    <w:bottom w:val="single" w:color="auto" w:sz="4" w:space="0"/>
                    <w:right w:val="single" w:color="auto" w:sz="4" w:space="0"/>
                  </w:tcBorders>
                  <w:vAlign w:val="center"/>
                </w:tcPr>
                <w:p w14:paraId="12702AB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518FA1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37ED11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55FA49D">
                  <w:pPr>
                    <w:pStyle w:val="149"/>
                    <w:rPr>
                      <w:rFonts w:eastAsia="Times New Roman"/>
                    </w:rPr>
                  </w:pPr>
                  <w:r>
                    <w:rPr>
                      <w:rFonts w:hint="eastAsia" w:ascii="宋体" w:hAnsi="宋体" w:eastAsia="宋体" w:cs="宋体"/>
                    </w:rPr>
                    <w:t>夜间</w:t>
                  </w:r>
                </w:p>
              </w:tc>
            </w:tr>
            <w:tr w14:paraId="560F5E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E69B780">
                  <w:pPr>
                    <w:pStyle w:val="149"/>
                    <w:rPr>
                      <w:rFonts w:eastAsia="Times New Roman"/>
                    </w:rPr>
                  </w:pPr>
                  <w:r>
                    <w:rPr>
                      <w:rFonts w:eastAsia="Times New Roman"/>
                    </w:rPr>
                    <w:t>199</w:t>
                  </w:r>
                </w:p>
              </w:tc>
              <w:tc>
                <w:tcPr>
                  <w:tcW w:w="848" w:type="pct"/>
                  <w:tcBorders>
                    <w:top w:val="single" w:color="auto" w:sz="4" w:space="0"/>
                    <w:left w:val="single" w:color="auto" w:sz="4" w:space="0"/>
                    <w:bottom w:val="single" w:color="auto" w:sz="4" w:space="0"/>
                    <w:right w:val="single" w:color="auto" w:sz="4" w:space="0"/>
                  </w:tcBorders>
                  <w:vAlign w:val="center"/>
                </w:tcPr>
                <w:p w14:paraId="514D7F68">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788A796">
                  <w:pPr>
                    <w:pStyle w:val="149"/>
                    <w:rPr>
                      <w:rFonts w:eastAsia="Times New Roman"/>
                    </w:rPr>
                  </w:pPr>
                  <w:r>
                    <w:rPr>
                      <w:rFonts w:hint="eastAsia" w:eastAsia="Times New Roman"/>
                    </w:rPr>
                    <w:t>95.59</w:t>
                  </w:r>
                </w:p>
              </w:tc>
              <w:tc>
                <w:tcPr>
                  <w:tcW w:w="440" w:type="pct"/>
                  <w:tcBorders>
                    <w:top w:val="single" w:color="auto" w:sz="4" w:space="0"/>
                    <w:left w:val="single" w:color="auto" w:sz="4" w:space="0"/>
                    <w:bottom w:val="single" w:color="auto" w:sz="4" w:space="0"/>
                    <w:right w:val="single" w:color="auto" w:sz="4" w:space="0"/>
                  </w:tcBorders>
                  <w:vAlign w:val="center"/>
                </w:tcPr>
                <w:p w14:paraId="132E53EA">
                  <w:pPr>
                    <w:pStyle w:val="149"/>
                    <w:rPr>
                      <w:rFonts w:eastAsia="Times New Roman"/>
                    </w:rPr>
                  </w:pPr>
                  <w:r>
                    <w:rPr>
                      <w:rFonts w:hint="eastAsia" w:eastAsia="Times New Roman"/>
                    </w:rPr>
                    <w:t>81.3</w:t>
                  </w:r>
                </w:p>
              </w:tc>
              <w:tc>
                <w:tcPr>
                  <w:tcW w:w="457" w:type="pct"/>
                  <w:tcBorders>
                    <w:top w:val="single" w:color="auto" w:sz="4" w:space="0"/>
                    <w:left w:val="single" w:color="auto" w:sz="4" w:space="0"/>
                    <w:bottom w:val="single" w:color="auto" w:sz="4" w:space="0"/>
                    <w:right w:val="single" w:color="auto" w:sz="4" w:space="0"/>
                  </w:tcBorders>
                  <w:vAlign w:val="center"/>
                </w:tcPr>
                <w:p w14:paraId="2DDA923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3E867C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95B989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4A6E489">
                  <w:pPr>
                    <w:pStyle w:val="149"/>
                    <w:rPr>
                      <w:rFonts w:eastAsia="Times New Roman"/>
                    </w:rPr>
                  </w:pPr>
                  <w:r>
                    <w:rPr>
                      <w:rFonts w:hint="eastAsia" w:ascii="宋体" w:hAnsi="宋体" w:eastAsia="宋体" w:cs="宋体"/>
                    </w:rPr>
                    <w:t>昼间</w:t>
                  </w:r>
                </w:p>
              </w:tc>
            </w:tr>
            <w:tr w14:paraId="35D040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EAF6624">
                  <w:pPr>
                    <w:pStyle w:val="149"/>
                    <w:rPr>
                      <w:rFonts w:eastAsia="Times New Roman"/>
                    </w:rPr>
                  </w:pPr>
                  <w:r>
                    <w:rPr>
                      <w:rFonts w:eastAsia="Times New Roman"/>
                    </w:rPr>
                    <w:t>200</w:t>
                  </w:r>
                </w:p>
              </w:tc>
              <w:tc>
                <w:tcPr>
                  <w:tcW w:w="848" w:type="pct"/>
                  <w:tcBorders>
                    <w:top w:val="single" w:color="auto" w:sz="4" w:space="0"/>
                    <w:left w:val="single" w:color="auto" w:sz="4" w:space="0"/>
                    <w:bottom w:val="single" w:color="auto" w:sz="4" w:space="0"/>
                    <w:right w:val="single" w:color="auto" w:sz="4" w:space="0"/>
                  </w:tcBorders>
                  <w:vAlign w:val="center"/>
                </w:tcPr>
                <w:p w14:paraId="766AD093">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22F0DF91">
                  <w:pPr>
                    <w:pStyle w:val="149"/>
                    <w:rPr>
                      <w:rFonts w:eastAsia="Times New Roman"/>
                    </w:rPr>
                  </w:pPr>
                  <w:r>
                    <w:rPr>
                      <w:rFonts w:hint="eastAsia" w:eastAsia="Times New Roman"/>
                    </w:rPr>
                    <w:t>95.59</w:t>
                  </w:r>
                </w:p>
              </w:tc>
              <w:tc>
                <w:tcPr>
                  <w:tcW w:w="440" w:type="pct"/>
                  <w:tcBorders>
                    <w:top w:val="single" w:color="auto" w:sz="4" w:space="0"/>
                    <w:left w:val="single" w:color="auto" w:sz="4" w:space="0"/>
                    <w:bottom w:val="single" w:color="auto" w:sz="4" w:space="0"/>
                    <w:right w:val="single" w:color="auto" w:sz="4" w:space="0"/>
                  </w:tcBorders>
                  <w:vAlign w:val="center"/>
                </w:tcPr>
                <w:p w14:paraId="0C43C14C">
                  <w:pPr>
                    <w:pStyle w:val="149"/>
                    <w:rPr>
                      <w:rFonts w:eastAsia="Times New Roman"/>
                    </w:rPr>
                  </w:pPr>
                  <w:r>
                    <w:rPr>
                      <w:rFonts w:hint="eastAsia" w:eastAsia="Times New Roman"/>
                    </w:rPr>
                    <w:t>81.3</w:t>
                  </w:r>
                </w:p>
              </w:tc>
              <w:tc>
                <w:tcPr>
                  <w:tcW w:w="457" w:type="pct"/>
                  <w:tcBorders>
                    <w:top w:val="single" w:color="auto" w:sz="4" w:space="0"/>
                    <w:left w:val="single" w:color="auto" w:sz="4" w:space="0"/>
                    <w:bottom w:val="single" w:color="auto" w:sz="4" w:space="0"/>
                    <w:right w:val="single" w:color="auto" w:sz="4" w:space="0"/>
                  </w:tcBorders>
                  <w:vAlign w:val="center"/>
                </w:tcPr>
                <w:p w14:paraId="00654DB9">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D0CBB3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35DFA6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0FCB1A2">
                  <w:pPr>
                    <w:pStyle w:val="149"/>
                    <w:rPr>
                      <w:rFonts w:eastAsia="Times New Roman"/>
                    </w:rPr>
                  </w:pPr>
                  <w:r>
                    <w:rPr>
                      <w:rFonts w:hint="eastAsia" w:ascii="宋体" w:hAnsi="宋体" w:eastAsia="宋体" w:cs="宋体"/>
                    </w:rPr>
                    <w:t>夜间</w:t>
                  </w:r>
                </w:p>
              </w:tc>
            </w:tr>
            <w:tr w14:paraId="11FF6E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9B6ED85">
                  <w:pPr>
                    <w:pStyle w:val="149"/>
                    <w:rPr>
                      <w:rFonts w:eastAsia="Times New Roman"/>
                    </w:rPr>
                  </w:pPr>
                  <w:r>
                    <w:rPr>
                      <w:rFonts w:eastAsia="Times New Roman"/>
                    </w:rPr>
                    <w:t>201</w:t>
                  </w:r>
                </w:p>
              </w:tc>
              <w:tc>
                <w:tcPr>
                  <w:tcW w:w="848" w:type="pct"/>
                  <w:tcBorders>
                    <w:top w:val="single" w:color="auto" w:sz="4" w:space="0"/>
                    <w:left w:val="single" w:color="auto" w:sz="4" w:space="0"/>
                    <w:bottom w:val="single" w:color="auto" w:sz="4" w:space="0"/>
                    <w:right w:val="single" w:color="auto" w:sz="4" w:space="0"/>
                  </w:tcBorders>
                  <w:vAlign w:val="center"/>
                </w:tcPr>
                <w:p w14:paraId="4CA02D17">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F62DC5D">
                  <w:pPr>
                    <w:pStyle w:val="149"/>
                    <w:rPr>
                      <w:rFonts w:eastAsia="Times New Roman"/>
                    </w:rPr>
                  </w:pPr>
                  <w:r>
                    <w:rPr>
                      <w:rFonts w:hint="eastAsia" w:eastAsia="Times New Roman"/>
                    </w:rPr>
                    <w:t>99.95</w:t>
                  </w:r>
                </w:p>
              </w:tc>
              <w:tc>
                <w:tcPr>
                  <w:tcW w:w="440" w:type="pct"/>
                  <w:tcBorders>
                    <w:top w:val="single" w:color="auto" w:sz="4" w:space="0"/>
                    <w:left w:val="single" w:color="auto" w:sz="4" w:space="0"/>
                    <w:bottom w:val="single" w:color="auto" w:sz="4" w:space="0"/>
                    <w:right w:val="single" w:color="auto" w:sz="4" w:space="0"/>
                  </w:tcBorders>
                  <w:vAlign w:val="center"/>
                </w:tcPr>
                <w:p w14:paraId="13B4C715">
                  <w:pPr>
                    <w:pStyle w:val="149"/>
                    <w:rPr>
                      <w:rFonts w:eastAsia="Times New Roman"/>
                    </w:rPr>
                  </w:pPr>
                  <w:r>
                    <w:rPr>
                      <w:rFonts w:hint="eastAsia" w:eastAsia="Times New Roman"/>
                    </w:rPr>
                    <w:t>80.78</w:t>
                  </w:r>
                </w:p>
              </w:tc>
              <w:tc>
                <w:tcPr>
                  <w:tcW w:w="457" w:type="pct"/>
                  <w:tcBorders>
                    <w:top w:val="single" w:color="auto" w:sz="4" w:space="0"/>
                    <w:left w:val="single" w:color="auto" w:sz="4" w:space="0"/>
                    <w:bottom w:val="single" w:color="auto" w:sz="4" w:space="0"/>
                    <w:right w:val="single" w:color="auto" w:sz="4" w:space="0"/>
                  </w:tcBorders>
                  <w:vAlign w:val="center"/>
                </w:tcPr>
                <w:p w14:paraId="2E27D31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53C328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35774D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6361C08">
                  <w:pPr>
                    <w:pStyle w:val="149"/>
                    <w:rPr>
                      <w:rFonts w:eastAsia="Times New Roman"/>
                    </w:rPr>
                  </w:pPr>
                  <w:r>
                    <w:rPr>
                      <w:rFonts w:hint="eastAsia" w:ascii="宋体" w:hAnsi="宋体" w:eastAsia="宋体" w:cs="宋体"/>
                    </w:rPr>
                    <w:t>昼间</w:t>
                  </w:r>
                </w:p>
              </w:tc>
            </w:tr>
            <w:tr w14:paraId="21F94F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6AACB27">
                  <w:pPr>
                    <w:pStyle w:val="149"/>
                    <w:rPr>
                      <w:rFonts w:eastAsia="Times New Roman"/>
                    </w:rPr>
                  </w:pPr>
                  <w:r>
                    <w:rPr>
                      <w:rFonts w:eastAsia="Times New Roman"/>
                    </w:rPr>
                    <w:t>202</w:t>
                  </w:r>
                </w:p>
              </w:tc>
              <w:tc>
                <w:tcPr>
                  <w:tcW w:w="848" w:type="pct"/>
                  <w:tcBorders>
                    <w:top w:val="single" w:color="auto" w:sz="4" w:space="0"/>
                    <w:left w:val="single" w:color="auto" w:sz="4" w:space="0"/>
                    <w:bottom w:val="single" w:color="auto" w:sz="4" w:space="0"/>
                    <w:right w:val="single" w:color="auto" w:sz="4" w:space="0"/>
                  </w:tcBorders>
                  <w:vAlign w:val="center"/>
                </w:tcPr>
                <w:p w14:paraId="38EE2176">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5A075843">
                  <w:pPr>
                    <w:pStyle w:val="149"/>
                    <w:rPr>
                      <w:rFonts w:eastAsia="Times New Roman"/>
                    </w:rPr>
                  </w:pPr>
                  <w:r>
                    <w:rPr>
                      <w:rFonts w:hint="eastAsia" w:eastAsia="Times New Roman"/>
                    </w:rPr>
                    <w:t>99.95</w:t>
                  </w:r>
                </w:p>
              </w:tc>
              <w:tc>
                <w:tcPr>
                  <w:tcW w:w="440" w:type="pct"/>
                  <w:tcBorders>
                    <w:top w:val="single" w:color="auto" w:sz="4" w:space="0"/>
                    <w:left w:val="single" w:color="auto" w:sz="4" w:space="0"/>
                    <w:bottom w:val="single" w:color="auto" w:sz="4" w:space="0"/>
                    <w:right w:val="single" w:color="auto" w:sz="4" w:space="0"/>
                  </w:tcBorders>
                  <w:vAlign w:val="center"/>
                </w:tcPr>
                <w:p w14:paraId="7F37DFE3">
                  <w:pPr>
                    <w:pStyle w:val="149"/>
                    <w:rPr>
                      <w:rFonts w:eastAsia="Times New Roman"/>
                    </w:rPr>
                  </w:pPr>
                  <w:r>
                    <w:rPr>
                      <w:rFonts w:hint="eastAsia" w:eastAsia="Times New Roman"/>
                    </w:rPr>
                    <w:t>80.78</w:t>
                  </w:r>
                </w:p>
              </w:tc>
              <w:tc>
                <w:tcPr>
                  <w:tcW w:w="457" w:type="pct"/>
                  <w:tcBorders>
                    <w:top w:val="single" w:color="auto" w:sz="4" w:space="0"/>
                    <w:left w:val="single" w:color="auto" w:sz="4" w:space="0"/>
                    <w:bottom w:val="single" w:color="auto" w:sz="4" w:space="0"/>
                    <w:right w:val="single" w:color="auto" w:sz="4" w:space="0"/>
                  </w:tcBorders>
                  <w:vAlign w:val="center"/>
                </w:tcPr>
                <w:p w14:paraId="699F304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FD8047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A930ABA">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8A55159">
                  <w:pPr>
                    <w:pStyle w:val="149"/>
                    <w:rPr>
                      <w:rFonts w:eastAsia="Times New Roman"/>
                    </w:rPr>
                  </w:pPr>
                  <w:r>
                    <w:rPr>
                      <w:rFonts w:hint="eastAsia" w:ascii="宋体" w:hAnsi="宋体" w:eastAsia="宋体" w:cs="宋体"/>
                    </w:rPr>
                    <w:t>夜间</w:t>
                  </w:r>
                </w:p>
              </w:tc>
            </w:tr>
            <w:tr w14:paraId="3882F7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F67C9A2">
                  <w:pPr>
                    <w:pStyle w:val="149"/>
                    <w:rPr>
                      <w:rFonts w:eastAsia="Times New Roman"/>
                    </w:rPr>
                  </w:pPr>
                  <w:r>
                    <w:rPr>
                      <w:rFonts w:eastAsia="Times New Roman"/>
                    </w:rPr>
                    <w:t>203</w:t>
                  </w:r>
                </w:p>
              </w:tc>
              <w:tc>
                <w:tcPr>
                  <w:tcW w:w="848" w:type="pct"/>
                  <w:tcBorders>
                    <w:top w:val="single" w:color="auto" w:sz="4" w:space="0"/>
                    <w:left w:val="single" w:color="auto" w:sz="4" w:space="0"/>
                    <w:bottom w:val="single" w:color="auto" w:sz="4" w:space="0"/>
                    <w:right w:val="single" w:color="auto" w:sz="4" w:space="0"/>
                  </w:tcBorders>
                  <w:vAlign w:val="center"/>
                </w:tcPr>
                <w:p w14:paraId="1DC106BA">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0DBD4A5F">
                  <w:pPr>
                    <w:pStyle w:val="149"/>
                    <w:rPr>
                      <w:rFonts w:eastAsia="Times New Roman"/>
                    </w:rPr>
                  </w:pPr>
                  <w:r>
                    <w:rPr>
                      <w:rFonts w:hint="eastAsia" w:eastAsia="Times New Roman"/>
                    </w:rPr>
                    <w:t>109.9</w:t>
                  </w:r>
                </w:p>
              </w:tc>
              <w:tc>
                <w:tcPr>
                  <w:tcW w:w="440" w:type="pct"/>
                  <w:tcBorders>
                    <w:top w:val="single" w:color="auto" w:sz="4" w:space="0"/>
                    <w:left w:val="single" w:color="auto" w:sz="4" w:space="0"/>
                    <w:bottom w:val="single" w:color="auto" w:sz="4" w:space="0"/>
                    <w:right w:val="single" w:color="auto" w:sz="4" w:space="0"/>
                  </w:tcBorders>
                  <w:vAlign w:val="center"/>
                </w:tcPr>
                <w:p w14:paraId="7FEC258D">
                  <w:pPr>
                    <w:pStyle w:val="149"/>
                    <w:rPr>
                      <w:rFonts w:eastAsia="Times New Roman"/>
                    </w:rPr>
                  </w:pPr>
                  <w:r>
                    <w:rPr>
                      <w:rFonts w:hint="eastAsia" w:eastAsia="Times New Roman"/>
                    </w:rPr>
                    <w:t>78.94</w:t>
                  </w:r>
                </w:p>
              </w:tc>
              <w:tc>
                <w:tcPr>
                  <w:tcW w:w="457" w:type="pct"/>
                  <w:tcBorders>
                    <w:top w:val="single" w:color="auto" w:sz="4" w:space="0"/>
                    <w:left w:val="single" w:color="auto" w:sz="4" w:space="0"/>
                    <w:bottom w:val="single" w:color="auto" w:sz="4" w:space="0"/>
                    <w:right w:val="single" w:color="auto" w:sz="4" w:space="0"/>
                  </w:tcBorders>
                  <w:vAlign w:val="center"/>
                </w:tcPr>
                <w:p w14:paraId="45B0B6A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85B167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619912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C5099F1">
                  <w:pPr>
                    <w:pStyle w:val="149"/>
                    <w:rPr>
                      <w:rFonts w:eastAsia="Times New Roman"/>
                    </w:rPr>
                  </w:pPr>
                  <w:r>
                    <w:rPr>
                      <w:rFonts w:hint="eastAsia" w:ascii="宋体" w:hAnsi="宋体" w:eastAsia="宋体" w:cs="宋体"/>
                    </w:rPr>
                    <w:t>昼间</w:t>
                  </w:r>
                </w:p>
              </w:tc>
            </w:tr>
            <w:tr w14:paraId="3E3694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9325C2A">
                  <w:pPr>
                    <w:pStyle w:val="149"/>
                    <w:rPr>
                      <w:rFonts w:eastAsia="Times New Roman"/>
                    </w:rPr>
                  </w:pPr>
                  <w:r>
                    <w:rPr>
                      <w:rFonts w:eastAsia="Times New Roman"/>
                    </w:rPr>
                    <w:t>204</w:t>
                  </w:r>
                </w:p>
              </w:tc>
              <w:tc>
                <w:tcPr>
                  <w:tcW w:w="848" w:type="pct"/>
                  <w:tcBorders>
                    <w:top w:val="single" w:color="auto" w:sz="4" w:space="0"/>
                    <w:left w:val="single" w:color="auto" w:sz="4" w:space="0"/>
                    <w:bottom w:val="single" w:color="auto" w:sz="4" w:space="0"/>
                    <w:right w:val="single" w:color="auto" w:sz="4" w:space="0"/>
                  </w:tcBorders>
                  <w:vAlign w:val="center"/>
                </w:tcPr>
                <w:p w14:paraId="093155C8">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018519A">
                  <w:pPr>
                    <w:pStyle w:val="149"/>
                    <w:rPr>
                      <w:rFonts w:eastAsia="Times New Roman"/>
                    </w:rPr>
                  </w:pPr>
                  <w:r>
                    <w:rPr>
                      <w:rFonts w:hint="eastAsia" w:eastAsia="Times New Roman"/>
                    </w:rPr>
                    <w:t>109.9</w:t>
                  </w:r>
                </w:p>
              </w:tc>
              <w:tc>
                <w:tcPr>
                  <w:tcW w:w="440" w:type="pct"/>
                  <w:tcBorders>
                    <w:top w:val="single" w:color="auto" w:sz="4" w:space="0"/>
                    <w:left w:val="single" w:color="auto" w:sz="4" w:space="0"/>
                    <w:bottom w:val="single" w:color="auto" w:sz="4" w:space="0"/>
                    <w:right w:val="single" w:color="auto" w:sz="4" w:space="0"/>
                  </w:tcBorders>
                  <w:vAlign w:val="center"/>
                </w:tcPr>
                <w:p w14:paraId="4D4F31A6">
                  <w:pPr>
                    <w:pStyle w:val="149"/>
                    <w:rPr>
                      <w:rFonts w:eastAsia="Times New Roman"/>
                    </w:rPr>
                  </w:pPr>
                  <w:r>
                    <w:rPr>
                      <w:rFonts w:hint="eastAsia" w:eastAsia="Times New Roman"/>
                    </w:rPr>
                    <w:t>78.94</w:t>
                  </w:r>
                </w:p>
              </w:tc>
              <w:tc>
                <w:tcPr>
                  <w:tcW w:w="457" w:type="pct"/>
                  <w:tcBorders>
                    <w:top w:val="single" w:color="auto" w:sz="4" w:space="0"/>
                    <w:left w:val="single" w:color="auto" w:sz="4" w:space="0"/>
                    <w:bottom w:val="single" w:color="auto" w:sz="4" w:space="0"/>
                    <w:right w:val="single" w:color="auto" w:sz="4" w:space="0"/>
                  </w:tcBorders>
                  <w:vAlign w:val="center"/>
                </w:tcPr>
                <w:p w14:paraId="4375072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56FF5E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EA85D82">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9E98FBD">
                  <w:pPr>
                    <w:pStyle w:val="149"/>
                    <w:rPr>
                      <w:rFonts w:eastAsia="Times New Roman"/>
                    </w:rPr>
                  </w:pPr>
                  <w:r>
                    <w:rPr>
                      <w:rFonts w:hint="eastAsia" w:ascii="宋体" w:hAnsi="宋体" w:eastAsia="宋体" w:cs="宋体"/>
                    </w:rPr>
                    <w:t>夜间</w:t>
                  </w:r>
                </w:p>
              </w:tc>
            </w:tr>
            <w:tr w14:paraId="1A7506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1E609BB">
                  <w:pPr>
                    <w:pStyle w:val="149"/>
                    <w:rPr>
                      <w:rFonts w:eastAsia="Times New Roman"/>
                    </w:rPr>
                  </w:pPr>
                  <w:r>
                    <w:rPr>
                      <w:rFonts w:eastAsia="Times New Roman"/>
                    </w:rPr>
                    <w:t>205</w:t>
                  </w:r>
                </w:p>
              </w:tc>
              <w:tc>
                <w:tcPr>
                  <w:tcW w:w="848" w:type="pct"/>
                  <w:tcBorders>
                    <w:top w:val="single" w:color="auto" w:sz="4" w:space="0"/>
                    <w:left w:val="single" w:color="auto" w:sz="4" w:space="0"/>
                    <w:bottom w:val="single" w:color="auto" w:sz="4" w:space="0"/>
                    <w:right w:val="single" w:color="auto" w:sz="4" w:space="0"/>
                  </w:tcBorders>
                  <w:vAlign w:val="center"/>
                </w:tcPr>
                <w:p w14:paraId="3E3663EC">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71653472">
                  <w:pPr>
                    <w:pStyle w:val="149"/>
                    <w:rPr>
                      <w:rFonts w:eastAsia="Times New Roman"/>
                    </w:rPr>
                  </w:pPr>
                  <w:r>
                    <w:rPr>
                      <w:rFonts w:hint="eastAsia" w:eastAsia="Times New Roman"/>
                    </w:rPr>
                    <w:t>114.75</w:t>
                  </w:r>
                </w:p>
              </w:tc>
              <w:tc>
                <w:tcPr>
                  <w:tcW w:w="440" w:type="pct"/>
                  <w:tcBorders>
                    <w:top w:val="single" w:color="auto" w:sz="4" w:space="0"/>
                    <w:left w:val="single" w:color="auto" w:sz="4" w:space="0"/>
                    <w:bottom w:val="single" w:color="auto" w:sz="4" w:space="0"/>
                    <w:right w:val="single" w:color="auto" w:sz="4" w:space="0"/>
                  </w:tcBorders>
                  <w:vAlign w:val="center"/>
                </w:tcPr>
                <w:p w14:paraId="11631113">
                  <w:pPr>
                    <w:pStyle w:val="149"/>
                    <w:rPr>
                      <w:rFonts w:eastAsia="Times New Roman"/>
                    </w:rPr>
                  </w:pPr>
                  <w:r>
                    <w:rPr>
                      <w:rFonts w:hint="eastAsia" w:eastAsia="Times New Roman"/>
                    </w:rPr>
                    <w:t>78.34</w:t>
                  </w:r>
                </w:p>
              </w:tc>
              <w:tc>
                <w:tcPr>
                  <w:tcW w:w="457" w:type="pct"/>
                  <w:tcBorders>
                    <w:top w:val="single" w:color="auto" w:sz="4" w:space="0"/>
                    <w:left w:val="single" w:color="auto" w:sz="4" w:space="0"/>
                    <w:bottom w:val="single" w:color="auto" w:sz="4" w:space="0"/>
                    <w:right w:val="single" w:color="auto" w:sz="4" w:space="0"/>
                  </w:tcBorders>
                  <w:vAlign w:val="center"/>
                </w:tcPr>
                <w:p w14:paraId="084F5F1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656CC6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4B6D0A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1AAD8E5">
                  <w:pPr>
                    <w:pStyle w:val="149"/>
                    <w:rPr>
                      <w:rFonts w:eastAsia="Times New Roman"/>
                    </w:rPr>
                  </w:pPr>
                  <w:r>
                    <w:rPr>
                      <w:rFonts w:hint="eastAsia" w:ascii="宋体" w:hAnsi="宋体" w:eastAsia="宋体" w:cs="宋体"/>
                    </w:rPr>
                    <w:t>昼间</w:t>
                  </w:r>
                </w:p>
              </w:tc>
            </w:tr>
            <w:tr w14:paraId="10E5AB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503E399">
                  <w:pPr>
                    <w:pStyle w:val="149"/>
                    <w:rPr>
                      <w:rFonts w:eastAsia="Times New Roman"/>
                    </w:rPr>
                  </w:pPr>
                  <w:r>
                    <w:rPr>
                      <w:rFonts w:eastAsia="Times New Roman"/>
                    </w:rPr>
                    <w:t>206</w:t>
                  </w:r>
                </w:p>
              </w:tc>
              <w:tc>
                <w:tcPr>
                  <w:tcW w:w="848" w:type="pct"/>
                  <w:tcBorders>
                    <w:top w:val="single" w:color="auto" w:sz="4" w:space="0"/>
                    <w:left w:val="single" w:color="auto" w:sz="4" w:space="0"/>
                    <w:bottom w:val="single" w:color="auto" w:sz="4" w:space="0"/>
                    <w:right w:val="single" w:color="auto" w:sz="4" w:space="0"/>
                  </w:tcBorders>
                  <w:vAlign w:val="center"/>
                </w:tcPr>
                <w:p w14:paraId="31423852">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00998CD4">
                  <w:pPr>
                    <w:pStyle w:val="149"/>
                    <w:rPr>
                      <w:rFonts w:eastAsia="Times New Roman"/>
                    </w:rPr>
                  </w:pPr>
                  <w:r>
                    <w:rPr>
                      <w:rFonts w:hint="eastAsia" w:eastAsia="Times New Roman"/>
                    </w:rPr>
                    <w:t>114.75</w:t>
                  </w:r>
                </w:p>
              </w:tc>
              <w:tc>
                <w:tcPr>
                  <w:tcW w:w="440" w:type="pct"/>
                  <w:tcBorders>
                    <w:top w:val="single" w:color="auto" w:sz="4" w:space="0"/>
                    <w:left w:val="single" w:color="auto" w:sz="4" w:space="0"/>
                    <w:bottom w:val="single" w:color="auto" w:sz="4" w:space="0"/>
                    <w:right w:val="single" w:color="auto" w:sz="4" w:space="0"/>
                  </w:tcBorders>
                  <w:vAlign w:val="center"/>
                </w:tcPr>
                <w:p w14:paraId="6539D2F3">
                  <w:pPr>
                    <w:pStyle w:val="149"/>
                    <w:rPr>
                      <w:rFonts w:eastAsia="Times New Roman"/>
                    </w:rPr>
                  </w:pPr>
                  <w:r>
                    <w:rPr>
                      <w:rFonts w:hint="eastAsia" w:eastAsia="Times New Roman"/>
                    </w:rPr>
                    <w:t>78.34</w:t>
                  </w:r>
                </w:p>
              </w:tc>
              <w:tc>
                <w:tcPr>
                  <w:tcW w:w="457" w:type="pct"/>
                  <w:tcBorders>
                    <w:top w:val="single" w:color="auto" w:sz="4" w:space="0"/>
                    <w:left w:val="single" w:color="auto" w:sz="4" w:space="0"/>
                    <w:bottom w:val="single" w:color="auto" w:sz="4" w:space="0"/>
                    <w:right w:val="single" w:color="auto" w:sz="4" w:space="0"/>
                  </w:tcBorders>
                  <w:vAlign w:val="center"/>
                </w:tcPr>
                <w:p w14:paraId="60EF339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B71738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F4F2A4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E2D7CC8">
                  <w:pPr>
                    <w:pStyle w:val="149"/>
                    <w:rPr>
                      <w:rFonts w:eastAsia="Times New Roman"/>
                    </w:rPr>
                  </w:pPr>
                  <w:r>
                    <w:rPr>
                      <w:rFonts w:hint="eastAsia" w:ascii="宋体" w:hAnsi="宋体" w:eastAsia="宋体" w:cs="宋体"/>
                    </w:rPr>
                    <w:t>夜间</w:t>
                  </w:r>
                </w:p>
              </w:tc>
            </w:tr>
            <w:tr w14:paraId="369897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AE32659">
                  <w:pPr>
                    <w:pStyle w:val="149"/>
                    <w:rPr>
                      <w:rFonts w:eastAsia="Times New Roman"/>
                    </w:rPr>
                  </w:pPr>
                  <w:r>
                    <w:rPr>
                      <w:rFonts w:eastAsia="Times New Roman"/>
                    </w:rPr>
                    <w:t>207</w:t>
                  </w:r>
                </w:p>
              </w:tc>
              <w:tc>
                <w:tcPr>
                  <w:tcW w:w="848" w:type="pct"/>
                  <w:tcBorders>
                    <w:top w:val="single" w:color="auto" w:sz="4" w:space="0"/>
                    <w:left w:val="single" w:color="auto" w:sz="4" w:space="0"/>
                    <w:bottom w:val="single" w:color="auto" w:sz="4" w:space="0"/>
                    <w:right w:val="single" w:color="auto" w:sz="4" w:space="0"/>
                  </w:tcBorders>
                  <w:vAlign w:val="center"/>
                </w:tcPr>
                <w:p w14:paraId="76D49FC9">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028744AD">
                  <w:pPr>
                    <w:pStyle w:val="149"/>
                    <w:rPr>
                      <w:rFonts w:eastAsia="Times New Roman"/>
                    </w:rPr>
                  </w:pPr>
                  <w:r>
                    <w:rPr>
                      <w:rFonts w:hint="eastAsia" w:eastAsia="Times New Roman"/>
                    </w:rPr>
                    <w:t>119.06</w:t>
                  </w:r>
                </w:p>
              </w:tc>
              <w:tc>
                <w:tcPr>
                  <w:tcW w:w="440" w:type="pct"/>
                  <w:tcBorders>
                    <w:top w:val="single" w:color="auto" w:sz="4" w:space="0"/>
                    <w:left w:val="single" w:color="auto" w:sz="4" w:space="0"/>
                    <w:bottom w:val="single" w:color="auto" w:sz="4" w:space="0"/>
                    <w:right w:val="single" w:color="auto" w:sz="4" w:space="0"/>
                  </w:tcBorders>
                  <w:vAlign w:val="center"/>
                </w:tcPr>
                <w:p w14:paraId="6AA86210">
                  <w:pPr>
                    <w:pStyle w:val="149"/>
                    <w:rPr>
                      <w:rFonts w:eastAsia="Times New Roman"/>
                    </w:rPr>
                  </w:pPr>
                  <w:r>
                    <w:rPr>
                      <w:rFonts w:hint="eastAsia" w:eastAsia="Times New Roman"/>
                    </w:rPr>
                    <w:t>77.84</w:t>
                  </w:r>
                </w:p>
              </w:tc>
              <w:tc>
                <w:tcPr>
                  <w:tcW w:w="457" w:type="pct"/>
                  <w:tcBorders>
                    <w:top w:val="single" w:color="auto" w:sz="4" w:space="0"/>
                    <w:left w:val="single" w:color="auto" w:sz="4" w:space="0"/>
                    <w:bottom w:val="single" w:color="auto" w:sz="4" w:space="0"/>
                    <w:right w:val="single" w:color="auto" w:sz="4" w:space="0"/>
                  </w:tcBorders>
                  <w:vAlign w:val="center"/>
                </w:tcPr>
                <w:p w14:paraId="1F1E62C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C89822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B21F213">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C0055D3">
                  <w:pPr>
                    <w:pStyle w:val="149"/>
                    <w:rPr>
                      <w:rFonts w:eastAsia="Times New Roman"/>
                    </w:rPr>
                  </w:pPr>
                  <w:r>
                    <w:rPr>
                      <w:rFonts w:hint="eastAsia" w:ascii="宋体" w:hAnsi="宋体" w:eastAsia="宋体" w:cs="宋体"/>
                    </w:rPr>
                    <w:t>昼间</w:t>
                  </w:r>
                </w:p>
              </w:tc>
            </w:tr>
            <w:tr w14:paraId="3872AE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B4178EA">
                  <w:pPr>
                    <w:pStyle w:val="149"/>
                    <w:rPr>
                      <w:rFonts w:eastAsia="Times New Roman"/>
                    </w:rPr>
                  </w:pPr>
                  <w:r>
                    <w:rPr>
                      <w:rFonts w:eastAsia="Times New Roman"/>
                    </w:rPr>
                    <w:t>208</w:t>
                  </w:r>
                </w:p>
              </w:tc>
              <w:tc>
                <w:tcPr>
                  <w:tcW w:w="848" w:type="pct"/>
                  <w:tcBorders>
                    <w:top w:val="single" w:color="auto" w:sz="4" w:space="0"/>
                    <w:left w:val="single" w:color="auto" w:sz="4" w:space="0"/>
                    <w:bottom w:val="single" w:color="auto" w:sz="4" w:space="0"/>
                    <w:right w:val="single" w:color="auto" w:sz="4" w:space="0"/>
                  </w:tcBorders>
                  <w:vAlign w:val="center"/>
                </w:tcPr>
                <w:p w14:paraId="27FCA782">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63A7211">
                  <w:pPr>
                    <w:pStyle w:val="149"/>
                    <w:rPr>
                      <w:rFonts w:eastAsia="Times New Roman"/>
                    </w:rPr>
                  </w:pPr>
                  <w:r>
                    <w:rPr>
                      <w:rFonts w:hint="eastAsia" w:eastAsia="Times New Roman"/>
                    </w:rPr>
                    <w:t>119.06</w:t>
                  </w:r>
                </w:p>
              </w:tc>
              <w:tc>
                <w:tcPr>
                  <w:tcW w:w="440" w:type="pct"/>
                  <w:tcBorders>
                    <w:top w:val="single" w:color="auto" w:sz="4" w:space="0"/>
                    <w:left w:val="single" w:color="auto" w:sz="4" w:space="0"/>
                    <w:bottom w:val="single" w:color="auto" w:sz="4" w:space="0"/>
                    <w:right w:val="single" w:color="auto" w:sz="4" w:space="0"/>
                  </w:tcBorders>
                  <w:vAlign w:val="center"/>
                </w:tcPr>
                <w:p w14:paraId="0AFA808A">
                  <w:pPr>
                    <w:pStyle w:val="149"/>
                    <w:rPr>
                      <w:rFonts w:eastAsia="Times New Roman"/>
                    </w:rPr>
                  </w:pPr>
                  <w:r>
                    <w:rPr>
                      <w:rFonts w:hint="eastAsia" w:eastAsia="Times New Roman"/>
                    </w:rPr>
                    <w:t>77.84</w:t>
                  </w:r>
                </w:p>
              </w:tc>
              <w:tc>
                <w:tcPr>
                  <w:tcW w:w="457" w:type="pct"/>
                  <w:tcBorders>
                    <w:top w:val="single" w:color="auto" w:sz="4" w:space="0"/>
                    <w:left w:val="single" w:color="auto" w:sz="4" w:space="0"/>
                    <w:bottom w:val="single" w:color="auto" w:sz="4" w:space="0"/>
                    <w:right w:val="single" w:color="auto" w:sz="4" w:space="0"/>
                  </w:tcBorders>
                  <w:vAlign w:val="center"/>
                </w:tcPr>
                <w:p w14:paraId="7BE5FBFD">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5295B9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EF7DC1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EB68BF9">
                  <w:pPr>
                    <w:pStyle w:val="149"/>
                    <w:rPr>
                      <w:rFonts w:eastAsia="Times New Roman"/>
                    </w:rPr>
                  </w:pPr>
                  <w:r>
                    <w:rPr>
                      <w:rFonts w:hint="eastAsia" w:ascii="宋体" w:hAnsi="宋体" w:eastAsia="宋体" w:cs="宋体"/>
                    </w:rPr>
                    <w:t>夜间</w:t>
                  </w:r>
                </w:p>
              </w:tc>
            </w:tr>
            <w:tr w14:paraId="0091C8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C2D7244">
                  <w:pPr>
                    <w:pStyle w:val="149"/>
                    <w:rPr>
                      <w:rFonts w:eastAsia="Times New Roman"/>
                    </w:rPr>
                  </w:pPr>
                  <w:r>
                    <w:rPr>
                      <w:rFonts w:eastAsia="Times New Roman"/>
                    </w:rPr>
                    <w:t>209</w:t>
                  </w:r>
                </w:p>
              </w:tc>
              <w:tc>
                <w:tcPr>
                  <w:tcW w:w="848" w:type="pct"/>
                  <w:tcBorders>
                    <w:top w:val="single" w:color="auto" w:sz="4" w:space="0"/>
                    <w:left w:val="single" w:color="auto" w:sz="4" w:space="0"/>
                    <w:bottom w:val="single" w:color="auto" w:sz="4" w:space="0"/>
                    <w:right w:val="single" w:color="auto" w:sz="4" w:space="0"/>
                  </w:tcBorders>
                  <w:vAlign w:val="center"/>
                </w:tcPr>
                <w:p w14:paraId="015A6399">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286CFD79">
                  <w:pPr>
                    <w:pStyle w:val="149"/>
                    <w:rPr>
                      <w:rFonts w:eastAsia="Times New Roman"/>
                    </w:rPr>
                  </w:pPr>
                  <w:r>
                    <w:rPr>
                      <w:rFonts w:hint="eastAsia" w:eastAsia="Times New Roman"/>
                    </w:rPr>
                    <w:t>123.12</w:t>
                  </w:r>
                </w:p>
              </w:tc>
              <w:tc>
                <w:tcPr>
                  <w:tcW w:w="440" w:type="pct"/>
                  <w:tcBorders>
                    <w:top w:val="single" w:color="auto" w:sz="4" w:space="0"/>
                    <w:left w:val="single" w:color="auto" w:sz="4" w:space="0"/>
                    <w:bottom w:val="single" w:color="auto" w:sz="4" w:space="0"/>
                    <w:right w:val="single" w:color="auto" w:sz="4" w:space="0"/>
                  </w:tcBorders>
                  <w:vAlign w:val="center"/>
                </w:tcPr>
                <w:p w14:paraId="4C858B33">
                  <w:pPr>
                    <w:pStyle w:val="149"/>
                    <w:rPr>
                      <w:rFonts w:eastAsia="Times New Roman"/>
                    </w:rPr>
                  </w:pPr>
                  <w:r>
                    <w:rPr>
                      <w:rFonts w:hint="eastAsia" w:eastAsia="Times New Roman"/>
                    </w:rPr>
                    <w:t>76.8</w:t>
                  </w:r>
                </w:p>
              </w:tc>
              <w:tc>
                <w:tcPr>
                  <w:tcW w:w="457" w:type="pct"/>
                  <w:tcBorders>
                    <w:top w:val="single" w:color="auto" w:sz="4" w:space="0"/>
                    <w:left w:val="single" w:color="auto" w:sz="4" w:space="0"/>
                    <w:bottom w:val="single" w:color="auto" w:sz="4" w:space="0"/>
                    <w:right w:val="single" w:color="auto" w:sz="4" w:space="0"/>
                  </w:tcBorders>
                  <w:vAlign w:val="center"/>
                </w:tcPr>
                <w:p w14:paraId="3170C8E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AC0559D">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750217A">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E2BE471">
                  <w:pPr>
                    <w:pStyle w:val="149"/>
                    <w:rPr>
                      <w:rFonts w:eastAsia="Times New Roman"/>
                    </w:rPr>
                  </w:pPr>
                  <w:r>
                    <w:rPr>
                      <w:rFonts w:hint="eastAsia" w:ascii="宋体" w:hAnsi="宋体" w:eastAsia="宋体" w:cs="宋体"/>
                    </w:rPr>
                    <w:t>昼间</w:t>
                  </w:r>
                </w:p>
              </w:tc>
            </w:tr>
            <w:tr w14:paraId="26E6F4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2616CAA">
                  <w:pPr>
                    <w:pStyle w:val="149"/>
                    <w:rPr>
                      <w:rFonts w:eastAsia="Times New Roman"/>
                    </w:rPr>
                  </w:pPr>
                  <w:r>
                    <w:rPr>
                      <w:rFonts w:eastAsia="Times New Roman"/>
                    </w:rPr>
                    <w:t>210</w:t>
                  </w:r>
                </w:p>
              </w:tc>
              <w:tc>
                <w:tcPr>
                  <w:tcW w:w="848" w:type="pct"/>
                  <w:tcBorders>
                    <w:top w:val="single" w:color="auto" w:sz="4" w:space="0"/>
                    <w:left w:val="single" w:color="auto" w:sz="4" w:space="0"/>
                    <w:bottom w:val="single" w:color="auto" w:sz="4" w:space="0"/>
                    <w:right w:val="single" w:color="auto" w:sz="4" w:space="0"/>
                  </w:tcBorders>
                  <w:vAlign w:val="center"/>
                </w:tcPr>
                <w:p w14:paraId="6ABAB573">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17EFEF30">
                  <w:pPr>
                    <w:pStyle w:val="149"/>
                    <w:rPr>
                      <w:rFonts w:eastAsia="Times New Roman"/>
                    </w:rPr>
                  </w:pPr>
                  <w:r>
                    <w:rPr>
                      <w:rFonts w:hint="eastAsia" w:eastAsia="Times New Roman"/>
                    </w:rPr>
                    <w:t>123.12</w:t>
                  </w:r>
                </w:p>
              </w:tc>
              <w:tc>
                <w:tcPr>
                  <w:tcW w:w="440" w:type="pct"/>
                  <w:tcBorders>
                    <w:top w:val="single" w:color="auto" w:sz="4" w:space="0"/>
                    <w:left w:val="single" w:color="auto" w:sz="4" w:space="0"/>
                    <w:bottom w:val="single" w:color="auto" w:sz="4" w:space="0"/>
                    <w:right w:val="single" w:color="auto" w:sz="4" w:space="0"/>
                  </w:tcBorders>
                  <w:vAlign w:val="center"/>
                </w:tcPr>
                <w:p w14:paraId="15B23DD8">
                  <w:pPr>
                    <w:pStyle w:val="149"/>
                    <w:rPr>
                      <w:rFonts w:eastAsia="Times New Roman"/>
                    </w:rPr>
                  </w:pPr>
                  <w:r>
                    <w:rPr>
                      <w:rFonts w:hint="eastAsia" w:eastAsia="Times New Roman"/>
                    </w:rPr>
                    <w:t>76.8</w:t>
                  </w:r>
                </w:p>
              </w:tc>
              <w:tc>
                <w:tcPr>
                  <w:tcW w:w="457" w:type="pct"/>
                  <w:tcBorders>
                    <w:top w:val="single" w:color="auto" w:sz="4" w:space="0"/>
                    <w:left w:val="single" w:color="auto" w:sz="4" w:space="0"/>
                    <w:bottom w:val="single" w:color="auto" w:sz="4" w:space="0"/>
                    <w:right w:val="single" w:color="auto" w:sz="4" w:space="0"/>
                  </w:tcBorders>
                  <w:vAlign w:val="center"/>
                </w:tcPr>
                <w:p w14:paraId="6C71C3FC">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7F614AC">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3C5207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8D257DA">
                  <w:pPr>
                    <w:pStyle w:val="149"/>
                    <w:rPr>
                      <w:rFonts w:eastAsia="Times New Roman"/>
                    </w:rPr>
                  </w:pPr>
                  <w:r>
                    <w:rPr>
                      <w:rFonts w:hint="eastAsia" w:ascii="宋体" w:hAnsi="宋体" w:eastAsia="宋体" w:cs="宋体"/>
                    </w:rPr>
                    <w:t>夜间</w:t>
                  </w:r>
                </w:p>
              </w:tc>
            </w:tr>
            <w:tr w14:paraId="584D8E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79512A1">
                  <w:pPr>
                    <w:pStyle w:val="149"/>
                    <w:rPr>
                      <w:rFonts w:eastAsia="Times New Roman"/>
                    </w:rPr>
                  </w:pPr>
                  <w:r>
                    <w:rPr>
                      <w:rFonts w:eastAsia="Times New Roman"/>
                    </w:rPr>
                    <w:t>211</w:t>
                  </w:r>
                </w:p>
              </w:tc>
              <w:tc>
                <w:tcPr>
                  <w:tcW w:w="848" w:type="pct"/>
                  <w:tcBorders>
                    <w:top w:val="single" w:color="auto" w:sz="4" w:space="0"/>
                    <w:left w:val="single" w:color="auto" w:sz="4" w:space="0"/>
                    <w:bottom w:val="single" w:color="auto" w:sz="4" w:space="0"/>
                    <w:right w:val="single" w:color="auto" w:sz="4" w:space="0"/>
                  </w:tcBorders>
                  <w:vAlign w:val="center"/>
                </w:tcPr>
                <w:p w14:paraId="14868840">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B3252E9">
                  <w:pPr>
                    <w:pStyle w:val="149"/>
                    <w:rPr>
                      <w:rFonts w:eastAsia="Times New Roman"/>
                    </w:rPr>
                  </w:pPr>
                  <w:r>
                    <w:rPr>
                      <w:rFonts w:hint="eastAsia" w:eastAsia="Times New Roman"/>
                    </w:rPr>
                    <w:t>127.11</w:t>
                  </w:r>
                </w:p>
              </w:tc>
              <w:tc>
                <w:tcPr>
                  <w:tcW w:w="440" w:type="pct"/>
                  <w:tcBorders>
                    <w:top w:val="single" w:color="auto" w:sz="4" w:space="0"/>
                    <w:left w:val="single" w:color="auto" w:sz="4" w:space="0"/>
                    <w:bottom w:val="single" w:color="auto" w:sz="4" w:space="0"/>
                    <w:right w:val="single" w:color="auto" w:sz="4" w:space="0"/>
                  </w:tcBorders>
                  <w:vAlign w:val="center"/>
                </w:tcPr>
                <w:p w14:paraId="2607152B">
                  <w:pPr>
                    <w:pStyle w:val="149"/>
                    <w:rPr>
                      <w:rFonts w:eastAsia="Times New Roman"/>
                    </w:rPr>
                  </w:pPr>
                  <w:r>
                    <w:rPr>
                      <w:rFonts w:hint="eastAsia" w:eastAsia="Times New Roman"/>
                    </w:rPr>
                    <w:t>76.06</w:t>
                  </w:r>
                </w:p>
              </w:tc>
              <w:tc>
                <w:tcPr>
                  <w:tcW w:w="457" w:type="pct"/>
                  <w:tcBorders>
                    <w:top w:val="single" w:color="auto" w:sz="4" w:space="0"/>
                    <w:left w:val="single" w:color="auto" w:sz="4" w:space="0"/>
                    <w:bottom w:val="single" w:color="auto" w:sz="4" w:space="0"/>
                    <w:right w:val="single" w:color="auto" w:sz="4" w:space="0"/>
                  </w:tcBorders>
                  <w:vAlign w:val="top"/>
                </w:tcPr>
                <w:p w14:paraId="68008C7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60F9AD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8ED69F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FAFB5C7">
                  <w:pPr>
                    <w:pStyle w:val="149"/>
                    <w:rPr>
                      <w:rFonts w:eastAsia="Times New Roman"/>
                    </w:rPr>
                  </w:pPr>
                  <w:r>
                    <w:rPr>
                      <w:rFonts w:hint="eastAsia" w:ascii="宋体" w:hAnsi="宋体" w:eastAsia="宋体" w:cs="宋体"/>
                    </w:rPr>
                    <w:t>昼间</w:t>
                  </w:r>
                </w:p>
              </w:tc>
            </w:tr>
            <w:tr w14:paraId="3248E8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1296B71">
                  <w:pPr>
                    <w:pStyle w:val="149"/>
                    <w:rPr>
                      <w:rFonts w:eastAsia="Times New Roman"/>
                    </w:rPr>
                  </w:pPr>
                  <w:r>
                    <w:rPr>
                      <w:rFonts w:eastAsia="Times New Roman"/>
                    </w:rPr>
                    <w:t>212</w:t>
                  </w:r>
                </w:p>
              </w:tc>
              <w:tc>
                <w:tcPr>
                  <w:tcW w:w="848" w:type="pct"/>
                  <w:tcBorders>
                    <w:top w:val="single" w:color="auto" w:sz="4" w:space="0"/>
                    <w:left w:val="single" w:color="auto" w:sz="4" w:space="0"/>
                    <w:bottom w:val="single" w:color="auto" w:sz="4" w:space="0"/>
                    <w:right w:val="single" w:color="auto" w:sz="4" w:space="0"/>
                  </w:tcBorders>
                  <w:vAlign w:val="center"/>
                </w:tcPr>
                <w:p w14:paraId="04207434">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5CD5632A">
                  <w:pPr>
                    <w:pStyle w:val="149"/>
                    <w:rPr>
                      <w:rFonts w:eastAsia="Times New Roman"/>
                    </w:rPr>
                  </w:pPr>
                  <w:r>
                    <w:rPr>
                      <w:rFonts w:hint="eastAsia" w:eastAsia="Times New Roman"/>
                    </w:rPr>
                    <w:t>127.11</w:t>
                  </w:r>
                </w:p>
              </w:tc>
              <w:tc>
                <w:tcPr>
                  <w:tcW w:w="440" w:type="pct"/>
                  <w:tcBorders>
                    <w:top w:val="single" w:color="auto" w:sz="4" w:space="0"/>
                    <w:left w:val="single" w:color="auto" w:sz="4" w:space="0"/>
                    <w:bottom w:val="single" w:color="auto" w:sz="4" w:space="0"/>
                    <w:right w:val="single" w:color="auto" w:sz="4" w:space="0"/>
                  </w:tcBorders>
                  <w:vAlign w:val="center"/>
                </w:tcPr>
                <w:p w14:paraId="5A7AE039">
                  <w:pPr>
                    <w:pStyle w:val="149"/>
                    <w:rPr>
                      <w:rFonts w:eastAsia="Times New Roman"/>
                    </w:rPr>
                  </w:pPr>
                  <w:r>
                    <w:rPr>
                      <w:rFonts w:hint="eastAsia" w:eastAsia="Times New Roman"/>
                    </w:rPr>
                    <w:t>76.06</w:t>
                  </w:r>
                </w:p>
              </w:tc>
              <w:tc>
                <w:tcPr>
                  <w:tcW w:w="457" w:type="pct"/>
                  <w:tcBorders>
                    <w:top w:val="single" w:color="auto" w:sz="4" w:space="0"/>
                    <w:left w:val="single" w:color="auto" w:sz="4" w:space="0"/>
                    <w:bottom w:val="single" w:color="auto" w:sz="4" w:space="0"/>
                    <w:right w:val="single" w:color="auto" w:sz="4" w:space="0"/>
                  </w:tcBorders>
                  <w:vAlign w:val="top"/>
                </w:tcPr>
                <w:p w14:paraId="2A11BFF9">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7EA2039">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F3F3F1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31F8AF2">
                  <w:pPr>
                    <w:pStyle w:val="149"/>
                    <w:rPr>
                      <w:rFonts w:eastAsia="Times New Roman"/>
                    </w:rPr>
                  </w:pPr>
                  <w:r>
                    <w:rPr>
                      <w:rFonts w:hint="eastAsia" w:ascii="宋体" w:hAnsi="宋体" w:eastAsia="宋体" w:cs="宋体"/>
                    </w:rPr>
                    <w:t>夜间</w:t>
                  </w:r>
                </w:p>
              </w:tc>
            </w:tr>
            <w:tr w14:paraId="611247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364C170">
                  <w:pPr>
                    <w:pStyle w:val="149"/>
                    <w:rPr>
                      <w:rFonts w:eastAsia="Times New Roman"/>
                    </w:rPr>
                  </w:pPr>
                  <w:r>
                    <w:rPr>
                      <w:rFonts w:eastAsia="Times New Roman"/>
                    </w:rPr>
                    <w:t>213</w:t>
                  </w:r>
                </w:p>
              </w:tc>
              <w:tc>
                <w:tcPr>
                  <w:tcW w:w="848" w:type="pct"/>
                  <w:tcBorders>
                    <w:top w:val="single" w:color="auto" w:sz="4" w:space="0"/>
                    <w:left w:val="single" w:color="auto" w:sz="4" w:space="0"/>
                    <w:bottom w:val="single" w:color="auto" w:sz="4" w:space="0"/>
                    <w:right w:val="single" w:color="auto" w:sz="4" w:space="0"/>
                  </w:tcBorders>
                  <w:vAlign w:val="center"/>
                </w:tcPr>
                <w:p w14:paraId="6C6B9605">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5D350ED1">
                  <w:pPr>
                    <w:pStyle w:val="149"/>
                    <w:rPr>
                      <w:rFonts w:eastAsia="Times New Roman"/>
                    </w:rPr>
                  </w:pPr>
                  <w:r>
                    <w:rPr>
                      <w:rFonts w:hint="eastAsia" w:eastAsia="Times New Roman"/>
                    </w:rPr>
                    <w:t>65.09</w:t>
                  </w:r>
                </w:p>
              </w:tc>
              <w:tc>
                <w:tcPr>
                  <w:tcW w:w="440" w:type="pct"/>
                  <w:tcBorders>
                    <w:top w:val="single" w:color="auto" w:sz="4" w:space="0"/>
                    <w:left w:val="single" w:color="auto" w:sz="4" w:space="0"/>
                    <w:bottom w:val="single" w:color="auto" w:sz="4" w:space="0"/>
                    <w:right w:val="single" w:color="auto" w:sz="4" w:space="0"/>
                  </w:tcBorders>
                  <w:vAlign w:val="center"/>
                </w:tcPr>
                <w:p w14:paraId="77EDE9DB">
                  <w:pPr>
                    <w:pStyle w:val="149"/>
                    <w:rPr>
                      <w:rFonts w:eastAsia="Times New Roman"/>
                    </w:rPr>
                  </w:pPr>
                  <w:r>
                    <w:rPr>
                      <w:rFonts w:hint="eastAsia" w:eastAsia="Times New Roman"/>
                    </w:rPr>
                    <w:t>85.26</w:t>
                  </w:r>
                </w:p>
              </w:tc>
              <w:tc>
                <w:tcPr>
                  <w:tcW w:w="457" w:type="pct"/>
                  <w:tcBorders>
                    <w:top w:val="single" w:color="auto" w:sz="4" w:space="0"/>
                    <w:left w:val="single" w:color="auto" w:sz="4" w:space="0"/>
                    <w:bottom w:val="single" w:color="auto" w:sz="4" w:space="0"/>
                    <w:right w:val="single" w:color="auto" w:sz="4" w:space="0"/>
                  </w:tcBorders>
                  <w:vAlign w:val="top"/>
                </w:tcPr>
                <w:p w14:paraId="590ED32C">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053896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B95748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A20DD48">
                  <w:pPr>
                    <w:pStyle w:val="149"/>
                    <w:rPr>
                      <w:rFonts w:eastAsia="Times New Roman"/>
                    </w:rPr>
                  </w:pPr>
                  <w:r>
                    <w:rPr>
                      <w:rFonts w:hint="eastAsia" w:ascii="宋体" w:hAnsi="宋体" w:eastAsia="宋体" w:cs="宋体"/>
                    </w:rPr>
                    <w:t>昼间</w:t>
                  </w:r>
                </w:p>
              </w:tc>
            </w:tr>
            <w:tr w14:paraId="707F96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B0CF1BA">
                  <w:pPr>
                    <w:pStyle w:val="149"/>
                    <w:rPr>
                      <w:rFonts w:eastAsia="Times New Roman"/>
                    </w:rPr>
                  </w:pPr>
                  <w:r>
                    <w:rPr>
                      <w:rFonts w:eastAsia="Times New Roman"/>
                    </w:rPr>
                    <w:t>214</w:t>
                  </w:r>
                </w:p>
              </w:tc>
              <w:tc>
                <w:tcPr>
                  <w:tcW w:w="848" w:type="pct"/>
                  <w:tcBorders>
                    <w:top w:val="single" w:color="auto" w:sz="4" w:space="0"/>
                    <w:left w:val="single" w:color="auto" w:sz="4" w:space="0"/>
                    <w:bottom w:val="single" w:color="auto" w:sz="4" w:space="0"/>
                    <w:right w:val="single" w:color="auto" w:sz="4" w:space="0"/>
                  </w:tcBorders>
                  <w:vAlign w:val="center"/>
                </w:tcPr>
                <w:p w14:paraId="1CB24D09">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1364D5E0">
                  <w:pPr>
                    <w:pStyle w:val="149"/>
                    <w:rPr>
                      <w:rFonts w:eastAsia="Times New Roman"/>
                    </w:rPr>
                  </w:pPr>
                  <w:r>
                    <w:rPr>
                      <w:rFonts w:hint="eastAsia" w:eastAsia="Times New Roman"/>
                    </w:rPr>
                    <w:t>65.09</w:t>
                  </w:r>
                </w:p>
              </w:tc>
              <w:tc>
                <w:tcPr>
                  <w:tcW w:w="440" w:type="pct"/>
                  <w:tcBorders>
                    <w:top w:val="single" w:color="auto" w:sz="4" w:space="0"/>
                    <w:left w:val="single" w:color="auto" w:sz="4" w:space="0"/>
                    <w:bottom w:val="single" w:color="auto" w:sz="4" w:space="0"/>
                    <w:right w:val="single" w:color="auto" w:sz="4" w:space="0"/>
                  </w:tcBorders>
                  <w:vAlign w:val="center"/>
                </w:tcPr>
                <w:p w14:paraId="321A34A6">
                  <w:pPr>
                    <w:pStyle w:val="149"/>
                    <w:rPr>
                      <w:rFonts w:eastAsia="Times New Roman"/>
                    </w:rPr>
                  </w:pPr>
                  <w:r>
                    <w:rPr>
                      <w:rFonts w:hint="eastAsia" w:eastAsia="Times New Roman"/>
                    </w:rPr>
                    <w:t>85.26</w:t>
                  </w:r>
                </w:p>
              </w:tc>
              <w:tc>
                <w:tcPr>
                  <w:tcW w:w="457" w:type="pct"/>
                  <w:tcBorders>
                    <w:top w:val="single" w:color="auto" w:sz="4" w:space="0"/>
                    <w:left w:val="single" w:color="auto" w:sz="4" w:space="0"/>
                    <w:bottom w:val="single" w:color="auto" w:sz="4" w:space="0"/>
                    <w:right w:val="single" w:color="auto" w:sz="4" w:space="0"/>
                  </w:tcBorders>
                  <w:vAlign w:val="top"/>
                </w:tcPr>
                <w:p w14:paraId="0CAEDDB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9E3F71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FE8E900">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0ECC1E12">
                  <w:pPr>
                    <w:pStyle w:val="149"/>
                    <w:rPr>
                      <w:rFonts w:eastAsia="Times New Roman"/>
                    </w:rPr>
                  </w:pPr>
                  <w:r>
                    <w:rPr>
                      <w:rFonts w:hint="eastAsia" w:ascii="宋体" w:hAnsi="宋体" w:eastAsia="宋体" w:cs="宋体"/>
                    </w:rPr>
                    <w:t>夜间</w:t>
                  </w:r>
                </w:p>
              </w:tc>
            </w:tr>
            <w:tr w14:paraId="197FF0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0E4234C">
                  <w:pPr>
                    <w:pStyle w:val="149"/>
                    <w:rPr>
                      <w:rFonts w:eastAsia="Times New Roman"/>
                    </w:rPr>
                  </w:pPr>
                  <w:r>
                    <w:rPr>
                      <w:rFonts w:eastAsia="Times New Roman"/>
                    </w:rPr>
                    <w:t>215</w:t>
                  </w:r>
                </w:p>
              </w:tc>
              <w:tc>
                <w:tcPr>
                  <w:tcW w:w="848" w:type="pct"/>
                  <w:tcBorders>
                    <w:top w:val="single" w:color="auto" w:sz="4" w:space="0"/>
                    <w:left w:val="single" w:color="auto" w:sz="4" w:space="0"/>
                    <w:bottom w:val="single" w:color="auto" w:sz="4" w:space="0"/>
                    <w:right w:val="single" w:color="auto" w:sz="4" w:space="0"/>
                  </w:tcBorders>
                  <w:vAlign w:val="center"/>
                </w:tcPr>
                <w:p w14:paraId="2FC92C96">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8C3E16F">
                  <w:pPr>
                    <w:pStyle w:val="149"/>
                    <w:rPr>
                      <w:rFonts w:eastAsia="Times New Roman"/>
                    </w:rPr>
                  </w:pPr>
                  <w:r>
                    <w:rPr>
                      <w:rFonts w:hint="eastAsia" w:eastAsia="Times New Roman"/>
                    </w:rPr>
                    <w:t>66.63</w:t>
                  </w:r>
                </w:p>
              </w:tc>
              <w:tc>
                <w:tcPr>
                  <w:tcW w:w="440" w:type="pct"/>
                  <w:tcBorders>
                    <w:top w:val="single" w:color="auto" w:sz="4" w:space="0"/>
                    <w:left w:val="single" w:color="auto" w:sz="4" w:space="0"/>
                    <w:bottom w:val="single" w:color="auto" w:sz="4" w:space="0"/>
                    <w:right w:val="single" w:color="auto" w:sz="4" w:space="0"/>
                  </w:tcBorders>
                  <w:vAlign w:val="center"/>
                </w:tcPr>
                <w:p w14:paraId="6A964EB3">
                  <w:pPr>
                    <w:pStyle w:val="149"/>
                    <w:rPr>
                      <w:rFonts w:eastAsia="Times New Roman"/>
                    </w:rPr>
                  </w:pPr>
                  <w:r>
                    <w:rPr>
                      <w:rFonts w:hint="eastAsia" w:eastAsia="Times New Roman"/>
                    </w:rPr>
                    <w:t>80.26</w:t>
                  </w:r>
                </w:p>
              </w:tc>
              <w:tc>
                <w:tcPr>
                  <w:tcW w:w="457" w:type="pct"/>
                  <w:tcBorders>
                    <w:top w:val="single" w:color="auto" w:sz="4" w:space="0"/>
                    <w:left w:val="single" w:color="auto" w:sz="4" w:space="0"/>
                    <w:bottom w:val="single" w:color="auto" w:sz="4" w:space="0"/>
                    <w:right w:val="single" w:color="auto" w:sz="4" w:space="0"/>
                  </w:tcBorders>
                  <w:vAlign w:val="top"/>
                </w:tcPr>
                <w:p w14:paraId="2F5302B9">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B684289">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F22DB58">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80B4905">
                  <w:pPr>
                    <w:pStyle w:val="149"/>
                    <w:rPr>
                      <w:rFonts w:eastAsia="Times New Roman"/>
                    </w:rPr>
                  </w:pPr>
                  <w:r>
                    <w:rPr>
                      <w:rFonts w:hint="eastAsia" w:ascii="宋体" w:hAnsi="宋体" w:eastAsia="宋体" w:cs="宋体"/>
                    </w:rPr>
                    <w:t>昼间</w:t>
                  </w:r>
                </w:p>
              </w:tc>
            </w:tr>
            <w:tr w14:paraId="39CA02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8EA9A29">
                  <w:pPr>
                    <w:pStyle w:val="149"/>
                    <w:rPr>
                      <w:rFonts w:eastAsia="Times New Roman"/>
                    </w:rPr>
                  </w:pPr>
                  <w:r>
                    <w:rPr>
                      <w:rFonts w:eastAsia="Times New Roman"/>
                    </w:rPr>
                    <w:t>216</w:t>
                  </w:r>
                </w:p>
              </w:tc>
              <w:tc>
                <w:tcPr>
                  <w:tcW w:w="848" w:type="pct"/>
                  <w:tcBorders>
                    <w:top w:val="single" w:color="auto" w:sz="4" w:space="0"/>
                    <w:left w:val="single" w:color="auto" w:sz="4" w:space="0"/>
                    <w:bottom w:val="single" w:color="auto" w:sz="4" w:space="0"/>
                    <w:right w:val="single" w:color="auto" w:sz="4" w:space="0"/>
                  </w:tcBorders>
                  <w:vAlign w:val="center"/>
                </w:tcPr>
                <w:p w14:paraId="13A7D4A0">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049E8B6C">
                  <w:pPr>
                    <w:pStyle w:val="149"/>
                    <w:rPr>
                      <w:rFonts w:eastAsia="Times New Roman"/>
                    </w:rPr>
                  </w:pPr>
                  <w:r>
                    <w:rPr>
                      <w:rFonts w:hint="eastAsia" w:eastAsia="Times New Roman"/>
                    </w:rPr>
                    <w:t>66.63</w:t>
                  </w:r>
                </w:p>
              </w:tc>
              <w:tc>
                <w:tcPr>
                  <w:tcW w:w="440" w:type="pct"/>
                  <w:tcBorders>
                    <w:top w:val="single" w:color="auto" w:sz="4" w:space="0"/>
                    <w:left w:val="single" w:color="auto" w:sz="4" w:space="0"/>
                    <w:bottom w:val="single" w:color="auto" w:sz="4" w:space="0"/>
                    <w:right w:val="single" w:color="auto" w:sz="4" w:space="0"/>
                  </w:tcBorders>
                  <w:vAlign w:val="center"/>
                </w:tcPr>
                <w:p w14:paraId="54808E55">
                  <w:pPr>
                    <w:pStyle w:val="149"/>
                    <w:rPr>
                      <w:rFonts w:eastAsia="Times New Roman"/>
                    </w:rPr>
                  </w:pPr>
                  <w:r>
                    <w:rPr>
                      <w:rFonts w:hint="eastAsia" w:eastAsia="Times New Roman"/>
                    </w:rPr>
                    <w:t>80.26</w:t>
                  </w:r>
                </w:p>
              </w:tc>
              <w:tc>
                <w:tcPr>
                  <w:tcW w:w="457" w:type="pct"/>
                  <w:tcBorders>
                    <w:top w:val="single" w:color="auto" w:sz="4" w:space="0"/>
                    <w:left w:val="single" w:color="auto" w:sz="4" w:space="0"/>
                    <w:bottom w:val="single" w:color="auto" w:sz="4" w:space="0"/>
                    <w:right w:val="single" w:color="auto" w:sz="4" w:space="0"/>
                  </w:tcBorders>
                  <w:vAlign w:val="top"/>
                </w:tcPr>
                <w:p w14:paraId="7C6705B9">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4193536">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DE8437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2563F72">
                  <w:pPr>
                    <w:pStyle w:val="149"/>
                    <w:rPr>
                      <w:rFonts w:eastAsia="Times New Roman"/>
                    </w:rPr>
                  </w:pPr>
                  <w:r>
                    <w:rPr>
                      <w:rFonts w:hint="eastAsia" w:ascii="宋体" w:hAnsi="宋体" w:eastAsia="宋体" w:cs="宋体"/>
                    </w:rPr>
                    <w:t>夜间</w:t>
                  </w:r>
                </w:p>
              </w:tc>
            </w:tr>
            <w:tr w14:paraId="248425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CBE22D1">
                  <w:pPr>
                    <w:pStyle w:val="149"/>
                    <w:rPr>
                      <w:rFonts w:eastAsia="Times New Roman"/>
                    </w:rPr>
                  </w:pPr>
                  <w:r>
                    <w:rPr>
                      <w:rFonts w:eastAsia="Times New Roman"/>
                    </w:rPr>
                    <w:t>217</w:t>
                  </w:r>
                </w:p>
              </w:tc>
              <w:tc>
                <w:tcPr>
                  <w:tcW w:w="848" w:type="pct"/>
                  <w:tcBorders>
                    <w:top w:val="single" w:color="auto" w:sz="4" w:space="0"/>
                    <w:left w:val="single" w:color="auto" w:sz="4" w:space="0"/>
                    <w:bottom w:val="single" w:color="auto" w:sz="4" w:space="0"/>
                    <w:right w:val="single" w:color="auto" w:sz="4" w:space="0"/>
                  </w:tcBorders>
                  <w:vAlign w:val="center"/>
                </w:tcPr>
                <w:p w14:paraId="2B7A1683">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6437C4E3">
                  <w:pPr>
                    <w:pStyle w:val="149"/>
                    <w:rPr>
                      <w:rFonts w:eastAsia="Times New Roman"/>
                    </w:rPr>
                  </w:pPr>
                  <w:r>
                    <w:rPr>
                      <w:rFonts w:hint="eastAsia" w:eastAsia="Times New Roman"/>
                    </w:rPr>
                    <w:t>87.42</w:t>
                  </w:r>
                </w:p>
              </w:tc>
              <w:tc>
                <w:tcPr>
                  <w:tcW w:w="440" w:type="pct"/>
                  <w:tcBorders>
                    <w:top w:val="single" w:color="auto" w:sz="4" w:space="0"/>
                    <w:left w:val="single" w:color="auto" w:sz="4" w:space="0"/>
                    <w:bottom w:val="single" w:color="auto" w:sz="4" w:space="0"/>
                    <w:right w:val="single" w:color="auto" w:sz="4" w:space="0"/>
                  </w:tcBorders>
                  <w:vAlign w:val="center"/>
                </w:tcPr>
                <w:p w14:paraId="1A13ED1D">
                  <w:pPr>
                    <w:pStyle w:val="149"/>
                    <w:rPr>
                      <w:rFonts w:eastAsia="Times New Roman"/>
                    </w:rPr>
                  </w:pPr>
                  <w:r>
                    <w:rPr>
                      <w:rFonts w:hint="eastAsia" w:eastAsia="Times New Roman"/>
                    </w:rPr>
                    <w:t>76.23</w:t>
                  </w:r>
                </w:p>
              </w:tc>
              <w:tc>
                <w:tcPr>
                  <w:tcW w:w="457" w:type="pct"/>
                  <w:tcBorders>
                    <w:top w:val="single" w:color="auto" w:sz="4" w:space="0"/>
                    <w:left w:val="single" w:color="auto" w:sz="4" w:space="0"/>
                    <w:bottom w:val="single" w:color="auto" w:sz="4" w:space="0"/>
                    <w:right w:val="single" w:color="auto" w:sz="4" w:space="0"/>
                  </w:tcBorders>
                  <w:vAlign w:val="top"/>
                </w:tcPr>
                <w:p w14:paraId="3C80F76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5B44DD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0F803F4">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48EAB0E">
                  <w:pPr>
                    <w:pStyle w:val="149"/>
                    <w:rPr>
                      <w:rFonts w:eastAsia="Times New Roman"/>
                    </w:rPr>
                  </w:pPr>
                  <w:r>
                    <w:rPr>
                      <w:rFonts w:hint="eastAsia" w:ascii="宋体" w:hAnsi="宋体" w:eastAsia="宋体" w:cs="宋体"/>
                    </w:rPr>
                    <w:t>昼间</w:t>
                  </w:r>
                </w:p>
              </w:tc>
            </w:tr>
            <w:tr w14:paraId="26879E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1524957">
                  <w:pPr>
                    <w:pStyle w:val="149"/>
                    <w:rPr>
                      <w:rFonts w:eastAsia="Times New Roman"/>
                    </w:rPr>
                  </w:pPr>
                  <w:r>
                    <w:rPr>
                      <w:rFonts w:eastAsia="Times New Roman"/>
                    </w:rPr>
                    <w:t>218</w:t>
                  </w:r>
                </w:p>
              </w:tc>
              <w:tc>
                <w:tcPr>
                  <w:tcW w:w="848" w:type="pct"/>
                  <w:tcBorders>
                    <w:top w:val="single" w:color="auto" w:sz="4" w:space="0"/>
                    <w:left w:val="single" w:color="auto" w:sz="4" w:space="0"/>
                    <w:bottom w:val="single" w:color="auto" w:sz="4" w:space="0"/>
                    <w:right w:val="single" w:color="auto" w:sz="4" w:space="0"/>
                  </w:tcBorders>
                  <w:vAlign w:val="center"/>
                </w:tcPr>
                <w:p w14:paraId="42348B57">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139B4C3D">
                  <w:pPr>
                    <w:pStyle w:val="149"/>
                    <w:rPr>
                      <w:rFonts w:eastAsia="Times New Roman"/>
                    </w:rPr>
                  </w:pPr>
                  <w:r>
                    <w:rPr>
                      <w:rFonts w:hint="eastAsia" w:eastAsia="Times New Roman"/>
                    </w:rPr>
                    <w:t>87.42</w:t>
                  </w:r>
                </w:p>
              </w:tc>
              <w:tc>
                <w:tcPr>
                  <w:tcW w:w="440" w:type="pct"/>
                  <w:tcBorders>
                    <w:top w:val="single" w:color="auto" w:sz="4" w:space="0"/>
                    <w:left w:val="single" w:color="auto" w:sz="4" w:space="0"/>
                    <w:bottom w:val="single" w:color="auto" w:sz="4" w:space="0"/>
                    <w:right w:val="single" w:color="auto" w:sz="4" w:space="0"/>
                  </w:tcBorders>
                  <w:vAlign w:val="center"/>
                </w:tcPr>
                <w:p w14:paraId="4B10C43A">
                  <w:pPr>
                    <w:pStyle w:val="149"/>
                    <w:rPr>
                      <w:rFonts w:eastAsia="Times New Roman"/>
                    </w:rPr>
                  </w:pPr>
                  <w:r>
                    <w:rPr>
                      <w:rFonts w:hint="eastAsia" w:eastAsia="Times New Roman"/>
                    </w:rPr>
                    <w:t>76.23</w:t>
                  </w:r>
                </w:p>
              </w:tc>
              <w:tc>
                <w:tcPr>
                  <w:tcW w:w="457" w:type="pct"/>
                  <w:tcBorders>
                    <w:top w:val="single" w:color="auto" w:sz="4" w:space="0"/>
                    <w:left w:val="single" w:color="auto" w:sz="4" w:space="0"/>
                    <w:bottom w:val="single" w:color="auto" w:sz="4" w:space="0"/>
                    <w:right w:val="single" w:color="auto" w:sz="4" w:space="0"/>
                  </w:tcBorders>
                  <w:vAlign w:val="top"/>
                </w:tcPr>
                <w:p w14:paraId="7877DFE0">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EA428B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48BC05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9801891">
                  <w:pPr>
                    <w:pStyle w:val="149"/>
                    <w:rPr>
                      <w:rFonts w:eastAsia="Times New Roman"/>
                    </w:rPr>
                  </w:pPr>
                  <w:r>
                    <w:rPr>
                      <w:rFonts w:hint="eastAsia" w:ascii="宋体" w:hAnsi="宋体" w:eastAsia="宋体" w:cs="宋体"/>
                    </w:rPr>
                    <w:t>夜间</w:t>
                  </w:r>
                </w:p>
              </w:tc>
            </w:tr>
            <w:tr w14:paraId="1333F0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7421B036">
                  <w:pPr>
                    <w:pStyle w:val="149"/>
                    <w:rPr>
                      <w:rFonts w:eastAsia="Times New Roman"/>
                    </w:rPr>
                  </w:pPr>
                  <w:r>
                    <w:rPr>
                      <w:rFonts w:eastAsia="Times New Roman"/>
                    </w:rPr>
                    <w:t>219</w:t>
                  </w:r>
                </w:p>
              </w:tc>
              <w:tc>
                <w:tcPr>
                  <w:tcW w:w="848" w:type="pct"/>
                  <w:tcBorders>
                    <w:top w:val="single" w:color="auto" w:sz="4" w:space="0"/>
                    <w:left w:val="single" w:color="auto" w:sz="4" w:space="0"/>
                    <w:bottom w:val="single" w:color="auto" w:sz="4" w:space="0"/>
                    <w:right w:val="single" w:color="auto" w:sz="4" w:space="0"/>
                  </w:tcBorders>
                  <w:vAlign w:val="center"/>
                </w:tcPr>
                <w:p w14:paraId="19817643">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011077F0">
                  <w:pPr>
                    <w:pStyle w:val="149"/>
                    <w:rPr>
                      <w:rFonts w:eastAsia="Times New Roman"/>
                    </w:rPr>
                  </w:pPr>
                  <w:r>
                    <w:rPr>
                      <w:rFonts w:hint="eastAsia" w:eastAsia="Times New Roman"/>
                    </w:rPr>
                    <w:t>97.6</w:t>
                  </w:r>
                </w:p>
              </w:tc>
              <w:tc>
                <w:tcPr>
                  <w:tcW w:w="440" w:type="pct"/>
                  <w:tcBorders>
                    <w:top w:val="single" w:color="auto" w:sz="4" w:space="0"/>
                    <w:left w:val="single" w:color="auto" w:sz="4" w:space="0"/>
                    <w:bottom w:val="single" w:color="auto" w:sz="4" w:space="0"/>
                    <w:right w:val="single" w:color="auto" w:sz="4" w:space="0"/>
                  </w:tcBorders>
                  <w:vAlign w:val="center"/>
                </w:tcPr>
                <w:p w14:paraId="0F6925B9">
                  <w:pPr>
                    <w:pStyle w:val="149"/>
                    <w:rPr>
                      <w:rFonts w:eastAsia="Times New Roman"/>
                    </w:rPr>
                  </w:pPr>
                  <w:r>
                    <w:rPr>
                      <w:rFonts w:hint="eastAsia" w:eastAsia="Times New Roman"/>
                    </w:rPr>
                    <w:t>75.02</w:t>
                  </w:r>
                </w:p>
              </w:tc>
              <w:tc>
                <w:tcPr>
                  <w:tcW w:w="457" w:type="pct"/>
                  <w:tcBorders>
                    <w:top w:val="single" w:color="auto" w:sz="4" w:space="0"/>
                    <w:left w:val="single" w:color="auto" w:sz="4" w:space="0"/>
                    <w:bottom w:val="single" w:color="auto" w:sz="4" w:space="0"/>
                    <w:right w:val="single" w:color="auto" w:sz="4" w:space="0"/>
                  </w:tcBorders>
                  <w:vAlign w:val="top"/>
                </w:tcPr>
                <w:p w14:paraId="1A36C0F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FF4A53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E7FAF08">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28489C5">
                  <w:pPr>
                    <w:pStyle w:val="149"/>
                    <w:rPr>
                      <w:rFonts w:eastAsia="Times New Roman"/>
                    </w:rPr>
                  </w:pPr>
                  <w:r>
                    <w:rPr>
                      <w:rFonts w:hint="eastAsia" w:ascii="宋体" w:hAnsi="宋体" w:eastAsia="宋体" w:cs="宋体"/>
                    </w:rPr>
                    <w:t>昼间</w:t>
                  </w:r>
                </w:p>
              </w:tc>
            </w:tr>
            <w:tr w14:paraId="6CD4A5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87E326D">
                  <w:pPr>
                    <w:pStyle w:val="149"/>
                    <w:rPr>
                      <w:rFonts w:eastAsia="Times New Roman"/>
                    </w:rPr>
                  </w:pPr>
                  <w:r>
                    <w:rPr>
                      <w:rFonts w:eastAsia="Times New Roman"/>
                    </w:rPr>
                    <w:t>220</w:t>
                  </w:r>
                </w:p>
              </w:tc>
              <w:tc>
                <w:tcPr>
                  <w:tcW w:w="848" w:type="pct"/>
                  <w:tcBorders>
                    <w:top w:val="single" w:color="auto" w:sz="4" w:space="0"/>
                    <w:left w:val="single" w:color="auto" w:sz="4" w:space="0"/>
                    <w:bottom w:val="single" w:color="auto" w:sz="4" w:space="0"/>
                    <w:right w:val="single" w:color="auto" w:sz="4" w:space="0"/>
                  </w:tcBorders>
                  <w:vAlign w:val="center"/>
                </w:tcPr>
                <w:p w14:paraId="09F04676">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5B3244D6">
                  <w:pPr>
                    <w:pStyle w:val="149"/>
                    <w:rPr>
                      <w:rFonts w:eastAsia="Times New Roman"/>
                    </w:rPr>
                  </w:pPr>
                  <w:r>
                    <w:rPr>
                      <w:rFonts w:hint="eastAsia" w:eastAsia="Times New Roman"/>
                    </w:rPr>
                    <w:t>97.6</w:t>
                  </w:r>
                </w:p>
              </w:tc>
              <w:tc>
                <w:tcPr>
                  <w:tcW w:w="440" w:type="pct"/>
                  <w:tcBorders>
                    <w:top w:val="single" w:color="auto" w:sz="4" w:space="0"/>
                    <w:left w:val="single" w:color="auto" w:sz="4" w:space="0"/>
                    <w:bottom w:val="single" w:color="auto" w:sz="4" w:space="0"/>
                    <w:right w:val="single" w:color="auto" w:sz="4" w:space="0"/>
                  </w:tcBorders>
                  <w:vAlign w:val="center"/>
                </w:tcPr>
                <w:p w14:paraId="6E52F5AE">
                  <w:pPr>
                    <w:pStyle w:val="149"/>
                    <w:rPr>
                      <w:rFonts w:eastAsia="Times New Roman"/>
                    </w:rPr>
                  </w:pPr>
                  <w:r>
                    <w:rPr>
                      <w:rFonts w:hint="eastAsia" w:eastAsia="Times New Roman"/>
                    </w:rPr>
                    <w:t>75.02</w:t>
                  </w:r>
                </w:p>
              </w:tc>
              <w:tc>
                <w:tcPr>
                  <w:tcW w:w="457" w:type="pct"/>
                  <w:tcBorders>
                    <w:top w:val="single" w:color="auto" w:sz="4" w:space="0"/>
                    <w:left w:val="single" w:color="auto" w:sz="4" w:space="0"/>
                    <w:bottom w:val="single" w:color="auto" w:sz="4" w:space="0"/>
                    <w:right w:val="single" w:color="auto" w:sz="4" w:space="0"/>
                  </w:tcBorders>
                  <w:vAlign w:val="top"/>
                </w:tcPr>
                <w:p w14:paraId="4596DE4D">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6EF3F1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1609B6A">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725BCE3">
                  <w:pPr>
                    <w:pStyle w:val="149"/>
                    <w:rPr>
                      <w:rFonts w:eastAsia="Times New Roman"/>
                    </w:rPr>
                  </w:pPr>
                  <w:r>
                    <w:rPr>
                      <w:rFonts w:hint="eastAsia" w:ascii="宋体" w:hAnsi="宋体" w:eastAsia="宋体" w:cs="宋体"/>
                    </w:rPr>
                    <w:t>夜间</w:t>
                  </w:r>
                </w:p>
              </w:tc>
            </w:tr>
            <w:tr w14:paraId="2ACF97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9D12C26">
                  <w:pPr>
                    <w:pStyle w:val="149"/>
                    <w:rPr>
                      <w:rFonts w:eastAsia="Times New Roman"/>
                    </w:rPr>
                  </w:pPr>
                  <w:r>
                    <w:rPr>
                      <w:rFonts w:eastAsia="Times New Roman"/>
                    </w:rPr>
                    <w:t>221</w:t>
                  </w:r>
                </w:p>
              </w:tc>
              <w:tc>
                <w:tcPr>
                  <w:tcW w:w="848" w:type="pct"/>
                  <w:tcBorders>
                    <w:top w:val="single" w:color="auto" w:sz="4" w:space="0"/>
                    <w:left w:val="single" w:color="auto" w:sz="4" w:space="0"/>
                    <w:bottom w:val="single" w:color="auto" w:sz="4" w:space="0"/>
                    <w:right w:val="single" w:color="auto" w:sz="4" w:space="0"/>
                  </w:tcBorders>
                  <w:vAlign w:val="center"/>
                </w:tcPr>
                <w:p w14:paraId="1B0CCD21">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7E4583BC">
                  <w:pPr>
                    <w:pStyle w:val="149"/>
                    <w:rPr>
                      <w:rFonts w:eastAsia="Times New Roman"/>
                    </w:rPr>
                  </w:pPr>
                  <w:r>
                    <w:rPr>
                      <w:rFonts w:hint="eastAsia" w:eastAsia="Times New Roman"/>
                    </w:rPr>
                    <w:t>106.87</w:t>
                  </w:r>
                </w:p>
              </w:tc>
              <w:tc>
                <w:tcPr>
                  <w:tcW w:w="440" w:type="pct"/>
                  <w:tcBorders>
                    <w:top w:val="single" w:color="auto" w:sz="4" w:space="0"/>
                    <w:left w:val="single" w:color="auto" w:sz="4" w:space="0"/>
                    <w:bottom w:val="single" w:color="auto" w:sz="4" w:space="0"/>
                    <w:right w:val="single" w:color="auto" w:sz="4" w:space="0"/>
                  </w:tcBorders>
                  <w:vAlign w:val="center"/>
                </w:tcPr>
                <w:p w14:paraId="269CD78E">
                  <w:pPr>
                    <w:pStyle w:val="149"/>
                    <w:rPr>
                      <w:rFonts w:eastAsia="Times New Roman"/>
                    </w:rPr>
                  </w:pPr>
                  <w:r>
                    <w:rPr>
                      <w:rFonts w:hint="eastAsia" w:eastAsia="Times New Roman"/>
                    </w:rPr>
                    <w:t>73.71</w:t>
                  </w:r>
                </w:p>
              </w:tc>
              <w:tc>
                <w:tcPr>
                  <w:tcW w:w="457" w:type="pct"/>
                  <w:tcBorders>
                    <w:top w:val="single" w:color="auto" w:sz="4" w:space="0"/>
                    <w:left w:val="single" w:color="auto" w:sz="4" w:space="0"/>
                    <w:bottom w:val="single" w:color="auto" w:sz="4" w:space="0"/>
                    <w:right w:val="single" w:color="auto" w:sz="4" w:space="0"/>
                  </w:tcBorders>
                  <w:vAlign w:val="top"/>
                </w:tcPr>
                <w:p w14:paraId="2EA85061">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91513F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19D735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DE75F78">
                  <w:pPr>
                    <w:pStyle w:val="149"/>
                    <w:rPr>
                      <w:rFonts w:eastAsia="Times New Roman"/>
                    </w:rPr>
                  </w:pPr>
                  <w:r>
                    <w:rPr>
                      <w:rFonts w:hint="eastAsia" w:ascii="宋体" w:hAnsi="宋体" w:eastAsia="宋体" w:cs="宋体"/>
                    </w:rPr>
                    <w:t>昼间</w:t>
                  </w:r>
                </w:p>
              </w:tc>
            </w:tr>
            <w:tr w14:paraId="44D454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5C3F3B9">
                  <w:pPr>
                    <w:pStyle w:val="149"/>
                    <w:rPr>
                      <w:rFonts w:eastAsia="Times New Roman"/>
                    </w:rPr>
                  </w:pPr>
                  <w:r>
                    <w:rPr>
                      <w:rFonts w:eastAsia="Times New Roman"/>
                    </w:rPr>
                    <w:t>222</w:t>
                  </w:r>
                </w:p>
              </w:tc>
              <w:tc>
                <w:tcPr>
                  <w:tcW w:w="848" w:type="pct"/>
                  <w:tcBorders>
                    <w:top w:val="single" w:color="auto" w:sz="4" w:space="0"/>
                    <w:left w:val="single" w:color="auto" w:sz="4" w:space="0"/>
                    <w:bottom w:val="single" w:color="auto" w:sz="4" w:space="0"/>
                    <w:right w:val="single" w:color="auto" w:sz="4" w:space="0"/>
                  </w:tcBorders>
                  <w:vAlign w:val="center"/>
                </w:tcPr>
                <w:p w14:paraId="429FC1A6">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525F0C94">
                  <w:pPr>
                    <w:pStyle w:val="149"/>
                    <w:rPr>
                      <w:rFonts w:eastAsia="Times New Roman"/>
                    </w:rPr>
                  </w:pPr>
                  <w:r>
                    <w:rPr>
                      <w:rFonts w:hint="eastAsia" w:eastAsia="Times New Roman"/>
                    </w:rPr>
                    <w:t>106.87</w:t>
                  </w:r>
                </w:p>
              </w:tc>
              <w:tc>
                <w:tcPr>
                  <w:tcW w:w="440" w:type="pct"/>
                  <w:tcBorders>
                    <w:top w:val="single" w:color="auto" w:sz="4" w:space="0"/>
                    <w:left w:val="single" w:color="auto" w:sz="4" w:space="0"/>
                    <w:bottom w:val="single" w:color="auto" w:sz="4" w:space="0"/>
                    <w:right w:val="single" w:color="auto" w:sz="4" w:space="0"/>
                  </w:tcBorders>
                  <w:vAlign w:val="center"/>
                </w:tcPr>
                <w:p w14:paraId="0C026B09">
                  <w:pPr>
                    <w:pStyle w:val="149"/>
                    <w:rPr>
                      <w:rFonts w:eastAsia="Times New Roman"/>
                    </w:rPr>
                  </w:pPr>
                  <w:r>
                    <w:rPr>
                      <w:rFonts w:hint="eastAsia" w:eastAsia="Times New Roman"/>
                    </w:rPr>
                    <w:t>73.71</w:t>
                  </w:r>
                </w:p>
              </w:tc>
              <w:tc>
                <w:tcPr>
                  <w:tcW w:w="457" w:type="pct"/>
                  <w:tcBorders>
                    <w:top w:val="single" w:color="auto" w:sz="4" w:space="0"/>
                    <w:left w:val="single" w:color="auto" w:sz="4" w:space="0"/>
                    <w:bottom w:val="single" w:color="auto" w:sz="4" w:space="0"/>
                    <w:right w:val="single" w:color="auto" w:sz="4" w:space="0"/>
                  </w:tcBorders>
                  <w:vAlign w:val="top"/>
                </w:tcPr>
                <w:p w14:paraId="58BFA5E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65293C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0B6758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BA1866B">
                  <w:pPr>
                    <w:pStyle w:val="149"/>
                    <w:rPr>
                      <w:rFonts w:eastAsia="Times New Roman"/>
                    </w:rPr>
                  </w:pPr>
                  <w:r>
                    <w:rPr>
                      <w:rFonts w:hint="eastAsia" w:ascii="宋体" w:hAnsi="宋体" w:eastAsia="宋体" w:cs="宋体"/>
                    </w:rPr>
                    <w:t>夜间</w:t>
                  </w:r>
                </w:p>
              </w:tc>
            </w:tr>
            <w:tr w14:paraId="30F82F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14AD948">
                  <w:pPr>
                    <w:pStyle w:val="149"/>
                    <w:rPr>
                      <w:rFonts w:eastAsia="Times New Roman"/>
                    </w:rPr>
                  </w:pPr>
                  <w:r>
                    <w:rPr>
                      <w:rFonts w:eastAsia="Times New Roman"/>
                    </w:rPr>
                    <w:t>223</w:t>
                  </w:r>
                </w:p>
              </w:tc>
              <w:tc>
                <w:tcPr>
                  <w:tcW w:w="848" w:type="pct"/>
                  <w:tcBorders>
                    <w:top w:val="single" w:color="auto" w:sz="4" w:space="0"/>
                    <w:left w:val="single" w:color="auto" w:sz="4" w:space="0"/>
                    <w:bottom w:val="single" w:color="auto" w:sz="4" w:space="0"/>
                    <w:right w:val="single" w:color="auto" w:sz="4" w:space="0"/>
                  </w:tcBorders>
                  <w:vAlign w:val="center"/>
                </w:tcPr>
                <w:p w14:paraId="455A0DCE">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1F9AB5B7">
                  <w:pPr>
                    <w:pStyle w:val="149"/>
                    <w:rPr>
                      <w:rFonts w:eastAsia="Times New Roman"/>
                    </w:rPr>
                  </w:pPr>
                  <w:r>
                    <w:rPr>
                      <w:rFonts w:hint="eastAsia" w:eastAsia="Times New Roman"/>
                    </w:rPr>
                    <w:t>124.26</w:t>
                  </w:r>
                </w:p>
              </w:tc>
              <w:tc>
                <w:tcPr>
                  <w:tcW w:w="440" w:type="pct"/>
                  <w:tcBorders>
                    <w:top w:val="single" w:color="auto" w:sz="4" w:space="0"/>
                    <w:left w:val="single" w:color="auto" w:sz="4" w:space="0"/>
                    <w:bottom w:val="single" w:color="auto" w:sz="4" w:space="0"/>
                    <w:right w:val="single" w:color="auto" w:sz="4" w:space="0"/>
                  </w:tcBorders>
                  <w:vAlign w:val="center"/>
                </w:tcPr>
                <w:p w14:paraId="78F8CC25">
                  <w:pPr>
                    <w:pStyle w:val="149"/>
                    <w:rPr>
                      <w:rFonts w:eastAsia="Times New Roman"/>
                    </w:rPr>
                  </w:pPr>
                  <w:r>
                    <w:rPr>
                      <w:rFonts w:hint="eastAsia" w:eastAsia="Times New Roman"/>
                    </w:rPr>
                    <w:t>70.9</w:t>
                  </w:r>
                </w:p>
              </w:tc>
              <w:tc>
                <w:tcPr>
                  <w:tcW w:w="457" w:type="pct"/>
                  <w:tcBorders>
                    <w:top w:val="single" w:color="auto" w:sz="4" w:space="0"/>
                    <w:left w:val="single" w:color="auto" w:sz="4" w:space="0"/>
                    <w:bottom w:val="single" w:color="auto" w:sz="4" w:space="0"/>
                    <w:right w:val="single" w:color="auto" w:sz="4" w:space="0"/>
                  </w:tcBorders>
                  <w:vAlign w:val="top"/>
                </w:tcPr>
                <w:p w14:paraId="4D63880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61A19C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13EB5A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0A82BD1">
                  <w:pPr>
                    <w:pStyle w:val="149"/>
                    <w:rPr>
                      <w:rFonts w:eastAsia="Times New Roman"/>
                    </w:rPr>
                  </w:pPr>
                  <w:r>
                    <w:rPr>
                      <w:rFonts w:hint="eastAsia" w:ascii="宋体" w:hAnsi="宋体" w:eastAsia="宋体" w:cs="宋体"/>
                    </w:rPr>
                    <w:t>昼间</w:t>
                  </w:r>
                </w:p>
              </w:tc>
            </w:tr>
            <w:tr w14:paraId="79A3B0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1C84499">
                  <w:pPr>
                    <w:pStyle w:val="149"/>
                    <w:rPr>
                      <w:rFonts w:eastAsia="Times New Roman"/>
                    </w:rPr>
                  </w:pPr>
                  <w:r>
                    <w:rPr>
                      <w:rFonts w:eastAsia="Times New Roman"/>
                    </w:rPr>
                    <w:t>224</w:t>
                  </w:r>
                </w:p>
              </w:tc>
              <w:tc>
                <w:tcPr>
                  <w:tcW w:w="848" w:type="pct"/>
                  <w:tcBorders>
                    <w:top w:val="single" w:color="auto" w:sz="4" w:space="0"/>
                    <w:left w:val="single" w:color="auto" w:sz="4" w:space="0"/>
                    <w:bottom w:val="single" w:color="auto" w:sz="4" w:space="0"/>
                    <w:right w:val="single" w:color="auto" w:sz="4" w:space="0"/>
                  </w:tcBorders>
                  <w:vAlign w:val="center"/>
                </w:tcPr>
                <w:p w14:paraId="01146684">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D9C3513">
                  <w:pPr>
                    <w:pStyle w:val="149"/>
                    <w:rPr>
                      <w:rFonts w:eastAsia="Times New Roman"/>
                    </w:rPr>
                  </w:pPr>
                  <w:r>
                    <w:rPr>
                      <w:rFonts w:hint="eastAsia" w:eastAsia="Times New Roman"/>
                    </w:rPr>
                    <w:t>124.26</w:t>
                  </w:r>
                </w:p>
              </w:tc>
              <w:tc>
                <w:tcPr>
                  <w:tcW w:w="440" w:type="pct"/>
                  <w:tcBorders>
                    <w:top w:val="single" w:color="auto" w:sz="4" w:space="0"/>
                    <w:left w:val="single" w:color="auto" w:sz="4" w:space="0"/>
                    <w:bottom w:val="single" w:color="auto" w:sz="4" w:space="0"/>
                    <w:right w:val="single" w:color="auto" w:sz="4" w:space="0"/>
                  </w:tcBorders>
                  <w:vAlign w:val="center"/>
                </w:tcPr>
                <w:p w14:paraId="6A1A2B2D">
                  <w:pPr>
                    <w:pStyle w:val="149"/>
                    <w:rPr>
                      <w:rFonts w:eastAsia="Times New Roman"/>
                    </w:rPr>
                  </w:pPr>
                  <w:r>
                    <w:rPr>
                      <w:rFonts w:hint="eastAsia" w:eastAsia="Times New Roman"/>
                    </w:rPr>
                    <w:t>70.9</w:t>
                  </w:r>
                </w:p>
              </w:tc>
              <w:tc>
                <w:tcPr>
                  <w:tcW w:w="457" w:type="pct"/>
                  <w:tcBorders>
                    <w:top w:val="single" w:color="auto" w:sz="4" w:space="0"/>
                    <w:left w:val="single" w:color="auto" w:sz="4" w:space="0"/>
                    <w:bottom w:val="single" w:color="auto" w:sz="4" w:space="0"/>
                    <w:right w:val="single" w:color="auto" w:sz="4" w:space="0"/>
                  </w:tcBorders>
                  <w:vAlign w:val="top"/>
                </w:tcPr>
                <w:p w14:paraId="6BB1FFD6">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EB0AE4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9AED94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18A9D3A6">
                  <w:pPr>
                    <w:pStyle w:val="149"/>
                    <w:rPr>
                      <w:rFonts w:eastAsia="Times New Roman"/>
                    </w:rPr>
                  </w:pPr>
                  <w:r>
                    <w:rPr>
                      <w:rFonts w:hint="eastAsia" w:ascii="宋体" w:hAnsi="宋体" w:eastAsia="宋体" w:cs="宋体"/>
                    </w:rPr>
                    <w:t>夜间</w:t>
                  </w:r>
                </w:p>
              </w:tc>
            </w:tr>
            <w:tr w14:paraId="4A27BB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F1ED438">
                  <w:pPr>
                    <w:pStyle w:val="149"/>
                    <w:rPr>
                      <w:rFonts w:eastAsia="Times New Roman"/>
                    </w:rPr>
                  </w:pPr>
                  <w:r>
                    <w:rPr>
                      <w:rFonts w:eastAsia="Times New Roman"/>
                    </w:rPr>
                    <w:t>225</w:t>
                  </w:r>
                </w:p>
              </w:tc>
              <w:tc>
                <w:tcPr>
                  <w:tcW w:w="848" w:type="pct"/>
                  <w:tcBorders>
                    <w:top w:val="single" w:color="auto" w:sz="4" w:space="0"/>
                    <w:left w:val="single" w:color="auto" w:sz="4" w:space="0"/>
                    <w:bottom w:val="single" w:color="auto" w:sz="4" w:space="0"/>
                    <w:right w:val="single" w:color="auto" w:sz="4" w:space="0"/>
                  </w:tcBorders>
                  <w:vAlign w:val="center"/>
                </w:tcPr>
                <w:p w14:paraId="12367B6D">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072F79BF">
                  <w:pPr>
                    <w:pStyle w:val="149"/>
                    <w:rPr>
                      <w:rFonts w:eastAsia="Times New Roman"/>
                    </w:rPr>
                  </w:pPr>
                  <w:r>
                    <w:rPr>
                      <w:rFonts w:hint="eastAsia" w:eastAsia="Times New Roman"/>
                    </w:rPr>
                    <w:t>74.89</w:t>
                  </w:r>
                </w:p>
              </w:tc>
              <w:tc>
                <w:tcPr>
                  <w:tcW w:w="440" w:type="pct"/>
                  <w:tcBorders>
                    <w:top w:val="single" w:color="auto" w:sz="4" w:space="0"/>
                    <w:left w:val="single" w:color="auto" w:sz="4" w:space="0"/>
                    <w:bottom w:val="single" w:color="auto" w:sz="4" w:space="0"/>
                    <w:right w:val="single" w:color="auto" w:sz="4" w:space="0"/>
                  </w:tcBorders>
                  <w:vAlign w:val="center"/>
                </w:tcPr>
                <w:p w14:paraId="56CAD0AC">
                  <w:pPr>
                    <w:pStyle w:val="149"/>
                    <w:rPr>
                      <w:rFonts w:eastAsia="Times New Roman"/>
                    </w:rPr>
                  </w:pPr>
                  <w:r>
                    <w:rPr>
                      <w:rFonts w:hint="eastAsia" w:eastAsia="Times New Roman"/>
                    </w:rPr>
                    <w:t>68.66</w:t>
                  </w:r>
                </w:p>
              </w:tc>
              <w:tc>
                <w:tcPr>
                  <w:tcW w:w="457" w:type="pct"/>
                  <w:tcBorders>
                    <w:top w:val="single" w:color="auto" w:sz="4" w:space="0"/>
                    <w:left w:val="single" w:color="auto" w:sz="4" w:space="0"/>
                    <w:bottom w:val="single" w:color="auto" w:sz="4" w:space="0"/>
                    <w:right w:val="single" w:color="auto" w:sz="4" w:space="0"/>
                  </w:tcBorders>
                  <w:vAlign w:val="top"/>
                </w:tcPr>
                <w:p w14:paraId="46BDC85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3D0C228">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28F22B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F8E1AB2">
                  <w:pPr>
                    <w:pStyle w:val="149"/>
                    <w:rPr>
                      <w:rFonts w:eastAsia="Times New Roman"/>
                    </w:rPr>
                  </w:pPr>
                  <w:r>
                    <w:rPr>
                      <w:rFonts w:hint="eastAsia" w:ascii="宋体" w:hAnsi="宋体" w:eastAsia="宋体" w:cs="宋体"/>
                    </w:rPr>
                    <w:t>昼间</w:t>
                  </w:r>
                </w:p>
              </w:tc>
            </w:tr>
            <w:tr w14:paraId="2473CC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7E8AF4C">
                  <w:pPr>
                    <w:pStyle w:val="149"/>
                    <w:rPr>
                      <w:rFonts w:eastAsia="Times New Roman"/>
                    </w:rPr>
                  </w:pPr>
                  <w:r>
                    <w:rPr>
                      <w:rFonts w:eastAsia="Times New Roman"/>
                    </w:rPr>
                    <w:t>226</w:t>
                  </w:r>
                </w:p>
              </w:tc>
              <w:tc>
                <w:tcPr>
                  <w:tcW w:w="848" w:type="pct"/>
                  <w:tcBorders>
                    <w:top w:val="single" w:color="auto" w:sz="4" w:space="0"/>
                    <w:left w:val="single" w:color="auto" w:sz="4" w:space="0"/>
                    <w:bottom w:val="single" w:color="auto" w:sz="4" w:space="0"/>
                    <w:right w:val="single" w:color="auto" w:sz="4" w:space="0"/>
                  </w:tcBorders>
                  <w:vAlign w:val="center"/>
                </w:tcPr>
                <w:p w14:paraId="4129F3D0">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590C93C5">
                  <w:pPr>
                    <w:pStyle w:val="149"/>
                    <w:rPr>
                      <w:rFonts w:eastAsia="Times New Roman"/>
                    </w:rPr>
                  </w:pPr>
                  <w:r>
                    <w:rPr>
                      <w:rFonts w:hint="eastAsia" w:eastAsia="Times New Roman"/>
                    </w:rPr>
                    <w:t>74.89</w:t>
                  </w:r>
                </w:p>
              </w:tc>
              <w:tc>
                <w:tcPr>
                  <w:tcW w:w="440" w:type="pct"/>
                  <w:tcBorders>
                    <w:top w:val="single" w:color="auto" w:sz="4" w:space="0"/>
                    <w:left w:val="single" w:color="auto" w:sz="4" w:space="0"/>
                    <w:bottom w:val="single" w:color="auto" w:sz="4" w:space="0"/>
                    <w:right w:val="single" w:color="auto" w:sz="4" w:space="0"/>
                  </w:tcBorders>
                  <w:vAlign w:val="center"/>
                </w:tcPr>
                <w:p w14:paraId="769012BA">
                  <w:pPr>
                    <w:pStyle w:val="149"/>
                    <w:rPr>
                      <w:rFonts w:eastAsia="Times New Roman"/>
                    </w:rPr>
                  </w:pPr>
                  <w:r>
                    <w:rPr>
                      <w:rFonts w:hint="eastAsia" w:eastAsia="Times New Roman"/>
                    </w:rPr>
                    <w:t>68.66</w:t>
                  </w:r>
                </w:p>
              </w:tc>
              <w:tc>
                <w:tcPr>
                  <w:tcW w:w="457" w:type="pct"/>
                  <w:tcBorders>
                    <w:top w:val="single" w:color="auto" w:sz="4" w:space="0"/>
                    <w:left w:val="single" w:color="auto" w:sz="4" w:space="0"/>
                    <w:bottom w:val="single" w:color="auto" w:sz="4" w:space="0"/>
                    <w:right w:val="single" w:color="auto" w:sz="4" w:space="0"/>
                  </w:tcBorders>
                  <w:vAlign w:val="top"/>
                </w:tcPr>
                <w:p w14:paraId="4D09BDF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2CE139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6BD170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0190D99">
                  <w:pPr>
                    <w:pStyle w:val="149"/>
                    <w:rPr>
                      <w:rFonts w:eastAsia="Times New Roman"/>
                    </w:rPr>
                  </w:pPr>
                  <w:r>
                    <w:rPr>
                      <w:rFonts w:hint="eastAsia" w:ascii="宋体" w:hAnsi="宋体" w:eastAsia="宋体" w:cs="宋体"/>
                    </w:rPr>
                    <w:t>夜间</w:t>
                  </w:r>
                </w:p>
              </w:tc>
            </w:tr>
            <w:tr w14:paraId="5096DB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1D77AD8">
                  <w:pPr>
                    <w:pStyle w:val="149"/>
                    <w:rPr>
                      <w:rFonts w:eastAsia="Times New Roman"/>
                    </w:rPr>
                  </w:pPr>
                  <w:r>
                    <w:rPr>
                      <w:rFonts w:eastAsia="Times New Roman"/>
                    </w:rPr>
                    <w:t>227</w:t>
                  </w:r>
                </w:p>
              </w:tc>
              <w:tc>
                <w:tcPr>
                  <w:tcW w:w="848" w:type="pct"/>
                  <w:tcBorders>
                    <w:top w:val="single" w:color="auto" w:sz="4" w:space="0"/>
                    <w:left w:val="single" w:color="auto" w:sz="4" w:space="0"/>
                    <w:bottom w:val="single" w:color="auto" w:sz="4" w:space="0"/>
                    <w:right w:val="single" w:color="auto" w:sz="4" w:space="0"/>
                  </w:tcBorders>
                  <w:vAlign w:val="center"/>
                </w:tcPr>
                <w:p w14:paraId="69E45855">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51B27C2C">
                  <w:pPr>
                    <w:pStyle w:val="149"/>
                    <w:rPr>
                      <w:rFonts w:eastAsia="Times New Roman"/>
                    </w:rPr>
                  </w:pPr>
                  <w:r>
                    <w:rPr>
                      <w:rFonts w:hint="eastAsia" w:eastAsia="Times New Roman"/>
                    </w:rPr>
                    <w:t>85.17</w:t>
                  </w:r>
                </w:p>
              </w:tc>
              <w:tc>
                <w:tcPr>
                  <w:tcW w:w="440" w:type="pct"/>
                  <w:tcBorders>
                    <w:top w:val="single" w:color="auto" w:sz="4" w:space="0"/>
                    <w:left w:val="single" w:color="auto" w:sz="4" w:space="0"/>
                    <w:bottom w:val="single" w:color="auto" w:sz="4" w:space="0"/>
                    <w:right w:val="single" w:color="auto" w:sz="4" w:space="0"/>
                  </w:tcBorders>
                  <w:vAlign w:val="center"/>
                </w:tcPr>
                <w:p w14:paraId="5379C005">
                  <w:pPr>
                    <w:pStyle w:val="149"/>
                    <w:rPr>
                      <w:rFonts w:eastAsia="Times New Roman"/>
                    </w:rPr>
                  </w:pPr>
                  <w:r>
                    <w:rPr>
                      <w:rFonts w:hint="eastAsia" w:eastAsia="Times New Roman"/>
                    </w:rPr>
                    <w:t>68.1</w:t>
                  </w:r>
                </w:p>
              </w:tc>
              <w:tc>
                <w:tcPr>
                  <w:tcW w:w="457" w:type="pct"/>
                  <w:tcBorders>
                    <w:top w:val="single" w:color="auto" w:sz="4" w:space="0"/>
                    <w:left w:val="single" w:color="auto" w:sz="4" w:space="0"/>
                    <w:bottom w:val="single" w:color="auto" w:sz="4" w:space="0"/>
                    <w:right w:val="single" w:color="auto" w:sz="4" w:space="0"/>
                  </w:tcBorders>
                  <w:vAlign w:val="top"/>
                </w:tcPr>
                <w:p w14:paraId="5836037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276E36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051445A">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2272DCB">
                  <w:pPr>
                    <w:pStyle w:val="149"/>
                    <w:rPr>
                      <w:rFonts w:eastAsia="Times New Roman"/>
                    </w:rPr>
                  </w:pPr>
                  <w:r>
                    <w:rPr>
                      <w:rFonts w:hint="eastAsia" w:ascii="宋体" w:hAnsi="宋体" w:eastAsia="宋体" w:cs="宋体"/>
                    </w:rPr>
                    <w:t>昼间</w:t>
                  </w:r>
                </w:p>
              </w:tc>
            </w:tr>
            <w:tr w14:paraId="31B079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06DC640B">
                  <w:pPr>
                    <w:pStyle w:val="149"/>
                    <w:rPr>
                      <w:rFonts w:eastAsia="Times New Roman"/>
                    </w:rPr>
                  </w:pPr>
                  <w:r>
                    <w:rPr>
                      <w:rFonts w:eastAsia="Times New Roman"/>
                    </w:rPr>
                    <w:t>228</w:t>
                  </w:r>
                </w:p>
              </w:tc>
              <w:tc>
                <w:tcPr>
                  <w:tcW w:w="848" w:type="pct"/>
                  <w:tcBorders>
                    <w:top w:val="single" w:color="auto" w:sz="4" w:space="0"/>
                    <w:left w:val="single" w:color="auto" w:sz="4" w:space="0"/>
                    <w:bottom w:val="single" w:color="auto" w:sz="4" w:space="0"/>
                    <w:right w:val="single" w:color="auto" w:sz="4" w:space="0"/>
                  </w:tcBorders>
                  <w:vAlign w:val="center"/>
                </w:tcPr>
                <w:p w14:paraId="42C258F1">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6445B48A">
                  <w:pPr>
                    <w:pStyle w:val="149"/>
                    <w:rPr>
                      <w:rFonts w:eastAsia="Times New Roman"/>
                    </w:rPr>
                  </w:pPr>
                  <w:r>
                    <w:rPr>
                      <w:rFonts w:hint="eastAsia" w:eastAsia="Times New Roman"/>
                    </w:rPr>
                    <w:t>85.17</w:t>
                  </w:r>
                </w:p>
              </w:tc>
              <w:tc>
                <w:tcPr>
                  <w:tcW w:w="440" w:type="pct"/>
                  <w:tcBorders>
                    <w:top w:val="single" w:color="auto" w:sz="4" w:space="0"/>
                    <w:left w:val="single" w:color="auto" w:sz="4" w:space="0"/>
                    <w:bottom w:val="single" w:color="auto" w:sz="4" w:space="0"/>
                    <w:right w:val="single" w:color="auto" w:sz="4" w:space="0"/>
                  </w:tcBorders>
                  <w:vAlign w:val="center"/>
                </w:tcPr>
                <w:p w14:paraId="3AE4FD80">
                  <w:pPr>
                    <w:pStyle w:val="149"/>
                    <w:rPr>
                      <w:rFonts w:eastAsia="Times New Roman"/>
                    </w:rPr>
                  </w:pPr>
                  <w:r>
                    <w:rPr>
                      <w:rFonts w:hint="eastAsia" w:eastAsia="Times New Roman"/>
                    </w:rPr>
                    <w:t>68.1</w:t>
                  </w:r>
                </w:p>
              </w:tc>
              <w:tc>
                <w:tcPr>
                  <w:tcW w:w="457" w:type="pct"/>
                  <w:tcBorders>
                    <w:top w:val="single" w:color="auto" w:sz="4" w:space="0"/>
                    <w:left w:val="single" w:color="auto" w:sz="4" w:space="0"/>
                    <w:bottom w:val="single" w:color="auto" w:sz="4" w:space="0"/>
                    <w:right w:val="single" w:color="auto" w:sz="4" w:space="0"/>
                  </w:tcBorders>
                  <w:vAlign w:val="top"/>
                </w:tcPr>
                <w:p w14:paraId="1A88180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1BDB939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26C30D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3C4CCF13">
                  <w:pPr>
                    <w:pStyle w:val="149"/>
                    <w:rPr>
                      <w:rFonts w:eastAsia="Times New Roman"/>
                    </w:rPr>
                  </w:pPr>
                  <w:r>
                    <w:rPr>
                      <w:rFonts w:hint="eastAsia" w:ascii="宋体" w:hAnsi="宋体" w:eastAsia="宋体" w:cs="宋体"/>
                    </w:rPr>
                    <w:t>夜间</w:t>
                  </w:r>
                </w:p>
              </w:tc>
            </w:tr>
            <w:tr w14:paraId="2868F6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3834BF6">
                  <w:pPr>
                    <w:pStyle w:val="149"/>
                    <w:rPr>
                      <w:rFonts w:eastAsia="Times New Roman"/>
                    </w:rPr>
                  </w:pPr>
                  <w:r>
                    <w:rPr>
                      <w:rFonts w:eastAsia="Times New Roman"/>
                    </w:rPr>
                    <w:t>229</w:t>
                  </w:r>
                </w:p>
              </w:tc>
              <w:tc>
                <w:tcPr>
                  <w:tcW w:w="848" w:type="pct"/>
                  <w:tcBorders>
                    <w:top w:val="single" w:color="auto" w:sz="4" w:space="0"/>
                    <w:left w:val="single" w:color="auto" w:sz="4" w:space="0"/>
                    <w:bottom w:val="single" w:color="auto" w:sz="4" w:space="0"/>
                    <w:right w:val="single" w:color="auto" w:sz="4" w:space="0"/>
                  </w:tcBorders>
                  <w:vAlign w:val="center"/>
                </w:tcPr>
                <w:p w14:paraId="2A852E72">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3FC2106">
                  <w:pPr>
                    <w:pStyle w:val="149"/>
                    <w:rPr>
                      <w:rFonts w:eastAsia="Times New Roman"/>
                    </w:rPr>
                  </w:pPr>
                  <w:r>
                    <w:rPr>
                      <w:rFonts w:hint="eastAsia" w:eastAsia="Times New Roman"/>
                    </w:rPr>
                    <w:t>95.4</w:t>
                  </w:r>
                </w:p>
              </w:tc>
              <w:tc>
                <w:tcPr>
                  <w:tcW w:w="440" w:type="pct"/>
                  <w:tcBorders>
                    <w:top w:val="single" w:color="auto" w:sz="4" w:space="0"/>
                    <w:left w:val="single" w:color="auto" w:sz="4" w:space="0"/>
                    <w:bottom w:val="single" w:color="auto" w:sz="4" w:space="0"/>
                    <w:right w:val="single" w:color="auto" w:sz="4" w:space="0"/>
                  </w:tcBorders>
                  <w:vAlign w:val="center"/>
                </w:tcPr>
                <w:p w14:paraId="1601E9F6">
                  <w:pPr>
                    <w:pStyle w:val="149"/>
                    <w:rPr>
                      <w:rFonts w:eastAsia="Times New Roman"/>
                    </w:rPr>
                  </w:pPr>
                  <w:r>
                    <w:rPr>
                      <w:rFonts w:hint="eastAsia" w:eastAsia="Times New Roman"/>
                    </w:rPr>
                    <w:t>66.97</w:t>
                  </w:r>
                </w:p>
              </w:tc>
              <w:tc>
                <w:tcPr>
                  <w:tcW w:w="457" w:type="pct"/>
                  <w:tcBorders>
                    <w:top w:val="single" w:color="auto" w:sz="4" w:space="0"/>
                    <w:left w:val="single" w:color="auto" w:sz="4" w:space="0"/>
                    <w:bottom w:val="single" w:color="auto" w:sz="4" w:space="0"/>
                    <w:right w:val="single" w:color="auto" w:sz="4" w:space="0"/>
                  </w:tcBorders>
                  <w:vAlign w:val="top"/>
                </w:tcPr>
                <w:p w14:paraId="62CEF1A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1A5F5A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72DC836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06B1E1D">
                  <w:pPr>
                    <w:pStyle w:val="149"/>
                    <w:rPr>
                      <w:rFonts w:eastAsia="Times New Roman"/>
                    </w:rPr>
                  </w:pPr>
                  <w:r>
                    <w:rPr>
                      <w:rFonts w:hint="eastAsia" w:ascii="宋体" w:hAnsi="宋体" w:eastAsia="宋体" w:cs="宋体"/>
                    </w:rPr>
                    <w:t>昼间</w:t>
                  </w:r>
                </w:p>
              </w:tc>
            </w:tr>
            <w:tr w14:paraId="45B7AA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6CBF0850">
                  <w:pPr>
                    <w:pStyle w:val="149"/>
                    <w:rPr>
                      <w:rFonts w:eastAsia="Times New Roman"/>
                    </w:rPr>
                  </w:pPr>
                  <w:r>
                    <w:rPr>
                      <w:rFonts w:eastAsia="Times New Roman"/>
                    </w:rPr>
                    <w:t>230</w:t>
                  </w:r>
                </w:p>
              </w:tc>
              <w:tc>
                <w:tcPr>
                  <w:tcW w:w="848" w:type="pct"/>
                  <w:tcBorders>
                    <w:top w:val="single" w:color="auto" w:sz="4" w:space="0"/>
                    <w:left w:val="single" w:color="auto" w:sz="4" w:space="0"/>
                    <w:bottom w:val="single" w:color="auto" w:sz="4" w:space="0"/>
                    <w:right w:val="single" w:color="auto" w:sz="4" w:space="0"/>
                  </w:tcBorders>
                  <w:vAlign w:val="center"/>
                </w:tcPr>
                <w:p w14:paraId="72BC1794">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5F2BC01">
                  <w:pPr>
                    <w:pStyle w:val="149"/>
                    <w:rPr>
                      <w:rFonts w:eastAsia="Times New Roman"/>
                    </w:rPr>
                  </w:pPr>
                  <w:r>
                    <w:rPr>
                      <w:rFonts w:hint="eastAsia" w:eastAsia="Times New Roman"/>
                    </w:rPr>
                    <w:t>95.4</w:t>
                  </w:r>
                </w:p>
              </w:tc>
              <w:tc>
                <w:tcPr>
                  <w:tcW w:w="440" w:type="pct"/>
                  <w:tcBorders>
                    <w:top w:val="single" w:color="auto" w:sz="4" w:space="0"/>
                    <w:left w:val="single" w:color="auto" w:sz="4" w:space="0"/>
                    <w:bottom w:val="single" w:color="auto" w:sz="4" w:space="0"/>
                    <w:right w:val="single" w:color="auto" w:sz="4" w:space="0"/>
                  </w:tcBorders>
                  <w:vAlign w:val="center"/>
                </w:tcPr>
                <w:p w14:paraId="4D544E01">
                  <w:pPr>
                    <w:pStyle w:val="149"/>
                    <w:rPr>
                      <w:rFonts w:eastAsia="Times New Roman"/>
                    </w:rPr>
                  </w:pPr>
                  <w:r>
                    <w:rPr>
                      <w:rFonts w:hint="eastAsia" w:eastAsia="Times New Roman"/>
                    </w:rPr>
                    <w:t>66.97</w:t>
                  </w:r>
                </w:p>
              </w:tc>
              <w:tc>
                <w:tcPr>
                  <w:tcW w:w="457" w:type="pct"/>
                  <w:tcBorders>
                    <w:top w:val="single" w:color="auto" w:sz="4" w:space="0"/>
                    <w:left w:val="single" w:color="auto" w:sz="4" w:space="0"/>
                    <w:bottom w:val="single" w:color="auto" w:sz="4" w:space="0"/>
                    <w:right w:val="single" w:color="auto" w:sz="4" w:space="0"/>
                  </w:tcBorders>
                  <w:vAlign w:val="top"/>
                </w:tcPr>
                <w:p w14:paraId="0D20A97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FB34B5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1615D2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8062EA7">
                  <w:pPr>
                    <w:pStyle w:val="149"/>
                    <w:rPr>
                      <w:rFonts w:eastAsia="Times New Roman"/>
                    </w:rPr>
                  </w:pPr>
                  <w:r>
                    <w:rPr>
                      <w:rFonts w:hint="eastAsia" w:ascii="宋体" w:hAnsi="宋体" w:eastAsia="宋体" w:cs="宋体"/>
                    </w:rPr>
                    <w:t>夜间</w:t>
                  </w:r>
                </w:p>
              </w:tc>
            </w:tr>
            <w:tr w14:paraId="4B3B7C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707E822">
                  <w:pPr>
                    <w:pStyle w:val="149"/>
                    <w:rPr>
                      <w:rFonts w:eastAsia="Times New Roman"/>
                    </w:rPr>
                  </w:pPr>
                  <w:r>
                    <w:rPr>
                      <w:rFonts w:eastAsia="Times New Roman"/>
                    </w:rPr>
                    <w:t>231</w:t>
                  </w:r>
                </w:p>
              </w:tc>
              <w:tc>
                <w:tcPr>
                  <w:tcW w:w="848" w:type="pct"/>
                  <w:tcBorders>
                    <w:top w:val="single" w:color="auto" w:sz="4" w:space="0"/>
                    <w:left w:val="single" w:color="auto" w:sz="4" w:space="0"/>
                    <w:bottom w:val="single" w:color="auto" w:sz="4" w:space="0"/>
                    <w:right w:val="single" w:color="auto" w:sz="4" w:space="0"/>
                  </w:tcBorders>
                  <w:vAlign w:val="center"/>
                </w:tcPr>
                <w:p w14:paraId="78A00A5C">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BE86E12">
                  <w:pPr>
                    <w:pStyle w:val="149"/>
                    <w:rPr>
                      <w:rFonts w:eastAsia="Times New Roman"/>
                    </w:rPr>
                  </w:pPr>
                  <w:r>
                    <w:rPr>
                      <w:rFonts w:hint="eastAsia" w:eastAsia="Times New Roman"/>
                    </w:rPr>
                    <w:t>105.2</w:t>
                  </w:r>
                </w:p>
              </w:tc>
              <w:tc>
                <w:tcPr>
                  <w:tcW w:w="440" w:type="pct"/>
                  <w:tcBorders>
                    <w:top w:val="single" w:color="auto" w:sz="4" w:space="0"/>
                    <w:left w:val="single" w:color="auto" w:sz="4" w:space="0"/>
                    <w:bottom w:val="single" w:color="auto" w:sz="4" w:space="0"/>
                    <w:right w:val="single" w:color="auto" w:sz="4" w:space="0"/>
                  </w:tcBorders>
                  <w:vAlign w:val="center"/>
                </w:tcPr>
                <w:p w14:paraId="72AE713C">
                  <w:pPr>
                    <w:pStyle w:val="149"/>
                    <w:rPr>
                      <w:rFonts w:eastAsia="Times New Roman"/>
                    </w:rPr>
                  </w:pPr>
                  <w:r>
                    <w:rPr>
                      <w:rFonts w:hint="eastAsia" w:eastAsia="Times New Roman"/>
                    </w:rPr>
                    <w:t>65.63</w:t>
                  </w:r>
                </w:p>
              </w:tc>
              <w:tc>
                <w:tcPr>
                  <w:tcW w:w="457" w:type="pct"/>
                  <w:tcBorders>
                    <w:top w:val="single" w:color="auto" w:sz="4" w:space="0"/>
                    <w:left w:val="single" w:color="auto" w:sz="4" w:space="0"/>
                    <w:bottom w:val="single" w:color="auto" w:sz="4" w:space="0"/>
                    <w:right w:val="single" w:color="auto" w:sz="4" w:space="0"/>
                  </w:tcBorders>
                  <w:vAlign w:val="top"/>
                </w:tcPr>
                <w:p w14:paraId="1E68F22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1497810">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DC79956">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F75DB71">
                  <w:pPr>
                    <w:pStyle w:val="149"/>
                    <w:rPr>
                      <w:rFonts w:eastAsia="Times New Roman"/>
                    </w:rPr>
                  </w:pPr>
                  <w:r>
                    <w:rPr>
                      <w:rFonts w:hint="eastAsia" w:ascii="宋体" w:hAnsi="宋体" w:eastAsia="宋体" w:cs="宋体"/>
                    </w:rPr>
                    <w:t>昼间</w:t>
                  </w:r>
                </w:p>
              </w:tc>
            </w:tr>
            <w:tr w14:paraId="7B79C6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F57E110">
                  <w:pPr>
                    <w:pStyle w:val="149"/>
                    <w:rPr>
                      <w:rFonts w:eastAsia="Times New Roman"/>
                    </w:rPr>
                  </w:pPr>
                  <w:r>
                    <w:rPr>
                      <w:rFonts w:eastAsia="Times New Roman"/>
                    </w:rPr>
                    <w:t>232</w:t>
                  </w:r>
                </w:p>
              </w:tc>
              <w:tc>
                <w:tcPr>
                  <w:tcW w:w="848" w:type="pct"/>
                  <w:tcBorders>
                    <w:top w:val="single" w:color="auto" w:sz="4" w:space="0"/>
                    <w:left w:val="single" w:color="auto" w:sz="4" w:space="0"/>
                    <w:bottom w:val="single" w:color="auto" w:sz="4" w:space="0"/>
                    <w:right w:val="single" w:color="auto" w:sz="4" w:space="0"/>
                  </w:tcBorders>
                  <w:vAlign w:val="center"/>
                </w:tcPr>
                <w:p w14:paraId="27E41A6E">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577454B">
                  <w:pPr>
                    <w:pStyle w:val="149"/>
                    <w:rPr>
                      <w:rFonts w:eastAsia="Times New Roman"/>
                    </w:rPr>
                  </w:pPr>
                  <w:r>
                    <w:rPr>
                      <w:rFonts w:hint="eastAsia" w:eastAsia="Times New Roman"/>
                    </w:rPr>
                    <w:t>105.2</w:t>
                  </w:r>
                </w:p>
              </w:tc>
              <w:tc>
                <w:tcPr>
                  <w:tcW w:w="440" w:type="pct"/>
                  <w:tcBorders>
                    <w:top w:val="single" w:color="auto" w:sz="4" w:space="0"/>
                    <w:left w:val="single" w:color="auto" w:sz="4" w:space="0"/>
                    <w:bottom w:val="single" w:color="auto" w:sz="4" w:space="0"/>
                    <w:right w:val="single" w:color="auto" w:sz="4" w:space="0"/>
                  </w:tcBorders>
                  <w:vAlign w:val="center"/>
                </w:tcPr>
                <w:p w14:paraId="5B3552F9">
                  <w:pPr>
                    <w:pStyle w:val="149"/>
                    <w:rPr>
                      <w:rFonts w:eastAsia="Times New Roman"/>
                    </w:rPr>
                  </w:pPr>
                  <w:r>
                    <w:rPr>
                      <w:rFonts w:hint="eastAsia" w:eastAsia="Times New Roman"/>
                    </w:rPr>
                    <w:t>65.63</w:t>
                  </w:r>
                </w:p>
              </w:tc>
              <w:tc>
                <w:tcPr>
                  <w:tcW w:w="457" w:type="pct"/>
                  <w:tcBorders>
                    <w:top w:val="single" w:color="auto" w:sz="4" w:space="0"/>
                    <w:left w:val="single" w:color="auto" w:sz="4" w:space="0"/>
                    <w:bottom w:val="single" w:color="auto" w:sz="4" w:space="0"/>
                    <w:right w:val="single" w:color="auto" w:sz="4" w:space="0"/>
                  </w:tcBorders>
                  <w:vAlign w:val="top"/>
                </w:tcPr>
                <w:p w14:paraId="33C89019">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AFEAA9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74DBED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1B2894E">
                  <w:pPr>
                    <w:pStyle w:val="149"/>
                    <w:rPr>
                      <w:rFonts w:eastAsia="Times New Roman"/>
                    </w:rPr>
                  </w:pPr>
                  <w:r>
                    <w:rPr>
                      <w:rFonts w:hint="eastAsia" w:ascii="宋体" w:hAnsi="宋体" w:eastAsia="宋体" w:cs="宋体"/>
                    </w:rPr>
                    <w:t>夜间</w:t>
                  </w:r>
                </w:p>
              </w:tc>
            </w:tr>
            <w:tr w14:paraId="5676AE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80CEA9B">
                  <w:pPr>
                    <w:pStyle w:val="149"/>
                    <w:rPr>
                      <w:rFonts w:eastAsia="Times New Roman"/>
                    </w:rPr>
                  </w:pPr>
                  <w:r>
                    <w:rPr>
                      <w:rFonts w:eastAsia="Times New Roman"/>
                    </w:rPr>
                    <w:t>233</w:t>
                  </w:r>
                </w:p>
              </w:tc>
              <w:tc>
                <w:tcPr>
                  <w:tcW w:w="848" w:type="pct"/>
                  <w:tcBorders>
                    <w:top w:val="single" w:color="auto" w:sz="4" w:space="0"/>
                    <w:left w:val="single" w:color="auto" w:sz="4" w:space="0"/>
                    <w:bottom w:val="single" w:color="auto" w:sz="4" w:space="0"/>
                    <w:right w:val="single" w:color="auto" w:sz="4" w:space="0"/>
                  </w:tcBorders>
                  <w:vAlign w:val="center"/>
                </w:tcPr>
                <w:p w14:paraId="7EF10CA3">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60E68542">
                  <w:pPr>
                    <w:pStyle w:val="149"/>
                    <w:rPr>
                      <w:rFonts w:eastAsia="Times New Roman"/>
                    </w:rPr>
                  </w:pPr>
                  <w:r>
                    <w:rPr>
                      <w:rFonts w:hint="eastAsia" w:eastAsia="Times New Roman"/>
                    </w:rPr>
                    <w:t>114.27</w:t>
                  </w:r>
                </w:p>
              </w:tc>
              <w:tc>
                <w:tcPr>
                  <w:tcW w:w="440" w:type="pct"/>
                  <w:tcBorders>
                    <w:top w:val="single" w:color="auto" w:sz="4" w:space="0"/>
                    <w:left w:val="single" w:color="auto" w:sz="4" w:space="0"/>
                    <w:bottom w:val="single" w:color="auto" w:sz="4" w:space="0"/>
                    <w:right w:val="single" w:color="auto" w:sz="4" w:space="0"/>
                  </w:tcBorders>
                  <w:vAlign w:val="center"/>
                </w:tcPr>
                <w:p w14:paraId="6A4E907D">
                  <w:pPr>
                    <w:pStyle w:val="149"/>
                    <w:rPr>
                      <w:rFonts w:eastAsia="Times New Roman"/>
                    </w:rPr>
                  </w:pPr>
                  <w:r>
                    <w:rPr>
                      <w:rFonts w:hint="eastAsia" w:eastAsia="Times New Roman"/>
                    </w:rPr>
                    <w:t>64.02</w:t>
                  </w:r>
                </w:p>
              </w:tc>
              <w:tc>
                <w:tcPr>
                  <w:tcW w:w="457" w:type="pct"/>
                  <w:tcBorders>
                    <w:top w:val="single" w:color="auto" w:sz="4" w:space="0"/>
                    <w:left w:val="single" w:color="auto" w:sz="4" w:space="0"/>
                    <w:bottom w:val="single" w:color="auto" w:sz="4" w:space="0"/>
                    <w:right w:val="single" w:color="auto" w:sz="4" w:space="0"/>
                  </w:tcBorders>
                  <w:vAlign w:val="top"/>
                </w:tcPr>
                <w:p w14:paraId="6A5722EA">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9E2819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502125A5">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DBBCC57">
                  <w:pPr>
                    <w:pStyle w:val="149"/>
                    <w:rPr>
                      <w:rFonts w:eastAsia="Times New Roman"/>
                    </w:rPr>
                  </w:pPr>
                  <w:r>
                    <w:rPr>
                      <w:rFonts w:hint="eastAsia" w:ascii="宋体" w:hAnsi="宋体" w:eastAsia="宋体" w:cs="宋体"/>
                    </w:rPr>
                    <w:t>昼间</w:t>
                  </w:r>
                </w:p>
              </w:tc>
            </w:tr>
            <w:tr w14:paraId="3894A6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A96C86C">
                  <w:pPr>
                    <w:pStyle w:val="149"/>
                    <w:rPr>
                      <w:rFonts w:eastAsia="Times New Roman"/>
                    </w:rPr>
                  </w:pPr>
                  <w:r>
                    <w:rPr>
                      <w:rFonts w:eastAsia="Times New Roman"/>
                    </w:rPr>
                    <w:t>234</w:t>
                  </w:r>
                </w:p>
              </w:tc>
              <w:tc>
                <w:tcPr>
                  <w:tcW w:w="848" w:type="pct"/>
                  <w:tcBorders>
                    <w:top w:val="single" w:color="auto" w:sz="4" w:space="0"/>
                    <w:left w:val="single" w:color="auto" w:sz="4" w:space="0"/>
                    <w:bottom w:val="single" w:color="auto" w:sz="4" w:space="0"/>
                    <w:right w:val="single" w:color="auto" w:sz="4" w:space="0"/>
                  </w:tcBorders>
                  <w:vAlign w:val="center"/>
                </w:tcPr>
                <w:p w14:paraId="2577371B">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74E01B4D">
                  <w:pPr>
                    <w:pStyle w:val="149"/>
                    <w:rPr>
                      <w:rFonts w:eastAsia="Times New Roman"/>
                    </w:rPr>
                  </w:pPr>
                  <w:r>
                    <w:rPr>
                      <w:rFonts w:hint="eastAsia" w:eastAsia="Times New Roman"/>
                    </w:rPr>
                    <w:t>114.27</w:t>
                  </w:r>
                </w:p>
              </w:tc>
              <w:tc>
                <w:tcPr>
                  <w:tcW w:w="440" w:type="pct"/>
                  <w:tcBorders>
                    <w:top w:val="single" w:color="auto" w:sz="4" w:space="0"/>
                    <w:left w:val="single" w:color="auto" w:sz="4" w:space="0"/>
                    <w:bottom w:val="single" w:color="auto" w:sz="4" w:space="0"/>
                    <w:right w:val="single" w:color="auto" w:sz="4" w:space="0"/>
                  </w:tcBorders>
                  <w:vAlign w:val="center"/>
                </w:tcPr>
                <w:p w14:paraId="5B183952">
                  <w:pPr>
                    <w:pStyle w:val="149"/>
                    <w:rPr>
                      <w:rFonts w:eastAsia="Times New Roman"/>
                    </w:rPr>
                  </w:pPr>
                  <w:r>
                    <w:rPr>
                      <w:rFonts w:hint="eastAsia" w:eastAsia="Times New Roman"/>
                    </w:rPr>
                    <w:t>64.02</w:t>
                  </w:r>
                </w:p>
              </w:tc>
              <w:tc>
                <w:tcPr>
                  <w:tcW w:w="457" w:type="pct"/>
                  <w:tcBorders>
                    <w:top w:val="single" w:color="auto" w:sz="4" w:space="0"/>
                    <w:left w:val="single" w:color="auto" w:sz="4" w:space="0"/>
                    <w:bottom w:val="single" w:color="auto" w:sz="4" w:space="0"/>
                    <w:right w:val="single" w:color="auto" w:sz="4" w:space="0"/>
                  </w:tcBorders>
                  <w:vAlign w:val="top"/>
                </w:tcPr>
                <w:p w14:paraId="1268634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B5CE187">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1A74151">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22A47F99">
                  <w:pPr>
                    <w:pStyle w:val="149"/>
                    <w:rPr>
                      <w:rFonts w:eastAsia="Times New Roman"/>
                    </w:rPr>
                  </w:pPr>
                  <w:r>
                    <w:rPr>
                      <w:rFonts w:hint="eastAsia" w:ascii="宋体" w:hAnsi="宋体" w:eastAsia="宋体" w:cs="宋体"/>
                    </w:rPr>
                    <w:t>夜间</w:t>
                  </w:r>
                </w:p>
              </w:tc>
            </w:tr>
            <w:tr w14:paraId="3D83BF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2E542C1B">
                  <w:pPr>
                    <w:pStyle w:val="149"/>
                    <w:rPr>
                      <w:rFonts w:eastAsia="Times New Roman"/>
                    </w:rPr>
                  </w:pPr>
                  <w:r>
                    <w:rPr>
                      <w:rFonts w:eastAsia="Times New Roman"/>
                    </w:rPr>
                    <w:t>235</w:t>
                  </w:r>
                </w:p>
              </w:tc>
              <w:tc>
                <w:tcPr>
                  <w:tcW w:w="848" w:type="pct"/>
                  <w:tcBorders>
                    <w:top w:val="single" w:color="auto" w:sz="4" w:space="0"/>
                    <w:left w:val="single" w:color="auto" w:sz="4" w:space="0"/>
                    <w:bottom w:val="single" w:color="auto" w:sz="4" w:space="0"/>
                    <w:right w:val="single" w:color="auto" w:sz="4" w:space="0"/>
                  </w:tcBorders>
                  <w:vAlign w:val="center"/>
                </w:tcPr>
                <w:p w14:paraId="54374641">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7624E3A">
                  <w:pPr>
                    <w:pStyle w:val="149"/>
                    <w:rPr>
                      <w:rFonts w:eastAsia="Times New Roman"/>
                    </w:rPr>
                  </w:pPr>
                  <w:r>
                    <w:rPr>
                      <w:rFonts w:hint="eastAsia" w:eastAsia="Times New Roman"/>
                    </w:rPr>
                    <w:t>122.48</w:t>
                  </w:r>
                </w:p>
              </w:tc>
              <w:tc>
                <w:tcPr>
                  <w:tcW w:w="440" w:type="pct"/>
                  <w:tcBorders>
                    <w:top w:val="single" w:color="auto" w:sz="4" w:space="0"/>
                    <w:left w:val="single" w:color="auto" w:sz="4" w:space="0"/>
                    <w:bottom w:val="single" w:color="auto" w:sz="4" w:space="0"/>
                    <w:right w:val="single" w:color="auto" w:sz="4" w:space="0"/>
                  </w:tcBorders>
                  <w:vAlign w:val="center"/>
                </w:tcPr>
                <w:p w14:paraId="3FD7A038">
                  <w:pPr>
                    <w:pStyle w:val="149"/>
                    <w:rPr>
                      <w:rFonts w:eastAsia="Times New Roman"/>
                    </w:rPr>
                  </w:pPr>
                  <w:r>
                    <w:rPr>
                      <w:rFonts w:hint="eastAsia" w:eastAsia="Times New Roman"/>
                    </w:rPr>
                    <w:t>62.76</w:t>
                  </w:r>
                </w:p>
              </w:tc>
              <w:tc>
                <w:tcPr>
                  <w:tcW w:w="457" w:type="pct"/>
                  <w:tcBorders>
                    <w:top w:val="single" w:color="auto" w:sz="4" w:space="0"/>
                    <w:left w:val="single" w:color="auto" w:sz="4" w:space="0"/>
                    <w:bottom w:val="single" w:color="auto" w:sz="4" w:space="0"/>
                    <w:right w:val="single" w:color="auto" w:sz="4" w:space="0"/>
                  </w:tcBorders>
                  <w:vAlign w:val="top"/>
                </w:tcPr>
                <w:p w14:paraId="05E957A3">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9052DEE">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1F5845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007CE5E">
                  <w:pPr>
                    <w:pStyle w:val="149"/>
                    <w:rPr>
                      <w:rFonts w:eastAsia="Times New Roman"/>
                    </w:rPr>
                  </w:pPr>
                  <w:r>
                    <w:rPr>
                      <w:rFonts w:hint="eastAsia" w:ascii="宋体" w:hAnsi="宋体" w:eastAsia="宋体" w:cs="宋体"/>
                    </w:rPr>
                    <w:t>昼间</w:t>
                  </w:r>
                </w:p>
              </w:tc>
            </w:tr>
            <w:tr w14:paraId="75508C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C664441">
                  <w:pPr>
                    <w:pStyle w:val="149"/>
                    <w:rPr>
                      <w:rFonts w:eastAsia="Times New Roman"/>
                    </w:rPr>
                  </w:pPr>
                  <w:r>
                    <w:rPr>
                      <w:rFonts w:eastAsia="Times New Roman"/>
                    </w:rPr>
                    <w:t>236</w:t>
                  </w:r>
                </w:p>
              </w:tc>
              <w:tc>
                <w:tcPr>
                  <w:tcW w:w="848" w:type="pct"/>
                  <w:tcBorders>
                    <w:top w:val="single" w:color="auto" w:sz="4" w:space="0"/>
                    <w:left w:val="single" w:color="auto" w:sz="4" w:space="0"/>
                    <w:bottom w:val="single" w:color="auto" w:sz="4" w:space="0"/>
                    <w:right w:val="single" w:color="auto" w:sz="4" w:space="0"/>
                  </w:tcBorders>
                  <w:vAlign w:val="center"/>
                </w:tcPr>
                <w:p w14:paraId="27AB0D18">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72287056">
                  <w:pPr>
                    <w:pStyle w:val="149"/>
                    <w:rPr>
                      <w:rFonts w:eastAsia="Times New Roman"/>
                    </w:rPr>
                  </w:pPr>
                  <w:r>
                    <w:rPr>
                      <w:rFonts w:hint="eastAsia" w:eastAsia="Times New Roman"/>
                    </w:rPr>
                    <w:t>122.48</w:t>
                  </w:r>
                </w:p>
              </w:tc>
              <w:tc>
                <w:tcPr>
                  <w:tcW w:w="440" w:type="pct"/>
                  <w:tcBorders>
                    <w:top w:val="single" w:color="auto" w:sz="4" w:space="0"/>
                    <w:left w:val="single" w:color="auto" w:sz="4" w:space="0"/>
                    <w:bottom w:val="single" w:color="auto" w:sz="4" w:space="0"/>
                    <w:right w:val="single" w:color="auto" w:sz="4" w:space="0"/>
                  </w:tcBorders>
                  <w:vAlign w:val="center"/>
                </w:tcPr>
                <w:p w14:paraId="414E23CD">
                  <w:pPr>
                    <w:pStyle w:val="149"/>
                    <w:rPr>
                      <w:rFonts w:eastAsia="Times New Roman"/>
                    </w:rPr>
                  </w:pPr>
                  <w:r>
                    <w:rPr>
                      <w:rFonts w:hint="eastAsia" w:eastAsia="Times New Roman"/>
                    </w:rPr>
                    <w:t>62.76</w:t>
                  </w:r>
                </w:p>
              </w:tc>
              <w:tc>
                <w:tcPr>
                  <w:tcW w:w="457" w:type="pct"/>
                  <w:tcBorders>
                    <w:top w:val="single" w:color="auto" w:sz="4" w:space="0"/>
                    <w:left w:val="single" w:color="auto" w:sz="4" w:space="0"/>
                    <w:bottom w:val="single" w:color="auto" w:sz="4" w:space="0"/>
                    <w:right w:val="single" w:color="auto" w:sz="4" w:space="0"/>
                  </w:tcBorders>
                  <w:vAlign w:val="top"/>
                </w:tcPr>
                <w:p w14:paraId="247F12EB">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66A27514">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4F52A899">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FE855D7">
                  <w:pPr>
                    <w:pStyle w:val="149"/>
                    <w:rPr>
                      <w:rFonts w:eastAsia="Times New Roman"/>
                    </w:rPr>
                  </w:pPr>
                  <w:r>
                    <w:rPr>
                      <w:rFonts w:hint="eastAsia" w:ascii="宋体" w:hAnsi="宋体" w:eastAsia="宋体" w:cs="宋体"/>
                    </w:rPr>
                    <w:t>夜间</w:t>
                  </w:r>
                </w:p>
              </w:tc>
            </w:tr>
            <w:tr w14:paraId="101932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3B24FA53">
                  <w:pPr>
                    <w:pStyle w:val="149"/>
                    <w:rPr>
                      <w:rFonts w:eastAsia="Times New Roman"/>
                    </w:rPr>
                  </w:pPr>
                  <w:r>
                    <w:rPr>
                      <w:rFonts w:eastAsia="Times New Roman"/>
                    </w:rPr>
                    <w:t>237</w:t>
                  </w:r>
                </w:p>
              </w:tc>
              <w:tc>
                <w:tcPr>
                  <w:tcW w:w="848" w:type="pct"/>
                  <w:tcBorders>
                    <w:top w:val="single" w:color="auto" w:sz="4" w:space="0"/>
                    <w:left w:val="single" w:color="auto" w:sz="4" w:space="0"/>
                    <w:bottom w:val="single" w:color="auto" w:sz="4" w:space="0"/>
                    <w:right w:val="single" w:color="auto" w:sz="4" w:space="0"/>
                  </w:tcBorders>
                  <w:vAlign w:val="center"/>
                </w:tcPr>
                <w:p w14:paraId="06CEDBDF">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24648D44">
                  <w:pPr>
                    <w:pStyle w:val="149"/>
                    <w:rPr>
                      <w:rFonts w:eastAsia="Times New Roman"/>
                    </w:rPr>
                  </w:pPr>
                  <w:r>
                    <w:rPr>
                      <w:rFonts w:hint="eastAsia" w:eastAsia="Times New Roman"/>
                    </w:rPr>
                    <w:t>119.92</w:t>
                  </w:r>
                </w:p>
              </w:tc>
              <w:tc>
                <w:tcPr>
                  <w:tcW w:w="440" w:type="pct"/>
                  <w:tcBorders>
                    <w:top w:val="single" w:color="auto" w:sz="4" w:space="0"/>
                    <w:left w:val="single" w:color="auto" w:sz="4" w:space="0"/>
                    <w:bottom w:val="single" w:color="auto" w:sz="4" w:space="0"/>
                    <w:right w:val="single" w:color="auto" w:sz="4" w:space="0"/>
                  </w:tcBorders>
                  <w:vAlign w:val="center"/>
                </w:tcPr>
                <w:p w14:paraId="0959E70D">
                  <w:pPr>
                    <w:pStyle w:val="149"/>
                    <w:rPr>
                      <w:rFonts w:eastAsia="Times New Roman"/>
                    </w:rPr>
                  </w:pPr>
                  <w:r>
                    <w:rPr>
                      <w:rFonts w:hint="eastAsia" w:eastAsia="Times New Roman"/>
                    </w:rPr>
                    <w:t>58.8</w:t>
                  </w:r>
                </w:p>
              </w:tc>
              <w:tc>
                <w:tcPr>
                  <w:tcW w:w="457" w:type="pct"/>
                  <w:tcBorders>
                    <w:top w:val="single" w:color="auto" w:sz="4" w:space="0"/>
                    <w:left w:val="single" w:color="auto" w:sz="4" w:space="0"/>
                    <w:bottom w:val="single" w:color="auto" w:sz="4" w:space="0"/>
                    <w:right w:val="single" w:color="auto" w:sz="4" w:space="0"/>
                  </w:tcBorders>
                  <w:vAlign w:val="top"/>
                </w:tcPr>
                <w:p w14:paraId="6E97F708">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7C126B03">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818673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676CC53">
                  <w:pPr>
                    <w:pStyle w:val="149"/>
                    <w:rPr>
                      <w:rFonts w:eastAsia="Times New Roman"/>
                    </w:rPr>
                  </w:pPr>
                  <w:r>
                    <w:rPr>
                      <w:rFonts w:hint="eastAsia" w:ascii="宋体" w:hAnsi="宋体" w:eastAsia="宋体" w:cs="宋体"/>
                    </w:rPr>
                    <w:t>昼间</w:t>
                  </w:r>
                </w:p>
              </w:tc>
            </w:tr>
            <w:tr w14:paraId="1C7B1D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945CC17">
                  <w:pPr>
                    <w:pStyle w:val="149"/>
                    <w:rPr>
                      <w:rFonts w:eastAsia="Times New Roman"/>
                    </w:rPr>
                  </w:pPr>
                  <w:r>
                    <w:rPr>
                      <w:rFonts w:eastAsia="Times New Roman"/>
                    </w:rPr>
                    <w:t>238</w:t>
                  </w:r>
                </w:p>
              </w:tc>
              <w:tc>
                <w:tcPr>
                  <w:tcW w:w="848" w:type="pct"/>
                  <w:tcBorders>
                    <w:top w:val="single" w:color="auto" w:sz="4" w:space="0"/>
                    <w:left w:val="single" w:color="auto" w:sz="4" w:space="0"/>
                    <w:bottom w:val="single" w:color="auto" w:sz="4" w:space="0"/>
                    <w:right w:val="single" w:color="auto" w:sz="4" w:space="0"/>
                  </w:tcBorders>
                  <w:vAlign w:val="center"/>
                </w:tcPr>
                <w:p w14:paraId="340757D9">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22E73048">
                  <w:pPr>
                    <w:pStyle w:val="149"/>
                    <w:rPr>
                      <w:rFonts w:eastAsia="Times New Roman"/>
                    </w:rPr>
                  </w:pPr>
                  <w:r>
                    <w:rPr>
                      <w:rFonts w:hint="eastAsia" w:eastAsia="Times New Roman"/>
                    </w:rPr>
                    <w:t>119.92</w:t>
                  </w:r>
                </w:p>
              </w:tc>
              <w:tc>
                <w:tcPr>
                  <w:tcW w:w="440" w:type="pct"/>
                  <w:tcBorders>
                    <w:top w:val="single" w:color="auto" w:sz="4" w:space="0"/>
                    <w:left w:val="single" w:color="auto" w:sz="4" w:space="0"/>
                    <w:bottom w:val="single" w:color="auto" w:sz="4" w:space="0"/>
                    <w:right w:val="single" w:color="auto" w:sz="4" w:space="0"/>
                  </w:tcBorders>
                  <w:vAlign w:val="center"/>
                </w:tcPr>
                <w:p w14:paraId="3E5DA05D">
                  <w:pPr>
                    <w:pStyle w:val="149"/>
                    <w:rPr>
                      <w:rFonts w:eastAsia="Times New Roman"/>
                    </w:rPr>
                  </w:pPr>
                  <w:r>
                    <w:rPr>
                      <w:rFonts w:hint="eastAsia" w:eastAsia="Times New Roman"/>
                    </w:rPr>
                    <w:t>58.8</w:t>
                  </w:r>
                </w:p>
              </w:tc>
              <w:tc>
                <w:tcPr>
                  <w:tcW w:w="457" w:type="pct"/>
                  <w:tcBorders>
                    <w:top w:val="single" w:color="auto" w:sz="4" w:space="0"/>
                    <w:left w:val="single" w:color="auto" w:sz="4" w:space="0"/>
                    <w:bottom w:val="single" w:color="auto" w:sz="4" w:space="0"/>
                    <w:right w:val="single" w:color="auto" w:sz="4" w:space="0"/>
                  </w:tcBorders>
                  <w:vAlign w:val="top"/>
                </w:tcPr>
                <w:p w14:paraId="544338CE">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5BAC7E12">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131E643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4F451BD8">
                  <w:pPr>
                    <w:pStyle w:val="149"/>
                    <w:rPr>
                      <w:rFonts w:eastAsia="Times New Roman"/>
                    </w:rPr>
                  </w:pPr>
                  <w:r>
                    <w:rPr>
                      <w:rFonts w:hint="eastAsia" w:ascii="宋体" w:hAnsi="宋体" w:eastAsia="宋体" w:cs="宋体"/>
                    </w:rPr>
                    <w:t>夜间</w:t>
                  </w:r>
                </w:p>
              </w:tc>
            </w:tr>
            <w:tr w14:paraId="199005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42831869">
                  <w:pPr>
                    <w:pStyle w:val="149"/>
                    <w:rPr>
                      <w:rFonts w:eastAsia="Times New Roman"/>
                    </w:rPr>
                  </w:pPr>
                  <w:r>
                    <w:rPr>
                      <w:rFonts w:eastAsia="Times New Roman"/>
                    </w:rPr>
                    <w:t>239</w:t>
                  </w:r>
                </w:p>
              </w:tc>
              <w:tc>
                <w:tcPr>
                  <w:tcW w:w="848" w:type="pct"/>
                  <w:tcBorders>
                    <w:top w:val="single" w:color="auto" w:sz="4" w:space="0"/>
                    <w:left w:val="single" w:color="auto" w:sz="4" w:space="0"/>
                    <w:bottom w:val="single" w:color="auto" w:sz="4" w:space="0"/>
                    <w:right w:val="single" w:color="auto" w:sz="4" w:space="0"/>
                  </w:tcBorders>
                  <w:vAlign w:val="center"/>
                </w:tcPr>
                <w:p w14:paraId="6C8536C9">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51ABBB58">
                  <w:pPr>
                    <w:pStyle w:val="149"/>
                    <w:rPr>
                      <w:rFonts w:eastAsia="Times New Roman"/>
                    </w:rPr>
                  </w:pPr>
                  <w:r>
                    <w:rPr>
                      <w:rFonts w:hint="eastAsia" w:eastAsia="Times New Roman"/>
                    </w:rPr>
                    <w:t>105.27</w:t>
                  </w:r>
                </w:p>
              </w:tc>
              <w:tc>
                <w:tcPr>
                  <w:tcW w:w="440" w:type="pct"/>
                  <w:tcBorders>
                    <w:top w:val="single" w:color="auto" w:sz="4" w:space="0"/>
                    <w:left w:val="single" w:color="auto" w:sz="4" w:space="0"/>
                    <w:bottom w:val="single" w:color="auto" w:sz="4" w:space="0"/>
                    <w:right w:val="single" w:color="auto" w:sz="4" w:space="0"/>
                  </w:tcBorders>
                  <w:vAlign w:val="center"/>
                </w:tcPr>
                <w:p w14:paraId="79371D4C">
                  <w:pPr>
                    <w:pStyle w:val="149"/>
                    <w:rPr>
                      <w:rFonts w:eastAsia="Times New Roman"/>
                    </w:rPr>
                  </w:pPr>
                  <w:r>
                    <w:rPr>
                      <w:rFonts w:hint="eastAsia" w:eastAsia="Times New Roman"/>
                    </w:rPr>
                    <w:t>1.56</w:t>
                  </w:r>
                </w:p>
              </w:tc>
              <w:tc>
                <w:tcPr>
                  <w:tcW w:w="457" w:type="pct"/>
                  <w:tcBorders>
                    <w:top w:val="single" w:color="auto" w:sz="4" w:space="0"/>
                    <w:left w:val="single" w:color="auto" w:sz="4" w:space="0"/>
                    <w:bottom w:val="single" w:color="auto" w:sz="4" w:space="0"/>
                    <w:right w:val="single" w:color="auto" w:sz="4" w:space="0"/>
                  </w:tcBorders>
                  <w:vAlign w:val="top"/>
                </w:tcPr>
                <w:p w14:paraId="75BBFDA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250A2E0F">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02E2DDD">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22C8308">
                  <w:pPr>
                    <w:pStyle w:val="149"/>
                    <w:rPr>
                      <w:rFonts w:eastAsia="Times New Roman"/>
                    </w:rPr>
                  </w:pPr>
                  <w:r>
                    <w:rPr>
                      <w:rFonts w:hint="eastAsia" w:ascii="宋体" w:hAnsi="宋体" w:eastAsia="宋体" w:cs="宋体"/>
                    </w:rPr>
                    <w:t>昼间</w:t>
                  </w:r>
                </w:p>
              </w:tc>
            </w:tr>
            <w:tr w14:paraId="5C8D92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B07F5D8">
                  <w:pPr>
                    <w:pStyle w:val="149"/>
                    <w:rPr>
                      <w:rFonts w:eastAsia="Times New Roman"/>
                    </w:rPr>
                  </w:pPr>
                  <w:r>
                    <w:rPr>
                      <w:rFonts w:eastAsia="Times New Roman"/>
                    </w:rPr>
                    <w:t>240</w:t>
                  </w:r>
                </w:p>
              </w:tc>
              <w:tc>
                <w:tcPr>
                  <w:tcW w:w="848" w:type="pct"/>
                  <w:tcBorders>
                    <w:top w:val="single" w:color="auto" w:sz="4" w:space="0"/>
                    <w:left w:val="single" w:color="auto" w:sz="4" w:space="0"/>
                    <w:bottom w:val="single" w:color="auto" w:sz="4" w:space="0"/>
                    <w:right w:val="single" w:color="auto" w:sz="4" w:space="0"/>
                  </w:tcBorders>
                  <w:vAlign w:val="center"/>
                </w:tcPr>
                <w:p w14:paraId="678DF227">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399C0F64">
                  <w:pPr>
                    <w:pStyle w:val="149"/>
                    <w:rPr>
                      <w:rFonts w:eastAsia="Times New Roman"/>
                    </w:rPr>
                  </w:pPr>
                  <w:r>
                    <w:rPr>
                      <w:rFonts w:hint="eastAsia" w:eastAsia="Times New Roman"/>
                    </w:rPr>
                    <w:t>105.27</w:t>
                  </w:r>
                </w:p>
              </w:tc>
              <w:tc>
                <w:tcPr>
                  <w:tcW w:w="440" w:type="pct"/>
                  <w:tcBorders>
                    <w:top w:val="single" w:color="auto" w:sz="4" w:space="0"/>
                    <w:left w:val="single" w:color="auto" w:sz="4" w:space="0"/>
                    <w:bottom w:val="single" w:color="auto" w:sz="4" w:space="0"/>
                    <w:right w:val="single" w:color="auto" w:sz="4" w:space="0"/>
                  </w:tcBorders>
                  <w:vAlign w:val="center"/>
                </w:tcPr>
                <w:p w14:paraId="3ECF036F">
                  <w:pPr>
                    <w:pStyle w:val="149"/>
                    <w:rPr>
                      <w:rFonts w:eastAsia="Times New Roman"/>
                    </w:rPr>
                  </w:pPr>
                  <w:r>
                    <w:rPr>
                      <w:rFonts w:hint="eastAsia" w:eastAsia="Times New Roman"/>
                    </w:rPr>
                    <w:t>1.56</w:t>
                  </w:r>
                </w:p>
              </w:tc>
              <w:tc>
                <w:tcPr>
                  <w:tcW w:w="457" w:type="pct"/>
                  <w:tcBorders>
                    <w:top w:val="single" w:color="auto" w:sz="4" w:space="0"/>
                    <w:left w:val="single" w:color="auto" w:sz="4" w:space="0"/>
                    <w:bottom w:val="single" w:color="auto" w:sz="4" w:space="0"/>
                    <w:right w:val="single" w:color="auto" w:sz="4" w:space="0"/>
                  </w:tcBorders>
                  <w:vAlign w:val="top"/>
                </w:tcPr>
                <w:p w14:paraId="3F0B06FF">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A1FB22A">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640BCB4C">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5C4FD35">
                  <w:pPr>
                    <w:pStyle w:val="149"/>
                    <w:rPr>
                      <w:rFonts w:eastAsia="Times New Roman"/>
                    </w:rPr>
                  </w:pPr>
                  <w:r>
                    <w:rPr>
                      <w:rFonts w:hint="eastAsia" w:ascii="宋体" w:hAnsi="宋体" w:eastAsia="宋体" w:cs="宋体"/>
                    </w:rPr>
                    <w:t>夜间</w:t>
                  </w:r>
                </w:p>
              </w:tc>
            </w:tr>
            <w:tr w14:paraId="47AFA2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10B3F1DB">
                  <w:pPr>
                    <w:pStyle w:val="149"/>
                    <w:rPr>
                      <w:rFonts w:eastAsia="Times New Roman"/>
                    </w:rPr>
                  </w:pPr>
                  <w:r>
                    <w:rPr>
                      <w:rFonts w:eastAsia="Times New Roman"/>
                    </w:rPr>
                    <w:t>241</w:t>
                  </w:r>
                </w:p>
              </w:tc>
              <w:tc>
                <w:tcPr>
                  <w:tcW w:w="848" w:type="pct"/>
                  <w:tcBorders>
                    <w:top w:val="single" w:color="auto" w:sz="4" w:space="0"/>
                    <w:left w:val="single" w:color="auto" w:sz="4" w:space="0"/>
                    <w:bottom w:val="single" w:color="auto" w:sz="4" w:space="0"/>
                    <w:right w:val="single" w:color="auto" w:sz="4" w:space="0"/>
                  </w:tcBorders>
                  <w:vAlign w:val="center"/>
                </w:tcPr>
                <w:p w14:paraId="71B1F7FE">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1250DA3A">
                  <w:pPr>
                    <w:pStyle w:val="149"/>
                    <w:rPr>
                      <w:rFonts w:eastAsia="Times New Roman"/>
                    </w:rPr>
                  </w:pPr>
                  <w:r>
                    <w:rPr>
                      <w:rFonts w:hint="eastAsia" w:eastAsia="Times New Roman"/>
                    </w:rPr>
                    <w:t>75.5</w:t>
                  </w:r>
                </w:p>
              </w:tc>
              <w:tc>
                <w:tcPr>
                  <w:tcW w:w="440" w:type="pct"/>
                  <w:tcBorders>
                    <w:top w:val="single" w:color="auto" w:sz="4" w:space="0"/>
                    <w:left w:val="single" w:color="auto" w:sz="4" w:space="0"/>
                    <w:bottom w:val="single" w:color="auto" w:sz="4" w:space="0"/>
                    <w:right w:val="single" w:color="auto" w:sz="4" w:space="0"/>
                  </w:tcBorders>
                  <w:vAlign w:val="center"/>
                </w:tcPr>
                <w:p w14:paraId="7FFB390F">
                  <w:pPr>
                    <w:pStyle w:val="149"/>
                    <w:rPr>
                      <w:rFonts w:eastAsia="Times New Roman"/>
                    </w:rPr>
                  </w:pPr>
                  <w:r>
                    <w:rPr>
                      <w:rFonts w:hint="eastAsia" w:eastAsia="Times New Roman"/>
                    </w:rPr>
                    <w:t>52.24</w:t>
                  </w:r>
                </w:p>
              </w:tc>
              <w:tc>
                <w:tcPr>
                  <w:tcW w:w="457" w:type="pct"/>
                  <w:tcBorders>
                    <w:top w:val="single" w:color="auto" w:sz="4" w:space="0"/>
                    <w:left w:val="single" w:color="auto" w:sz="4" w:space="0"/>
                    <w:bottom w:val="single" w:color="auto" w:sz="4" w:space="0"/>
                    <w:right w:val="single" w:color="auto" w:sz="4" w:space="0"/>
                  </w:tcBorders>
                  <w:vAlign w:val="top"/>
                </w:tcPr>
                <w:p w14:paraId="026AF7A7">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40C1B85B">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792CD77">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70360215">
                  <w:pPr>
                    <w:pStyle w:val="149"/>
                    <w:rPr>
                      <w:rFonts w:eastAsia="Times New Roman"/>
                    </w:rPr>
                  </w:pPr>
                  <w:r>
                    <w:rPr>
                      <w:rFonts w:hint="eastAsia" w:ascii="宋体" w:hAnsi="宋体" w:eastAsia="宋体" w:cs="宋体"/>
                    </w:rPr>
                    <w:t>昼间</w:t>
                  </w:r>
                </w:p>
              </w:tc>
            </w:tr>
            <w:tr w14:paraId="5713ED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06151BC">
                  <w:pPr>
                    <w:pStyle w:val="149"/>
                    <w:rPr>
                      <w:rFonts w:eastAsia="Times New Roman"/>
                    </w:rPr>
                  </w:pPr>
                  <w:r>
                    <w:rPr>
                      <w:rFonts w:eastAsia="Times New Roman"/>
                    </w:rPr>
                    <w:t>242</w:t>
                  </w:r>
                </w:p>
              </w:tc>
              <w:tc>
                <w:tcPr>
                  <w:tcW w:w="848" w:type="pct"/>
                  <w:tcBorders>
                    <w:top w:val="single" w:color="auto" w:sz="4" w:space="0"/>
                    <w:left w:val="single" w:color="auto" w:sz="4" w:space="0"/>
                    <w:bottom w:val="single" w:color="auto" w:sz="4" w:space="0"/>
                    <w:right w:val="single" w:color="auto" w:sz="4" w:space="0"/>
                  </w:tcBorders>
                  <w:vAlign w:val="center"/>
                </w:tcPr>
                <w:p w14:paraId="17B5C2C0">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44F48592">
                  <w:pPr>
                    <w:pStyle w:val="149"/>
                    <w:rPr>
                      <w:rFonts w:eastAsia="Times New Roman"/>
                    </w:rPr>
                  </w:pPr>
                  <w:r>
                    <w:rPr>
                      <w:rFonts w:hint="eastAsia" w:eastAsia="Times New Roman"/>
                    </w:rPr>
                    <w:t>75.5</w:t>
                  </w:r>
                </w:p>
              </w:tc>
              <w:tc>
                <w:tcPr>
                  <w:tcW w:w="440" w:type="pct"/>
                  <w:tcBorders>
                    <w:top w:val="single" w:color="auto" w:sz="4" w:space="0"/>
                    <w:left w:val="single" w:color="auto" w:sz="4" w:space="0"/>
                    <w:bottom w:val="single" w:color="auto" w:sz="4" w:space="0"/>
                    <w:right w:val="single" w:color="auto" w:sz="4" w:space="0"/>
                  </w:tcBorders>
                  <w:vAlign w:val="center"/>
                </w:tcPr>
                <w:p w14:paraId="6A4833FB">
                  <w:pPr>
                    <w:pStyle w:val="149"/>
                    <w:rPr>
                      <w:rFonts w:eastAsia="Times New Roman"/>
                    </w:rPr>
                  </w:pPr>
                  <w:r>
                    <w:rPr>
                      <w:rFonts w:hint="eastAsia" w:eastAsia="Times New Roman"/>
                    </w:rPr>
                    <w:t>52.24</w:t>
                  </w:r>
                </w:p>
              </w:tc>
              <w:tc>
                <w:tcPr>
                  <w:tcW w:w="457" w:type="pct"/>
                  <w:tcBorders>
                    <w:top w:val="single" w:color="auto" w:sz="4" w:space="0"/>
                    <w:left w:val="single" w:color="auto" w:sz="4" w:space="0"/>
                    <w:bottom w:val="single" w:color="auto" w:sz="4" w:space="0"/>
                    <w:right w:val="single" w:color="auto" w:sz="4" w:space="0"/>
                  </w:tcBorders>
                  <w:vAlign w:val="top"/>
                </w:tcPr>
                <w:p w14:paraId="45E277B5">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368695B1">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036E5CDB">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53202020">
                  <w:pPr>
                    <w:pStyle w:val="149"/>
                    <w:rPr>
                      <w:rFonts w:eastAsia="Times New Roman"/>
                    </w:rPr>
                  </w:pPr>
                  <w:r>
                    <w:rPr>
                      <w:rFonts w:hint="eastAsia" w:ascii="宋体" w:hAnsi="宋体" w:eastAsia="宋体" w:cs="宋体"/>
                    </w:rPr>
                    <w:t>夜间</w:t>
                  </w:r>
                </w:p>
              </w:tc>
            </w:tr>
            <w:tr w14:paraId="647B9D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4" w:space="0"/>
                    <w:right w:val="single" w:color="auto" w:sz="4" w:space="0"/>
                  </w:tcBorders>
                  <w:vAlign w:val="center"/>
                </w:tcPr>
                <w:p w14:paraId="58031247">
                  <w:pPr>
                    <w:pStyle w:val="149"/>
                    <w:rPr>
                      <w:rFonts w:eastAsia="Times New Roman"/>
                    </w:rPr>
                  </w:pPr>
                  <w:r>
                    <w:rPr>
                      <w:rFonts w:eastAsia="Times New Roman"/>
                    </w:rPr>
                    <w:t>243</w:t>
                  </w:r>
                </w:p>
              </w:tc>
              <w:tc>
                <w:tcPr>
                  <w:tcW w:w="848" w:type="pct"/>
                  <w:tcBorders>
                    <w:top w:val="single" w:color="auto" w:sz="4" w:space="0"/>
                    <w:left w:val="single" w:color="auto" w:sz="4" w:space="0"/>
                    <w:bottom w:val="single" w:color="auto" w:sz="4" w:space="0"/>
                    <w:right w:val="single" w:color="auto" w:sz="4" w:space="0"/>
                  </w:tcBorders>
                  <w:vAlign w:val="center"/>
                </w:tcPr>
                <w:p w14:paraId="625A149A">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4" w:space="0"/>
                    <w:right w:val="single" w:color="auto" w:sz="4" w:space="0"/>
                  </w:tcBorders>
                  <w:vAlign w:val="center"/>
                </w:tcPr>
                <w:p w14:paraId="70CB4F95">
                  <w:pPr>
                    <w:pStyle w:val="149"/>
                    <w:rPr>
                      <w:rFonts w:eastAsia="Times New Roman"/>
                    </w:rPr>
                  </w:pPr>
                  <w:r>
                    <w:rPr>
                      <w:rFonts w:hint="eastAsia" w:eastAsia="Times New Roman"/>
                    </w:rPr>
                    <w:t>65.53</w:t>
                  </w:r>
                </w:p>
              </w:tc>
              <w:tc>
                <w:tcPr>
                  <w:tcW w:w="440" w:type="pct"/>
                  <w:tcBorders>
                    <w:top w:val="single" w:color="auto" w:sz="4" w:space="0"/>
                    <w:left w:val="single" w:color="auto" w:sz="4" w:space="0"/>
                    <w:bottom w:val="single" w:color="auto" w:sz="4" w:space="0"/>
                    <w:right w:val="single" w:color="auto" w:sz="4" w:space="0"/>
                  </w:tcBorders>
                  <w:vAlign w:val="center"/>
                </w:tcPr>
                <w:p w14:paraId="528E6EF2">
                  <w:pPr>
                    <w:pStyle w:val="149"/>
                    <w:rPr>
                      <w:rFonts w:eastAsia="Times New Roman"/>
                    </w:rPr>
                  </w:pPr>
                  <w:r>
                    <w:rPr>
                      <w:rFonts w:hint="eastAsia" w:eastAsia="Times New Roman"/>
                    </w:rPr>
                    <w:t>20.87</w:t>
                  </w:r>
                </w:p>
              </w:tc>
              <w:tc>
                <w:tcPr>
                  <w:tcW w:w="457" w:type="pct"/>
                  <w:tcBorders>
                    <w:top w:val="single" w:color="auto" w:sz="4" w:space="0"/>
                    <w:left w:val="single" w:color="auto" w:sz="4" w:space="0"/>
                    <w:bottom w:val="single" w:color="auto" w:sz="4" w:space="0"/>
                    <w:right w:val="single" w:color="auto" w:sz="4" w:space="0"/>
                  </w:tcBorders>
                  <w:vAlign w:val="top"/>
                </w:tcPr>
                <w:p w14:paraId="7D2FD4A4">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4" w:space="0"/>
                    <w:right w:val="single" w:color="auto" w:sz="4" w:space="0"/>
                  </w:tcBorders>
                  <w:vAlign w:val="top"/>
                </w:tcPr>
                <w:p w14:paraId="0AA53BA8">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33A92BFE">
                  <w:pPr>
                    <w:pStyle w:val="149"/>
                    <w:rPr>
                      <w:rFonts w:eastAsia="宋体"/>
                    </w:rPr>
                  </w:pPr>
                </w:p>
              </w:tc>
              <w:tc>
                <w:tcPr>
                  <w:tcW w:w="465" w:type="pct"/>
                  <w:tcBorders>
                    <w:top w:val="single" w:color="auto" w:sz="4" w:space="0"/>
                    <w:left w:val="single" w:color="auto" w:sz="4" w:space="0"/>
                    <w:bottom w:val="single" w:color="auto" w:sz="4" w:space="0"/>
                    <w:right w:val="nil"/>
                  </w:tcBorders>
                  <w:vAlign w:val="center"/>
                </w:tcPr>
                <w:p w14:paraId="678A2FC3">
                  <w:pPr>
                    <w:pStyle w:val="149"/>
                    <w:rPr>
                      <w:rFonts w:eastAsia="Times New Roman"/>
                    </w:rPr>
                  </w:pPr>
                  <w:r>
                    <w:rPr>
                      <w:rFonts w:hint="eastAsia" w:ascii="宋体" w:hAnsi="宋体" w:eastAsia="宋体" w:cs="宋体"/>
                    </w:rPr>
                    <w:t>昼间</w:t>
                  </w:r>
                </w:p>
              </w:tc>
            </w:tr>
            <w:tr w14:paraId="44B2E7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03" w:type="pct"/>
                  <w:tcBorders>
                    <w:top w:val="single" w:color="auto" w:sz="4" w:space="0"/>
                    <w:left w:val="nil"/>
                    <w:bottom w:val="single" w:color="auto" w:sz="12" w:space="0"/>
                    <w:right w:val="single" w:color="auto" w:sz="4" w:space="0"/>
                  </w:tcBorders>
                  <w:vAlign w:val="center"/>
                </w:tcPr>
                <w:p w14:paraId="68E937EB">
                  <w:pPr>
                    <w:pStyle w:val="149"/>
                    <w:rPr>
                      <w:rFonts w:eastAsia="Times New Roman"/>
                    </w:rPr>
                  </w:pPr>
                  <w:r>
                    <w:rPr>
                      <w:rFonts w:eastAsia="Times New Roman"/>
                    </w:rPr>
                    <w:t>244</w:t>
                  </w:r>
                </w:p>
              </w:tc>
              <w:tc>
                <w:tcPr>
                  <w:tcW w:w="848" w:type="pct"/>
                  <w:tcBorders>
                    <w:top w:val="single" w:color="auto" w:sz="4" w:space="0"/>
                    <w:left w:val="single" w:color="auto" w:sz="4" w:space="0"/>
                    <w:bottom w:val="single" w:color="auto" w:sz="12" w:space="0"/>
                    <w:right w:val="single" w:color="auto" w:sz="4" w:space="0"/>
                  </w:tcBorders>
                  <w:vAlign w:val="center"/>
                </w:tcPr>
                <w:p w14:paraId="4789E8C6">
                  <w:pPr>
                    <w:pStyle w:val="149"/>
                    <w:rPr>
                      <w:rFonts w:eastAsia="Times New Roman"/>
                    </w:rPr>
                  </w:pPr>
                  <w:r>
                    <w:rPr>
                      <w:rFonts w:hint="eastAsia" w:eastAsia="Times New Roman"/>
                    </w:rPr>
                    <w:t>PCS</w:t>
                  </w:r>
                  <w:r>
                    <w:rPr>
                      <w:rFonts w:hint="eastAsia" w:ascii="宋体" w:hAnsi="宋体" w:eastAsia="宋体" w:cs="宋体"/>
                    </w:rPr>
                    <w:t>轴流风机</w:t>
                  </w:r>
                </w:p>
              </w:tc>
              <w:tc>
                <w:tcPr>
                  <w:tcW w:w="528" w:type="pct"/>
                  <w:tcBorders>
                    <w:top w:val="single" w:color="auto" w:sz="4" w:space="0"/>
                    <w:left w:val="single" w:color="auto" w:sz="4" w:space="0"/>
                    <w:bottom w:val="single" w:color="auto" w:sz="12" w:space="0"/>
                    <w:right w:val="single" w:color="auto" w:sz="4" w:space="0"/>
                  </w:tcBorders>
                  <w:vAlign w:val="center"/>
                </w:tcPr>
                <w:p w14:paraId="64A05DF1">
                  <w:pPr>
                    <w:pStyle w:val="149"/>
                    <w:rPr>
                      <w:rFonts w:eastAsia="Times New Roman"/>
                    </w:rPr>
                  </w:pPr>
                  <w:r>
                    <w:rPr>
                      <w:rFonts w:hint="eastAsia" w:eastAsia="Times New Roman"/>
                    </w:rPr>
                    <w:t>65.53</w:t>
                  </w:r>
                </w:p>
              </w:tc>
              <w:tc>
                <w:tcPr>
                  <w:tcW w:w="440" w:type="pct"/>
                  <w:tcBorders>
                    <w:top w:val="single" w:color="auto" w:sz="4" w:space="0"/>
                    <w:left w:val="single" w:color="auto" w:sz="4" w:space="0"/>
                    <w:bottom w:val="single" w:color="auto" w:sz="12" w:space="0"/>
                    <w:right w:val="single" w:color="auto" w:sz="4" w:space="0"/>
                  </w:tcBorders>
                  <w:vAlign w:val="center"/>
                </w:tcPr>
                <w:p w14:paraId="7D256D72">
                  <w:pPr>
                    <w:pStyle w:val="149"/>
                    <w:rPr>
                      <w:rFonts w:eastAsia="Times New Roman"/>
                    </w:rPr>
                  </w:pPr>
                  <w:r>
                    <w:rPr>
                      <w:rFonts w:hint="eastAsia" w:eastAsia="Times New Roman"/>
                    </w:rPr>
                    <w:t>20.87</w:t>
                  </w:r>
                </w:p>
              </w:tc>
              <w:tc>
                <w:tcPr>
                  <w:tcW w:w="457" w:type="pct"/>
                  <w:tcBorders>
                    <w:top w:val="single" w:color="auto" w:sz="4" w:space="0"/>
                    <w:left w:val="single" w:color="auto" w:sz="4" w:space="0"/>
                    <w:bottom w:val="single" w:color="auto" w:sz="12" w:space="0"/>
                    <w:right w:val="single" w:color="auto" w:sz="4" w:space="0"/>
                  </w:tcBorders>
                  <w:vAlign w:val="top"/>
                </w:tcPr>
                <w:p w14:paraId="4A542E52">
                  <w:pPr>
                    <w:pStyle w:val="149"/>
                    <w:rPr>
                      <w:rFonts w:eastAsia="Times New Roman"/>
                    </w:rPr>
                  </w:pPr>
                  <w:r>
                    <w:rPr>
                      <w:rFonts w:eastAsia="Times New Roman"/>
                    </w:rPr>
                    <w:t>1</w:t>
                  </w:r>
                </w:p>
              </w:tc>
              <w:tc>
                <w:tcPr>
                  <w:tcW w:w="1000" w:type="pct"/>
                  <w:tcBorders>
                    <w:top w:val="single" w:color="auto" w:sz="4" w:space="0"/>
                    <w:left w:val="single" w:color="auto" w:sz="4" w:space="0"/>
                    <w:bottom w:val="single" w:color="auto" w:sz="12" w:space="0"/>
                    <w:right w:val="single" w:color="auto" w:sz="4" w:space="0"/>
                  </w:tcBorders>
                  <w:vAlign w:val="top"/>
                </w:tcPr>
                <w:p w14:paraId="5C8FEC65">
                  <w:pPr>
                    <w:pStyle w:val="149"/>
                    <w:rPr>
                      <w:rFonts w:eastAsia="Times New Roman"/>
                    </w:rPr>
                  </w:pPr>
                  <w:r>
                    <w:rPr>
                      <w:rFonts w:eastAsia="Times New Roman"/>
                    </w:rPr>
                    <w:t>75</w:t>
                  </w:r>
                </w:p>
              </w:tc>
              <w:tc>
                <w:tcPr>
                  <w:tcW w:w="959" w:type="pct"/>
                  <w:vMerge w:val="continue"/>
                  <w:tcBorders>
                    <w:top w:val="single" w:color="auto" w:sz="4" w:space="0"/>
                    <w:left w:val="single" w:color="auto" w:sz="4" w:space="0"/>
                    <w:bottom w:val="single" w:color="auto" w:sz="4" w:space="0"/>
                    <w:right w:val="single" w:color="auto" w:sz="4" w:space="0"/>
                  </w:tcBorders>
                  <w:vAlign w:val="center"/>
                </w:tcPr>
                <w:p w14:paraId="2C1B1411">
                  <w:pPr>
                    <w:pStyle w:val="149"/>
                    <w:rPr>
                      <w:rFonts w:eastAsia="宋体"/>
                    </w:rPr>
                  </w:pPr>
                </w:p>
              </w:tc>
              <w:tc>
                <w:tcPr>
                  <w:tcW w:w="465" w:type="pct"/>
                  <w:tcBorders>
                    <w:top w:val="single" w:color="auto" w:sz="4" w:space="0"/>
                    <w:left w:val="single" w:color="auto" w:sz="4" w:space="0"/>
                    <w:bottom w:val="single" w:color="auto" w:sz="12" w:space="0"/>
                    <w:right w:val="nil"/>
                  </w:tcBorders>
                  <w:vAlign w:val="center"/>
                </w:tcPr>
                <w:p w14:paraId="49D49F84">
                  <w:pPr>
                    <w:pStyle w:val="149"/>
                    <w:rPr>
                      <w:rFonts w:eastAsia="Times New Roman"/>
                    </w:rPr>
                  </w:pPr>
                  <w:r>
                    <w:rPr>
                      <w:rFonts w:hint="eastAsia" w:ascii="宋体" w:hAnsi="宋体" w:eastAsia="宋体" w:cs="宋体"/>
                    </w:rPr>
                    <w:t>夜间</w:t>
                  </w:r>
                </w:p>
              </w:tc>
            </w:tr>
          </w:tbl>
          <w:p w14:paraId="70B5324B">
            <w:pPr>
              <w:pStyle w:val="2"/>
              <w:spacing w:before="0" w:after="0" w:line="360" w:lineRule="auto"/>
              <w:ind w:left="0" w:firstLine="482" w:firstLineChars="200"/>
              <w:rPr>
                <w:rFonts w:ascii="宋体" w:hAnsi="宋体" w:eastAsia="宋体"/>
                <w:color w:val="auto"/>
                <w:sz w:val="24"/>
                <w:szCs w:val="24"/>
              </w:rPr>
            </w:pPr>
            <w:r>
              <w:rPr>
                <w:rFonts w:hint="eastAsia" w:ascii="宋体" w:hAnsi="宋体" w:eastAsia="宋体"/>
                <w:color w:val="auto"/>
                <w:sz w:val="24"/>
                <w:szCs w:val="24"/>
              </w:rPr>
              <w:t>2）噪声预测模式</w:t>
            </w:r>
          </w:p>
          <w:p w14:paraId="6D30B3FE">
            <w:pPr>
              <w:spacing w:line="360" w:lineRule="auto"/>
              <w:ind w:firstLine="480" w:firstLineChars="200"/>
              <w:rPr>
                <w:sz w:val="24"/>
              </w:rPr>
            </w:pPr>
            <w:r>
              <w:rPr>
                <w:rFonts w:hint="eastAsia"/>
                <w:sz w:val="24"/>
              </w:rPr>
              <w:t>本次预测采用《环境影响评价技术导则声环境》（</w:t>
            </w:r>
            <w:r>
              <w:rPr>
                <w:sz w:val="24"/>
              </w:rPr>
              <w:t>HJ2.4-2021</w:t>
            </w:r>
            <w:r>
              <w:rPr>
                <w:rFonts w:hint="eastAsia"/>
                <w:sz w:val="24"/>
              </w:rPr>
              <w:t>）附录</w:t>
            </w:r>
            <w:r>
              <w:rPr>
                <w:sz w:val="24"/>
              </w:rPr>
              <w:t>A</w:t>
            </w:r>
            <w:r>
              <w:rPr>
                <w:rFonts w:hint="eastAsia"/>
                <w:sz w:val="24"/>
              </w:rPr>
              <w:t>中的预测模式，户外声传播的衰减预测计算模式如下：</w:t>
            </w:r>
          </w:p>
          <w:p w14:paraId="1117CF8A">
            <w:pPr>
              <w:pStyle w:val="152"/>
              <w:ind w:firstLine="482"/>
              <w:rPr>
                <w:b/>
              </w:rPr>
            </w:pPr>
            <w:r>
              <w:rPr>
                <w:rFonts w:hint="eastAsia" w:ascii="宋体" w:hAnsi="宋体"/>
                <w:b/>
              </w:rPr>
              <w:t>①单个室外的点声源在预测点产生的声级计算基本公式</w:t>
            </w:r>
          </w:p>
          <w:p w14:paraId="18D1B9F4">
            <w:pPr>
              <w:pStyle w:val="152"/>
              <w:ind w:firstLine="480"/>
            </w:pPr>
            <w:r>
              <w:rPr>
                <w:rFonts w:hint="eastAsia" w:ascii="宋体" w:hAnsi="宋体"/>
              </w:rPr>
              <w:t>如已知声源的倍频带声功率级（从</w:t>
            </w:r>
            <w:r>
              <w:t>63Hz</w:t>
            </w:r>
            <w:r>
              <w:rPr>
                <w:rFonts w:hint="eastAsia" w:ascii="宋体" w:hAnsi="宋体"/>
              </w:rPr>
              <w:t>到</w:t>
            </w:r>
            <w:r>
              <w:t>8KHz</w:t>
            </w:r>
            <w:r>
              <w:rPr>
                <w:rFonts w:hint="eastAsia" w:ascii="宋体" w:hAnsi="宋体"/>
              </w:rPr>
              <w:t>标称频带中心频率的</w:t>
            </w:r>
            <w:r>
              <w:t>8</w:t>
            </w:r>
            <w:r>
              <w:rPr>
                <w:rFonts w:hint="eastAsia" w:ascii="宋体" w:hAnsi="宋体"/>
              </w:rPr>
              <w:t>个倍频带），预测点位置的倍频带声压级</w:t>
            </w:r>
            <w:r>
              <w:t>LP(r)</w:t>
            </w:r>
            <w:r>
              <w:rPr>
                <w:rFonts w:hint="eastAsia" w:ascii="宋体" w:hAnsi="宋体"/>
              </w:rPr>
              <w:t>可按下式计算：</w:t>
            </w:r>
          </w:p>
          <w:p w14:paraId="470433EC">
            <w:pPr>
              <w:pStyle w:val="152"/>
              <w:ind w:firstLine="0" w:firstLineChars="0"/>
              <w:jc w:val="center"/>
              <w:rPr>
                <w:i/>
                <w:iCs/>
              </w:rPr>
            </w:pPr>
            <w:r>
              <w:rPr>
                <w:i/>
                <w:iCs/>
              </w:rPr>
              <w:t>LP(r)=Lw+Dc</w:t>
            </w:r>
            <w:r>
              <w:rPr>
                <w:rFonts w:eastAsia="微软雅黑"/>
                <w:i/>
                <w:iCs/>
              </w:rPr>
              <w:t>−</w:t>
            </w:r>
            <w:r>
              <w:rPr>
                <w:i/>
                <w:iCs/>
              </w:rPr>
              <w:t>A</w:t>
            </w:r>
          </w:p>
          <w:p w14:paraId="4A28263C">
            <w:pPr>
              <w:pStyle w:val="152"/>
              <w:ind w:firstLine="0" w:firstLineChars="0"/>
              <w:jc w:val="center"/>
              <w:rPr>
                <w:i/>
                <w:iCs/>
              </w:rPr>
            </w:pPr>
            <w:r>
              <w:rPr>
                <w:i/>
                <w:iCs/>
              </w:rPr>
              <w:t>A=Adiv+Aatm+Agr+Abar+Amisc</w:t>
            </w:r>
          </w:p>
          <w:p w14:paraId="33627C1C">
            <w:pPr>
              <w:pStyle w:val="152"/>
              <w:ind w:firstLine="480"/>
            </w:pPr>
            <w:r>
              <w:rPr>
                <w:rFonts w:hint="eastAsia" w:ascii="宋体" w:hAnsi="宋体"/>
              </w:rPr>
              <w:t>式中：</w:t>
            </w:r>
          </w:p>
          <w:p w14:paraId="5466FE22">
            <w:pPr>
              <w:pStyle w:val="152"/>
              <w:ind w:firstLine="480"/>
            </w:pPr>
            <w:r>
              <w:rPr>
                <w:i/>
                <w:iCs/>
              </w:rPr>
              <w:t>Lw</w:t>
            </w:r>
            <w:r>
              <w:t>—</w:t>
            </w:r>
            <w:r>
              <w:rPr>
                <w:rFonts w:hint="eastAsia" w:ascii="宋体" w:hAnsi="宋体"/>
              </w:rPr>
              <w:t>倍频带声功率级，</w:t>
            </w:r>
            <w:r>
              <w:t>dB</w:t>
            </w:r>
            <w:r>
              <w:rPr>
                <w:rFonts w:hint="eastAsia" w:ascii="宋体" w:hAnsi="宋体"/>
              </w:rPr>
              <w:t>；</w:t>
            </w:r>
          </w:p>
          <w:p w14:paraId="55036830">
            <w:pPr>
              <w:pStyle w:val="152"/>
              <w:ind w:firstLine="480"/>
            </w:pPr>
            <w:r>
              <w:rPr>
                <w:i/>
                <w:iCs/>
              </w:rPr>
              <w:t>Dc</w:t>
            </w:r>
            <w:r>
              <w:t>—</w:t>
            </w:r>
            <w:r>
              <w:rPr>
                <w:rFonts w:hint="eastAsia" w:ascii="宋体" w:hAnsi="宋体"/>
              </w:rPr>
              <w:t>指向性校正，</w:t>
            </w:r>
            <w:r>
              <w:t>dB</w:t>
            </w:r>
            <w:r>
              <w:rPr>
                <w:rFonts w:hint="eastAsia" w:ascii="宋体" w:hAnsi="宋体"/>
              </w:rPr>
              <w:t>；它描述点声源的等效连续声压级与产生声功率级的全向点声源在规定方向的级的偏差程度。指向性校正等于点声源的指向性指数</w:t>
            </w:r>
            <w:r>
              <w:t>DI</w:t>
            </w:r>
            <w:r>
              <w:rPr>
                <w:rFonts w:hint="eastAsia" w:ascii="宋体" w:hAnsi="宋体"/>
              </w:rPr>
              <w:t>加上计到小于</w:t>
            </w:r>
            <w:r>
              <w:t>4π</w:t>
            </w:r>
            <w:r>
              <w:rPr>
                <w:rFonts w:hint="eastAsia" w:ascii="宋体" w:hAnsi="宋体"/>
              </w:rPr>
              <w:t>球面度（</w:t>
            </w:r>
            <w:r>
              <w:t>sr</w:t>
            </w:r>
            <w:r>
              <w:rPr>
                <w:rFonts w:hint="eastAsia" w:ascii="宋体" w:hAnsi="宋体"/>
              </w:rPr>
              <w:t>）立体角内的声传播指数</w:t>
            </w:r>
            <w:r>
              <w:t>DΩ</w:t>
            </w:r>
            <w:r>
              <w:rPr>
                <w:rFonts w:hint="eastAsia" w:ascii="宋体" w:hAnsi="宋体"/>
              </w:rPr>
              <w:t>。对辐射到自由空间的全向点声源，</w:t>
            </w:r>
            <w:r>
              <w:t>Dc=0dB</w:t>
            </w:r>
            <w:r>
              <w:rPr>
                <w:rFonts w:hint="eastAsia" w:ascii="宋体" w:hAnsi="宋体"/>
              </w:rPr>
              <w:t>。</w:t>
            </w:r>
          </w:p>
          <w:p w14:paraId="5F216254">
            <w:pPr>
              <w:pStyle w:val="152"/>
              <w:ind w:firstLine="480"/>
            </w:pPr>
            <w:r>
              <w:rPr>
                <w:i/>
                <w:iCs/>
              </w:rPr>
              <w:t>A</w:t>
            </w:r>
            <w:r>
              <w:t>—</w:t>
            </w:r>
            <w:r>
              <w:rPr>
                <w:rFonts w:hint="eastAsia" w:ascii="宋体" w:hAnsi="宋体"/>
              </w:rPr>
              <w:t>倍频带衰减，</w:t>
            </w:r>
            <w:r>
              <w:t>dB</w:t>
            </w:r>
            <w:r>
              <w:rPr>
                <w:rFonts w:hint="eastAsia" w:ascii="宋体" w:hAnsi="宋体"/>
              </w:rPr>
              <w:t>；</w:t>
            </w:r>
          </w:p>
          <w:p w14:paraId="57E57B69">
            <w:pPr>
              <w:pStyle w:val="152"/>
              <w:ind w:firstLine="480"/>
            </w:pPr>
            <w:r>
              <w:rPr>
                <w:i/>
                <w:iCs/>
              </w:rPr>
              <w:t>Adiv</w:t>
            </w:r>
            <w:r>
              <w:t>—</w:t>
            </w:r>
            <w:r>
              <w:rPr>
                <w:rFonts w:hint="eastAsia" w:ascii="宋体" w:hAnsi="宋体"/>
              </w:rPr>
              <w:t>几何发散引起的倍频带衰减，</w:t>
            </w:r>
            <w:r>
              <w:t>dB</w:t>
            </w:r>
            <w:r>
              <w:rPr>
                <w:rFonts w:hint="eastAsia" w:ascii="宋体" w:hAnsi="宋体"/>
              </w:rPr>
              <w:t>；</w:t>
            </w:r>
          </w:p>
          <w:p w14:paraId="7DA55979">
            <w:pPr>
              <w:pStyle w:val="152"/>
              <w:ind w:firstLine="480"/>
            </w:pPr>
            <w:r>
              <w:rPr>
                <w:i/>
                <w:iCs/>
              </w:rPr>
              <w:t>Aatm</w:t>
            </w:r>
            <w:r>
              <w:t>—</w:t>
            </w:r>
            <w:r>
              <w:rPr>
                <w:rFonts w:hint="eastAsia" w:ascii="宋体" w:hAnsi="宋体"/>
              </w:rPr>
              <w:t>大气吸收引起的倍频带衰减，</w:t>
            </w:r>
            <w:r>
              <w:t>dB</w:t>
            </w:r>
            <w:r>
              <w:rPr>
                <w:rFonts w:hint="eastAsia" w:ascii="宋体" w:hAnsi="宋体"/>
              </w:rPr>
              <w:t>；</w:t>
            </w:r>
          </w:p>
          <w:p w14:paraId="43C1826A">
            <w:pPr>
              <w:pStyle w:val="152"/>
              <w:ind w:firstLine="480"/>
            </w:pPr>
            <w:r>
              <w:rPr>
                <w:i/>
                <w:iCs/>
              </w:rPr>
              <w:t>Agr</w:t>
            </w:r>
            <w:r>
              <w:t>—</w:t>
            </w:r>
            <w:r>
              <w:rPr>
                <w:rFonts w:hint="eastAsia" w:ascii="宋体" w:hAnsi="宋体"/>
              </w:rPr>
              <w:t>地面效应引起的倍频带衰减，</w:t>
            </w:r>
            <w:r>
              <w:t>dB</w:t>
            </w:r>
            <w:r>
              <w:rPr>
                <w:rFonts w:hint="eastAsia" w:ascii="宋体" w:hAnsi="宋体"/>
              </w:rPr>
              <w:t>；</w:t>
            </w:r>
          </w:p>
          <w:p w14:paraId="02E321F3">
            <w:pPr>
              <w:pStyle w:val="152"/>
              <w:ind w:firstLine="480"/>
            </w:pPr>
            <w:r>
              <w:rPr>
                <w:i/>
                <w:iCs/>
              </w:rPr>
              <w:t>Abar</w:t>
            </w:r>
            <w:r>
              <w:t>—</w:t>
            </w:r>
            <w:r>
              <w:rPr>
                <w:rFonts w:hint="eastAsia" w:ascii="宋体" w:hAnsi="宋体"/>
              </w:rPr>
              <w:t>声屏障引起的倍频带衰减，</w:t>
            </w:r>
            <w:r>
              <w:t>dB</w:t>
            </w:r>
            <w:r>
              <w:rPr>
                <w:rFonts w:hint="eastAsia" w:ascii="宋体" w:hAnsi="宋体"/>
              </w:rPr>
              <w:t>；</w:t>
            </w:r>
          </w:p>
          <w:p w14:paraId="5FB2CD32">
            <w:pPr>
              <w:pStyle w:val="152"/>
              <w:ind w:firstLine="480"/>
            </w:pPr>
            <w:r>
              <w:rPr>
                <w:i/>
                <w:iCs/>
              </w:rPr>
              <w:t>Amisc</w:t>
            </w:r>
            <w:r>
              <w:t>—</w:t>
            </w:r>
            <w:r>
              <w:rPr>
                <w:rFonts w:hint="eastAsia" w:ascii="宋体" w:hAnsi="宋体"/>
              </w:rPr>
              <w:t>其他多方面效应引起的倍频带衰减，</w:t>
            </w:r>
            <w:r>
              <w:t>dB</w:t>
            </w:r>
            <w:r>
              <w:rPr>
                <w:rFonts w:hint="eastAsia" w:ascii="宋体" w:hAnsi="宋体"/>
              </w:rPr>
              <w:t>。</w:t>
            </w:r>
          </w:p>
          <w:p w14:paraId="37E90B83">
            <w:pPr>
              <w:pStyle w:val="152"/>
              <w:ind w:firstLine="480"/>
            </w:pPr>
            <w:r>
              <w:rPr>
                <w:rFonts w:hint="eastAsia" w:ascii="宋体" w:hAnsi="宋体"/>
              </w:rPr>
              <w:t>如已知靠近声源处某点的倍频带声压级时，相同方向预测点位置的倍频带声压级</w:t>
            </w:r>
            <w:r>
              <w:rPr>
                <w:i/>
                <w:iCs/>
              </w:rPr>
              <w:t>LP(r)</w:t>
            </w:r>
            <w:r>
              <w:rPr>
                <w:rFonts w:hint="eastAsia" w:ascii="宋体" w:hAnsi="宋体"/>
              </w:rPr>
              <w:t>可按下式计算：</w:t>
            </w:r>
          </w:p>
          <w:p w14:paraId="31B6AD6F">
            <w:pPr>
              <w:pStyle w:val="152"/>
              <w:ind w:firstLine="0" w:firstLineChars="0"/>
              <w:jc w:val="center"/>
              <w:rPr>
                <w:i/>
                <w:iCs/>
              </w:rPr>
            </w:pPr>
            <w:r>
              <w:rPr>
                <w:i/>
                <w:iCs/>
              </w:rPr>
              <w:t>LP(r)=LP(r0)</w:t>
            </w:r>
            <w:r>
              <w:rPr>
                <w:rFonts w:eastAsia="微软雅黑"/>
                <w:i/>
                <w:iCs/>
              </w:rPr>
              <w:t>−</w:t>
            </w:r>
            <w:r>
              <w:rPr>
                <w:i/>
                <w:iCs/>
              </w:rPr>
              <w:t>A</w:t>
            </w:r>
          </w:p>
          <w:p w14:paraId="7C42B1F5">
            <w:pPr>
              <w:pStyle w:val="152"/>
              <w:ind w:firstLine="480"/>
            </w:pPr>
            <w:r>
              <w:rPr>
                <w:rFonts w:hint="eastAsia" w:ascii="宋体" w:hAnsi="宋体"/>
              </w:rPr>
              <w:t>预测点的</w:t>
            </w:r>
            <w:r>
              <w:t>A</w:t>
            </w:r>
            <w:r>
              <w:rPr>
                <w:rFonts w:hint="eastAsia" w:ascii="宋体" w:hAnsi="宋体"/>
              </w:rPr>
              <w:t>声级</w:t>
            </w:r>
            <w:r>
              <w:rPr>
                <w:i/>
                <w:iCs/>
              </w:rPr>
              <w:t>LA(r)</w:t>
            </w:r>
            <w:r>
              <w:rPr>
                <w:rFonts w:hint="eastAsia" w:ascii="宋体" w:hAnsi="宋体"/>
              </w:rPr>
              <w:t>，可利用</w:t>
            </w:r>
            <w:r>
              <w:t>8</w:t>
            </w:r>
            <w:r>
              <w:rPr>
                <w:rFonts w:hint="eastAsia" w:ascii="宋体" w:hAnsi="宋体"/>
              </w:rPr>
              <w:t>个倍频带的声压级按下式计算：</w:t>
            </w:r>
          </w:p>
          <w:p w14:paraId="6319B5AC">
            <w:pPr>
              <w:pStyle w:val="152"/>
              <w:ind w:firstLine="0" w:firstLineChars="0"/>
              <w:jc w:val="center"/>
            </w:pPr>
            <w:r>
              <w:drawing>
                <wp:inline distT="0" distB="0" distL="0" distR="0">
                  <wp:extent cx="1875790" cy="424180"/>
                  <wp:effectExtent l="0" t="0" r="0" b="0"/>
                  <wp:docPr id="25" name="图片 25" descr="C:\Users\ADMINI~1\AppData\Local\Temp\ksohtml9280\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Users\ADMINI~1\AppData\Local\Temp\ksohtml9280\wps1.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875790" cy="424180"/>
                          </a:xfrm>
                          <a:prstGeom prst="rect">
                            <a:avLst/>
                          </a:prstGeom>
                          <a:noFill/>
                          <a:ln>
                            <a:noFill/>
                          </a:ln>
                        </pic:spPr>
                      </pic:pic>
                    </a:graphicData>
                  </a:graphic>
                </wp:inline>
              </w:drawing>
            </w:r>
          </w:p>
          <w:p w14:paraId="75788E73">
            <w:pPr>
              <w:pStyle w:val="152"/>
              <w:ind w:firstLine="480"/>
            </w:pPr>
            <w:r>
              <w:rPr>
                <w:rFonts w:hint="eastAsia" w:ascii="宋体" w:hAnsi="宋体"/>
              </w:rPr>
              <w:t>式中：</w:t>
            </w:r>
          </w:p>
          <w:p w14:paraId="0F0E8EAA">
            <w:pPr>
              <w:pStyle w:val="152"/>
              <w:ind w:firstLine="480"/>
            </w:pPr>
            <w:r>
              <w:rPr>
                <w:i/>
                <w:iCs/>
              </w:rPr>
              <w:t>LPi(r)</w:t>
            </w:r>
            <w:r>
              <w:t>—</w:t>
            </w:r>
            <w:r>
              <w:rPr>
                <w:rFonts w:hint="eastAsia" w:ascii="宋体" w:hAnsi="宋体"/>
              </w:rPr>
              <w:t>预测点（</w:t>
            </w:r>
            <w:r>
              <w:t>r</w:t>
            </w:r>
            <w:r>
              <w:rPr>
                <w:rFonts w:hint="eastAsia" w:ascii="宋体" w:hAnsi="宋体"/>
              </w:rPr>
              <w:t>）处，第</w:t>
            </w:r>
            <w:r>
              <w:t>i</w:t>
            </w:r>
            <w:r>
              <w:rPr>
                <w:rFonts w:hint="eastAsia" w:ascii="宋体" w:hAnsi="宋体"/>
              </w:rPr>
              <w:t>倍频带声压级，</w:t>
            </w:r>
            <w:r>
              <w:t>dB</w:t>
            </w:r>
            <w:r>
              <w:rPr>
                <w:rFonts w:hint="eastAsia" w:ascii="宋体" w:hAnsi="宋体"/>
              </w:rPr>
              <w:t>；</w:t>
            </w:r>
          </w:p>
          <w:p w14:paraId="218E0876">
            <w:pPr>
              <w:pStyle w:val="152"/>
              <w:ind w:firstLine="480"/>
            </w:pPr>
            <w:r>
              <w:t>Δ</w:t>
            </w:r>
            <w:r>
              <w:rPr>
                <w:i/>
                <w:iCs/>
              </w:rPr>
              <w:t>Li—i</w:t>
            </w:r>
            <w:r>
              <w:rPr>
                <w:rFonts w:hint="eastAsia" w:ascii="宋体" w:hAnsi="宋体"/>
              </w:rPr>
              <w:t>倍频带</w:t>
            </w:r>
            <w:r>
              <w:t>A</w:t>
            </w:r>
            <w:r>
              <w:rPr>
                <w:rFonts w:hint="eastAsia" w:ascii="宋体" w:hAnsi="宋体"/>
              </w:rPr>
              <w:t>计权网络修正值，</w:t>
            </w:r>
            <w:r>
              <w:t>dB</w:t>
            </w:r>
            <w:r>
              <w:rPr>
                <w:rFonts w:hint="eastAsia" w:ascii="宋体" w:hAnsi="宋体"/>
              </w:rPr>
              <w:t>。</w:t>
            </w:r>
          </w:p>
          <w:p w14:paraId="019BCE00">
            <w:pPr>
              <w:pStyle w:val="152"/>
              <w:ind w:firstLine="480"/>
            </w:pPr>
            <w:r>
              <w:rPr>
                <w:rFonts w:hint="eastAsia" w:ascii="宋体" w:hAnsi="宋体"/>
              </w:rPr>
              <w:t>在不能取得声源倍频带声功率级或倍频带声压级，只能获得</w:t>
            </w:r>
            <w:r>
              <w:t>A</w:t>
            </w:r>
            <w:r>
              <w:rPr>
                <w:rFonts w:hint="eastAsia" w:ascii="宋体" w:hAnsi="宋体"/>
              </w:rPr>
              <w:t>声功率级或某点的</w:t>
            </w:r>
            <w:r>
              <w:t>A</w:t>
            </w:r>
            <w:r>
              <w:rPr>
                <w:rFonts w:hint="eastAsia" w:ascii="宋体" w:hAnsi="宋体"/>
              </w:rPr>
              <w:t>声级时，可按下式作近似计算：</w:t>
            </w:r>
          </w:p>
          <w:p w14:paraId="4B9DF612">
            <w:pPr>
              <w:pStyle w:val="152"/>
              <w:ind w:firstLine="0" w:firstLineChars="0"/>
              <w:jc w:val="center"/>
              <w:rPr>
                <w:i/>
                <w:iCs/>
              </w:rPr>
            </w:pPr>
            <w:r>
              <w:rPr>
                <w:i/>
                <w:iCs/>
              </w:rPr>
              <w:t>LA(r)=LAw</w:t>
            </w:r>
            <w:r>
              <w:rPr>
                <w:rFonts w:eastAsia="微软雅黑"/>
                <w:i/>
                <w:iCs/>
              </w:rPr>
              <w:t>−</w:t>
            </w:r>
            <w:r>
              <w:rPr>
                <w:i/>
                <w:iCs/>
              </w:rPr>
              <w:t>Dc</w:t>
            </w:r>
            <w:r>
              <w:rPr>
                <w:rFonts w:eastAsia="微软雅黑"/>
                <w:i/>
                <w:iCs/>
              </w:rPr>
              <w:t>−</w:t>
            </w:r>
            <w:r>
              <w:rPr>
                <w:i/>
                <w:iCs/>
              </w:rPr>
              <w:t>A</w:t>
            </w:r>
          </w:p>
          <w:p w14:paraId="6203A5D2">
            <w:pPr>
              <w:pStyle w:val="152"/>
              <w:ind w:firstLine="0" w:firstLineChars="0"/>
              <w:jc w:val="center"/>
              <w:rPr>
                <w:i/>
                <w:iCs/>
              </w:rPr>
            </w:pPr>
            <w:r>
              <w:rPr>
                <w:rFonts w:hint="eastAsia" w:ascii="宋体" w:hAnsi="宋体"/>
              </w:rPr>
              <w:t>或</w:t>
            </w:r>
            <w:r>
              <w:rPr>
                <w:i/>
                <w:iCs/>
              </w:rPr>
              <w:t>LA(r)=LA(r0)</w:t>
            </w:r>
            <w:r>
              <w:rPr>
                <w:rFonts w:eastAsia="微软雅黑"/>
                <w:i/>
                <w:iCs/>
              </w:rPr>
              <w:t>−</w:t>
            </w:r>
            <w:r>
              <w:rPr>
                <w:i/>
                <w:iCs/>
              </w:rPr>
              <w:t>A</w:t>
            </w:r>
          </w:p>
          <w:p w14:paraId="773795D2">
            <w:pPr>
              <w:pStyle w:val="154"/>
              <w:spacing w:line="360" w:lineRule="auto"/>
              <w:ind w:firstLine="480" w:firstLineChars="200"/>
              <w:rPr>
                <w:sz w:val="24"/>
                <w:szCs w:val="24"/>
              </w:rPr>
            </w:pPr>
            <w:r>
              <w:rPr>
                <w:rFonts w:ascii="Times New Roman" w:hAnsi="Times New Roman" w:eastAsia="微软雅黑" w:cs="Times New Roman"/>
                <w:sz w:val="24"/>
                <w:szCs w:val="24"/>
              </w:rPr>
              <w:t>A</w:t>
            </w:r>
            <w:r>
              <w:rPr>
                <w:rFonts w:ascii="Times New Roman" w:hAnsi="Times New Roman" w:cs="Times New Roman"/>
                <w:sz w:val="24"/>
                <w:szCs w:val="24"/>
              </w:rPr>
              <w:t>可选择对</w:t>
            </w:r>
            <w:r>
              <w:rPr>
                <w:rFonts w:ascii="Times New Roman" w:hAnsi="Times New Roman" w:eastAsia="微软雅黑" w:cs="Times New Roman"/>
                <w:sz w:val="24"/>
                <w:szCs w:val="24"/>
              </w:rPr>
              <w:t>A</w:t>
            </w:r>
            <w:r>
              <w:rPr>
                <w:rFonts w:ascii="Times New Roman" w:hAnsi="Times New Roman" w:cs="Times New Roman"/>
                <w:sz w:val="24"/>
                <w:szCs w:val="24"/>
              </w:rPr>
              <w:t>声级影响最大的倍频带计算，一般可选中心频率为</w:t>
            </w:r>
            <w:r>
              <w:rPr>
                <w:rFonts w:ascii="Times New Roman" w:hAnsi="Times New Roman" w:eastAsia="微软雅黑" w:cs="Times New Roman"/>
                <w:sz w:val="24"/>
                <w:szCs w:val="24"/>
              </w:rPr>
              <w:t>500Hz</w:t>
            </w:r>
            <w:r>
              <w:rPr>
                <w:rFonts w:ascii="Times New Roman" w:hAnsi="Times New Roman" w:cs="Times New Roman"/>
                <w:sz w:val="24"/>
                <w:szCs w:val="24"/>
              </w:rPr>
              <w:t>的</w:t>
            </w:r>
            <w:r>
              <w:rPr>
                <w:rFonts w:hint="eastAsia" w:ascii="宋体" w:hAnsi="宋体"/>
                <w:sz w:val="24"/>
                <w:szCs w:val="24"/>
              </w:rPr>
              <w:t>倍频带作估算。</w:t>
            </w:r>
          </w:p>
          <w:p w14:paraId="7C442DF4">
            <w:pPr>
              <w:pStyle w:val="152"/>
              <w:ind w:firstLine="482"/>
              <w:rPr>
                <w:b/>
              </w:rPr>
            </w:pPr>
            <w:r>
              <w:rPr>
                <w:rFonts w:hint="eastAsia" w:ascii="宋体" w:hAnsi="宋体"/>
                <w:b/>
              </w:rPr>
              <w:t>②室内声源等效室外声源声功率级计算方法</w:t>
            </w:r>
          </w:p>
          <w:p w14:paraId="35CA0C97">
            <w:pPr>
              <w:pStyle w:val="152"/>
              <w:snapToGrid w:val="0"/>
              <w:ind w:firstLine="480"/>
            </w:pPr>
            <w:r>
              <w:rPr>
                <w:rFonts w:hint="eastAsia" w:ascii="宋体" w:hAnsi="宋体"/>
              </w:rPr>
              <w:t>如</w:t>
            </w:r>
            <w:r>
              <w:rPr>
                <w:rFonts w:hint="eastAsia" w:ascii="宋体" w:hAnsi="宋体"/>
                <w:bCs/>
              </w:rPr>
              <w:t>图</w:t>
            </w:r>
            <w:r>
              <w:rPr>
                <w:bCs/>
              </w:rPr>
              <w:t>4.3</w:t>
            </w:r>
            <w:r>
              <w:rPr>
                <w:rFonts w:hint="eastAsia" w:ascii="宋体" w:hAnsi="宋体"/>
              </w:rPr>
              <w:t>所示，声源位于室内，室内声源可采用等效室外声源声功率级法进行计算。设靠近开口处（或窗户）室内、室外某倍频带的声压级分别为</w:t>
            </w:r>
            <w:r>
              <w:t>Lp1</w:t>
            </w:r>
            <w:r>
              <w:rPr>
                <w:rFonts w:hint="eastAsia" w:ascii="宋体" w:hAnsi="宋体"/>
              </w:rPr>
              <w:t>和</w:t>
            </w:r>
            <w:r>
              <w:t>Lp2</w:t>
            </w:r>
            <w:r>
              <w:rPr>
                <w:rFonts w:hint="eastAsia" w:ascii="宋体" w:hAnsi="宋体"/>
              </w:rPr>
              <w:t>。若声源所在室内声场为近似扩散声场，则室外的倍频带声压级可按下式近似求出：</w:t>
            </w:r>
          </w:p>
          <w:p w14:paraId="66CDF8E2">
            <w:pPr>
              <w:pStyle w:val="149"/>
              <w:rPr>
                <w:sz w:val="24"/>
                <w:szCs w:val="24"/>
              </w:rPr>
            </w:pPr>
            <w:r>
              <w:rPr>
                <w:sz w:val="24"/>
                <w:szCs w:val="24"/>
              </w:rPr>
              <w:t>LP</w:t>
            </w:r>
            <w:r>
              <w:rPr>
                <w:sz w:val="24"/>
                <w:szCs w:val="24"/>
                <w:vertAlign w:val="subscript"/>
              </w:rPr>
              <w:t>2</w:t>
            </w:r>
            <w:r>
              <w:rPr>
                <w:sz w:val="24"/>
                <w:szCs w:val="24"/>
              </w:rPr>
              <w:t>=Lp</w:t>
            </w:r>
            <w:r>
              <w:rPr>
                <w:sz w:val="24"/>
                <w:szCs w:val="24"/>
                <w:vertAlign w:val="subscript"/>
              </w:rPr>
              <w:t>1</w:t>
            </w:r>
            <w:r>
              <w:rPr>
                <w:rFonts w:eastAsia="微软雅黑"/>
                <w:sz w:val="24"/>
                <w:szCs w:val="24"/>
              </w:rPr>
              <w:t>−</w:t>
            </w:r>
            <w:r>
              <w:rPr>
                <w:sz w:val="24"/>
                <w:szCs w:val="24"/>
              </w:rPr>
              <w:t>(TL+6)</w:t>
            </w:r>
          </w:p>
          <w:p w14:paraId="1F2B25DF">
            <w:pPr>
              <w:pStyle w:val="152"/>
              <w:ind w:firstLine="480"/>
            </w:pPr>
            <w:r>
              <w:rPr>
                <w:rFonts w:hint="eastAsia" w:ascii="宋体" w:hAnsi="宋体"/>
              </w:rPr>
              <w:t>式中：</w:t>
            </w:r>
          </w:p>
          <w:p w14:paraId="030E130A">
            <w:pPr>
              <w:pStyle w:val="152"/>
              <w:ind w:firstLine="480"/>
            </w:pPr>
            <w:r>
              <w:rPr>
                <w:i/>
                <w:iCs/>
              </w:rPr>
              <w:t>TL</w:t>
            </w:r>
            <w:r>
              <w:t>—</w:t>
            </w:r>
            <w:r>
              <w:rPr>
                <w:rFonts w:hint="eastAsia" w:ascii="宋体" w:hAnsi="宋体"/>
              </w:rPr>
              <w:t>隔墙（或窗户）倍频带的隔声量，</w:t>
            </w:r>
            <w:r>
              <w:t>dB</w:t>
            </w:r>
            <w:r>
              <w:rPr>
                <w:rFonts w:hint="eastAsia" w:ascii="宋体" w:hAnsi="宋体"/>
              </w:rPr>
              <w:t>。</w:t>
            </w:r>
          </w:p>
          <w:p w14:paraId="7FA17E5A">
            <w:pPr>
              <w:pStyle w:val="149"/>
            </w:pPr>
            <w:r>
              <w:drawing>
                <wp:inline distT="0" distB="0" distL="0" distR="0">
                  <wp:extent cx="3629025" cy="1762760"/>
                  <wp:effectExtent l="0" t="0" r="9525" b="8890"/>
                  <wp:docPr id="24" name="图片 24" descr="C:\Users\ADMINI~1\AppData\Local\Temp\ksohtml9280\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ADMINI~1\AppData\Local\Temp\ksohtml9280\wps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3629025" cy="1762760"/>
                          </a:xfrm>
                          <a:prstGeom prst="rect">
                            <a:avLst/>
                          </a:prstGeom>
                          <a:noFill/>
                          <a:ln>
                            <a:noFill/>
                          </a:ln>
                        </pic:spPr>
                      </pic:pic>
                    </a:graphicData>
                  </a:graphic>
                </wp:inline>
              </w:drawing>
            </w:r>
            <w:r>
              <w:t xml:space="preserve"> </w:t>
            </w:r>
          </w:p>
          <w:p w14:paraId="25A6A830">
            <w:pPr>
              <w:pStyle w:val="153"/>
            </w:pPr>
            <w:r>
              <w:rPr>
                <w:rFonts w:ascii="宋体" w:hAnsi="宋体"/>
              </w:rPr>
              <w:t>图</w:t>
            </w:r>
            <w:r>
              <w:rPr>
                <w:rFonts w:hint="eastAsia"/>
              </w:rPr>
              <w:t>4</w:t>
            </w:r>
            <w:r>
              <w:t>-3</w:t>
            </w:r>
            <w:r>
              <w:rPr>
                <w:rFonts w:ascii="宋体" w:hAnsi="宋体"/>
              </w:rPr>
              <w:t>室内声源等效为室外声源图例</w:t>
            </w:r>
          </w:p>
          <w:p w14:paraId="18C9BCDE">
            <w:pPr>
              <w:pStyle w:val="152"/>
              <w:ind w:firstLine="480"/>
            </w:pPr>
            <w:r>
              <w:rPr>
                <w:rFonts w:hint="eastAsia" w:ascii="宋体" w:hAnsi="宋体"/>
              </w:rPr>
              <w:t>也可按下式计算某一室内声源靠近围护结构处产生的倍频带声压级：</w:t>
            </w:r>
          </w:p>
          <w:p w14:paraId="2D3AE4AB">
            <w:pPr>
              <w:pStyle w:val="149"/>
              <w:rPr>
                <w:sz w:val="24"/>
                <w:szCs w:val="24"/>
              </w:rPr>
            </w:pPr>
            <w:r>
              <w:rPr>
                <w:sz w:val="24"/>
                <w:szCs w:val="24"/>
              </w:rPr>
              <w:drawing>
                <wp:inline distT="0" distB="0" distL="0" distR="0">
                  <wp:extent cx="1687195" cy="386715"/>
                  <wp:effectExtent l="0" t="0" r="8255" b="0"/>
                  <wp:docPr id="23" name="图片 23" descr="C:\Users\ADMINI~1\AppData\Local\Temp\ksohtml9280\wp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ADMINI~1\AppData\Local\Temp\ksohtml9280\wps3.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687195" cy="386715"/>
                          </a:xfrm>
                          <a:prstGeom prst="rect">
                            <a:avLst/>
                          </a:prstGeom>
                          <a:noFill/>
                          <a:ln>
                            <a:noFill/>
                          </a:ln>
                        </pic:spPr>
                      </pic:pic>
                    </a:graphicData>
                  </a:graphic>
                </wp:inline>
              </w:drawing>
            </w:r>
          </w:p>
          <w:p w14:paraId="4F366712">
            <w:pPr>
              <w:pStyle w:val="152"/>
              <w:ind w:firstLine="480"/>
            </w:pPr>
            <w:r>
              <w:rPr>
                <w:rFonts w:hint="eastAsia" w:ascii="宋体" w:hAnsi="宋体"/>
              </w:rPr>
              <w:t>式中：</w:t>
            </w:r>
          </w:p>
          <w:p w14:paraId="4F84AF80">
            <w:pPr>
              <w:pStyle w:val="152"/>
              <w:ind w:firstLine="480"/>
            </w:pPr>
            <w:r>
              <w:rPr>
                <w:i/>
                <w:iCs/>
              </w:rPr>
              <w:t>Q</w:t>
            </w:r>
            <w:r>
              <w:t>—</w:t>
            </w:r>
            <w:r>
              <w:rPr>
                <w:rFonts w:hint="eastAsia" w:ascii="宋体" w:hAnsi="宋体"/>
              </w:rPr>
              <w:t>指向性因数；通常对无指向性声源，当声源放在房间中心时，</w:t>
            </w:r>
            <w:r>
              <w:rPr>
                <w:i/>
                <w:iCs/>
              </w:rPr>
              <w:t>Q</w:t>
            </w:r>
            <w:r>
              <w:t>=1</w:t>
            </w:r>
            <w:r>
              <w:rPr>
                <w:rFonts w:hint="eastAsia" w:ascii="宋体" w:hAnsi="宋体"/>
              </w:rPr>
              <w:t>；当放在一面墙的中心时，</w:t>
            </w:r>
            <w:r>
              <w:rPr>
                <w:i/>
                <w:iCs/>
              </w:rPr>
              <w:t>Q</w:t>
            </w:r>
            <w:r>
              <w:t>=2</w:t>
            </w:r>
            <w:r>
              <w:rPr>
                <w:rFonts w:hint="eastAsia" w:ascii="宋体" w:hAnsi="宋体"/>
              </w:rPr>
              <w:t>；当放在两面墙夹角处时，</w:t>
            </w:r>
            <w:r>
              <w:rPr>
                <w:i/>
                <w:iCs/>
              </w:rPr>
              <w:t>Q</w:t>
            </w:r>
            <w:r>
              <w:t>=4</w:t>
            </w:r>
            <w:r>
              <w:rPr>
                <w:rFonts w:hint="eastAsia" w:ascii="宋体" w:hAnsi="宋体"/>
              </w:rPr>
              <w:t>；当放在三面墙夹角处时，</w:t>
            </w:r>
            <w:r>
              <w:rPr>
                <w:i/>
                <w:iCs/>
              </w:rPr>
              <w:t>Q</w:t>
            </w:r>
            <w:r>
              <w:t>=8</w:t>
            </w:r>
            <w:r>
              <w:rPr>
                <w:rFonts w:hint="eastAsia" w:ascii="宋体" w:hAnsi="宋体"/>
              </w:rPr>
              <w:t>。</w:t>
            </w:r>
          </w:p>
          <w:p w14:paraId="4D2748DC">
            <w:pPr>
              <w:pStyle w:val="152"/>
              <w:ind w:firstLine="480"/>
            </w:pPr>
            <w:r>
              <w:rPr>
                <w:i/>
                <w:iCs/>
              </w:rPr>
              <w:t>R</w:t>
            </w:r>
            <w:r>
              <w:t>—</w:t>
            </w:r>
            <w:r>
              <w:rPr>
                <w:rFonts w:hint="eastAsia" w:ascii="宋体" w:hAnsi="宋体"/>
              </w:rPr>
              <w:t>房间常数；</w:t>
            </w:r>
            <w:r>
              <w:rPr>
                <w:i/>
                <w:iCs/>
              </w:rPr>
              <w:t>R</w:t>
            </w:r>
            <w:r>
              <w:t>=</w:t>
            </w:r>
            <w:r>
              <w:rPr>
                <w:i/>
                <w:iCs/>
              </w:rPr>
              <w:t>Sα</w:t>
            </w:r>
            <w:r>
              <w:t>/(1</w:t>
            </w:r>
            <w:r>
              <w:rPr>
                <w:rFonts w:eastAsia="微软雅黑"/>
              </w:rPr>
              <w:t>−</w:t>
            </w:r>
            <w:r>
              <w:t>α)</w:t>
            </w:r>
            <w:r>
              <w:rPr>
                <w:rFonts w:hint="eastAsia" w:ascii="宋体" w:hAnsi="宋体"/>
              </w:rPr>
              <w:t>，</w:t>
            </w:r>
            <w:r>
              <w:t>S</w:t>
            </w:r>
            <w:r>
              <w:rPr>
                <w:rFonts w:hint="eastAsia" w:ascii="宋体" w:hAnsi="宋体"/>
              </w:rPr>
              <w:t>为房间内表面面积，</w:t>
            </w:r>
            <w:r>
              <w:t>m</w:t>
            </w:r>
            <w:r>
              <w:rPr>
                <w:vertAlign w:val="superscript"/>
              </w:rPr>
              <w:t>2</w:t>
            </w:r>
            <w:r>
              <w:rPr>
                <w:rFonts w:hint="eastAsia" w:ascii="宋体" w:hAnsi="宋体"/>
              </w:rPr>
              <w:t>；</w:t>
            </w:r>
            <w:r>
              <w:rPr>
                <w:i/>
                <w:iCs/>
              </w:rPr>
              <w:t>α</w:t>
            </w:r>
            <w:r>
              <w:rPr>
                <w:rFonts w:hint="eastAsia" w:ascii="宋体" w:hAnsi="宋体"/>
              </w:rPr>
              <w:t>为平均吸声系数。</w:t>
            </w:r>
          </w:p>
          <w:p w14:paraId="1B6A3E77">
            <w:pPr>
              <w:pStyle w:val="152"/>
              <w:ind w:firstLine="480"/>
            </w:pPr>
            <w:r>
              <w:rPr>
                <w:i/>
                <w:iCs/>
              </w:rPr>
              <w:t>r</w:t>
            </w:r>
            <w:r>
              <w:t>—</w:t>
            </w:r>
            <w:r>
              <w:rPr>
                <w:rFonts w:hint="eastAsia" w:ascii="宋体" w:hAnsi="宋体"/>
              </w:rPr>
              <w:t>声源到靠近围护结构某点处的距离，</w:t>
            </w:r>
            <w:r>
              <w:t>m</w:t>
            </w:r>
            <w:r>
              <w:rPr>
                <w:rFonts w:hint="eastAsia" w:ascii="宋体" w:hAnsi="宋体"/>
              </w:rPr>
              <w:t>。</w:t>
            </w:r>
          </w:p>
          <w:p w14:paraId="396F9949">
            <w:pPr>
              <w:pStyle w:val="152"/>
              <w:ind w:firstLine="480"/>
            </w:pPr>
            <w:r>
              <w:rPr>
                <w:rFonts w:hint="eastAsia" w:ascii="宋体" w:hAnsi="宋体"/>
              </w:rPr>
              <w:t>然后按下式计算出所有室内声源在围护结构处产生的</w:t>
            </w:r>
            <w:r>
              <w:t>i</w:t>
            </w:r>
            <w:r>
              <w:rPr>
                <w:rFonts w:hint="eastAsia" w:ascii="宋体" w:hAnsi="宋体"/>
              </w:rPr>
              <w:t>倍频带叠加声压级：</w:t>
            </w:r>
          </w:p>
          <w:p w14:paraId="17737462">
            <w:pPr>
              <w:pStyle w:val="149"/>
              <w:rPr>
                <w:sz w:val="24"/>
                <w:szCs w:val="24"/>
              </w:rPr>
            </w:pPr>
            <w:r>
              <w:rPr>
                <w:sz w:val="24"/>
                <w:szCs w:val="24"/>
              </w:rPr>
              <w:drawing>
                <wp:inline distT="0" distB="0" distL="0" distR="0">
                  <wp:extent cx="1640205" cy="443230"/>
                  <wp:effectExtent l="0" t="0" r="0" b="0"/>
                  <wp:docPr id="22" name="图片 22" descr="C:\Users\ADMINI~1\AppData\Local\Temp\ksohtml9280\wp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C:\Users\ADMINI~1\AppData\Local\Temp\ksohtml9280\wps4.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640205" cy="443230"/>
                          </a:xfrm>
                          <a:prstGeom prst="rect">
                            <a:avLst/>
                          </a:prstGeom>
                          <a:noFill/>
                          <a:ln>
                            <a:noFill/>
                          </a:ln>
                        </pic:spPr>
                      </pic:pic>
                    </a:graphicData>
                  </a:graphic>
                </wp:inline>
              </w:drawing>
            </w:r>
          </w:p>
          <w:p w14:paraId="7B2796A5">
            <w:pPr>
              <w:pStyle w:val="152"/>
              <w:ind w:firstLine="480"/>
            </w:pPr>
            <w:r>
              <w:rPr>
                <w:rFonts w:hint="eastAsia" w:ascii="宋体" w:hAnsi="宋体"/>
              </w:rPr>
              <w:t>式中：</w:t>
            </w:r>
          </w:p>
          <w:p w14:paraId="39F79306">
            <w:pPr>
              <w:pStyle w:val="152"/>
              <w:ind w:firstLine="480"/>
            </w:pPr>
            <w:r>
              <w:rPr>
                <w:i/>
                <w:iCs/>
              </w:rPr>
              <w:t>LP</w:t>
            </w:r>
            <w:r>
              <w:rPr>
                <w:i/>
                <w:iCs/>
                <w:vertAlign w:val="subscript"/>
              </w:rPr>
              <w:t>1i</w:t>
            </w:r>
            <w:r>
              <w:rPr>
                <w:i/>
                <w:iCs/>
              </w:rPr>
              <w:t>(T)</w:t>
            </w:r>
            <w:r>
              <w:t>—</w:t>
            </w:r>
            <w:r>
              <w:rPr>
                <w:rFonts w:hint="eastAsia" w:ascii="宋体" w:hAnsi="宋体"/>
              </w:rPr>
              <w:t>靠近围护结构处室内</w:t>
            </w:r>
            <w:r>
              <w:t>N</w:t>
            </w:r>
            <w:r>
              <w:rPr>
                <w:rFonts w:hint="eastAsia" w:ascii="宋体" w:hAnsi="宋体"/>
              </w:rPr>
              <w:t>个声源</w:t>
            </w:r>
            <w:r>
              <w:t>i</w:t>
            </w:r>
            <w:r>
              <w:rPr>
                <w:rFonts w:hint="eastAsia" w:ascii="宋体" w:hAnsi="宋体"/>
              </w:rPr>
              <w:t>倍频带的叠加声压级，</w:t>
            </w:r>
            <w:r>
              <w:t>dB</w:t>
            </w:r>
            <w:r>
              <w:rPr>
                <w:rFonts w:hint="eastAsia" w:ascii="宋体" w:hAnsi="宋体"/>
              </w:rPr>
              <w:t>；</w:t>
            </w:r>
          </w:p>
          <w:p w14:paraId="4E4CEF32">
            <w:pPr>
              <w:pStyle w:val="152"/>
              <w:ind w:firstLine="480"/>
            </w:pPr>
            <w:r>
              <w:rPr>
                <w:i/>
                <w:iCs/>
              </w:rPr>
              <w:t>LP</w:t>
            </w:r>
            <w:r>
              <w:rPr>
                <w:i/>
                <w:iCs/>
                <w:vertAlign w:val="subscript"/>
              </w:rPr>
              <w:t>1ij</w:t>
            </w:r>
            <w:r>
              <w:t>—</w:t>
            </w:r>
            <w:r>
              <w:rPr>
                <w:rFonts w:hint="eastAsia" w:ascii="宋体" w:hAnsi="宋体"/>
              </w:rPr>
              <w:t>室内</w:t>
            </w:r>
            <w:r>
              <w:t>j</w:t>
            </w:r>
            <w:r>
              <w:rPr>
                <w:rFonts w:hint="eastAsia" w:ascii="宋体" w:hAnsi="宋体"/>
              </w:rPr>
              <w:t>声源</w:t>
            </w:r>
            <w:r>
              <w:t>i</w:t>
            </w:r>
            <w:r>
              <w:rPr>
                <w:rFonts w:hint="eastAsia" w:ascii="宋体" w:hAnsi="宋体"/>
              </w:rPr>
              <w:t>倍频带的声压级，</w:t>
            </w:r>
            <w:r>
              <w:t>dB</w:t>
            </w:r>
            <w:r>
              <w:rPr>
                <w:rFonts w:hint="eastAsia" w:ascii="宋体" w:hAnsi="宋体"/>
              </w:rPr>
              <w:t>；</w:t>
            </w:r>
          </w:p>
          <w:p w14:paraId="6D8DFE88">
            <w:pPr>
              <w:pStyle w:val="152"/>
              <w:ind w:firstLine="480"/>
            </w:pPr>
            <w:r>
              <w:t>N—</w:t>
            </w:r>
            <w:r>
              <w:rPr>
                <w:rFonts w:hint="eastAsia" w:ascii="宋体" w:hAnsi="宋体"/>
              </w:rPr>
              <w:t>室内声源总数。</w:t>
            </w:r>
          </w:p>
          <w:p w14:paraId="357C479A">
            <w:pPr>
              <w:pStyle w:val="152"/>
              <w:ind w:firstLine="480"/>
            </w:pPr>
            <w:r>
              <w:rPr>
                <w:rFonts w:hint="eastAsia" w:ascii="宋体" w:hAnsi="宋体"/>
              </w:rPr>
              <w:t>在室内近似为扩散声场时，按下式计算出靠近室外围护结构处的声压级：</w:t>
            </w:r>
          </w:p>
          <w:p w14:paraId="41FE2435">
            <w:pPr>
              <w:pStyle w:val="152"/>
              <w:ind w:firstLine="480"/>
              <w:rPr>
                <w:i/>
                <w:iCs/>
              </w:rPr>
            </w:pPr>
            <w:r>
              <w:rPr>
                <w:i/>
                <w:iCs/>
              </w:rPr>
              <w:t>LP2i(T)=LP1i(T)</w:t>
            </w:r>
            <w:r>
              <w:rPr>
                <w:rFonts w:eastAsia="微软雅黑"/>
                <w:i/>
                <w:iCs/>
              </w:rPr>
              <w:t>−</w:t>
            </w:r>
            <w:r>
              <w:rPr>
                <w:i/>
                <w:iCs/>
              </w:rPr>
              <w:t>(Ti+6)</w:t>
            </w:r>
          </w:p>
          <w:p w14:paraId="5445F258">
            <w:pPr>
              <w:pStyle w:val="152"/>
              <w:ind w:firstLine="480"/>
            </w:pPr>
            <w:r>
              <w:rPr>
                <w:rFonts w:hint="eastAsia" w:ascii="宋体" w:hAnsi="宋体"/>
              </w:rPr>
              <w:t>式中：</w:t>
            </w:r>
          </w:p>
          <w:p w14:paraId="22C845B6">
            <w:pPr>
              <w:pStyle w:val="152"/>
              <w:ind w:firstLine="480"/>
            </w:pPr>
            <w:r>
              <w:rPr>
                <w:i/>
                <w:iCs/>
              </w:rPr>
              <w:t>LP</w:t>
            </w:r>
            <w:r>
              <w:rPr>
                <w:i/>
                <w:iCs/>
                <w:vertAlign w:val="subscript"/>
              </w:rPr>
              <w:t>2i</w:t>
            </w:r>
            <w:r>
              <w:rPr>
                <w:i/>
                <w:iCs/>
              </w:rPr>
              <w:t>(T</w:t>
            </w:r>
            <w:r>
              <w:t>)—</w:t>
            </w:r>
            <w:r>
              <w:rPr>
                <w:rFonts w:hint="eastAsia" w:ascii="宋体" w:hAnsi="宋体"/>
              </w:rPr>
              <w:t>靠近围护结构处室外</w:t>
            </w:r>
            <w:r>
              <w:t>N</w:t>
            </w:r>
            <w:r>
              <w:rPr>
                <w:rFonts w:hint="eastAsia" w:ascii="宋体" w:hAnsi="宋体"/>
              </w:rPr>
              <w:t>个声源</w:t>
            </w:r>
            <w:r>
              <w:t>i</w:t>
            </w:r>
            <w:r>
              <w:rPr>
                <w:rFonts w:hint="eastAsia" w:ascii="宋体" w:hAnsi="宋体"/>
              </w:rPr>
              <w:t>倍频带的叠加声压级，</w:t>
            </w:r>
            <w:r>
              <w:t>dB</w:t>
            </w:r>
            <w:r>
              <w:rPr>
                <w:rFonts w:hint="eastAsia" w:ascii="宋体" w:hAnsi="宋体"/>
              </w:rPr>
              <w:t>；</w:t>
            </w:r>
          </w:p>
          <w:p w14:paraId="0F3C1DD3">
            <w:pPr>
              <w:pStyle w:val="152"/>
              <w:ind w:firstLine="480"/>
            </w:pPr>
            <w:r>
              <w:rPr>
                <w:i/>
                <w:iCs/>
              </w:rPr>
              <w:t>TLi</w:t>
            </w:r>
            <w:r>
              <w:t>—</w:t>
            </w:r>
            <w:r>
              <w:rPr>
                <w:rFonts w:hint="eastAsia" w:ascii="宋体" w:hAnsi="宋体"/>
              </w:rPr>
              <w:t>围护结构</w:t>
            </w:r>
            <w:r>
              <w:t>i</w:t>
            </w:r>
            <w:r>
              <w:rPr>
                <w:rFonts w:hint="eastAsia" w:ascii="宋体" w:hAnsi="宋体"/>
              </w:rPr>
              <w:t>倍频带的隔声量，</w:t>
            </w:r>
            <w:r>
              <w:t>dB</w:t>
            </w:r>
            <w:r>
              <w:rPr>
                <w:rFonts w:hint="eastAsia" w:ascii="宋体" w:hAnsi="宋体"/>
              </w:rPr>
              <w:t>。</w:t>
            </w:r>
          </w:p>
          <w:p w14:paraId="41FE6451">
            <w:pPr>
              <w:pStyle w:val="152"/>
              <w:ind w:firstLine="480"/>
            </w:pPr>
            <w:r>
              <w:rPr>
                <w:rFonts w:hint="eastAsia" w:ascii="宋体" w:hAnsi="宋体"/>
              </w:rPr>
              <w:t>然后按下式将室外声源的声压级和透过面积换算成等效的室外声源，计算出中心位置位于透声面积（</w:t>
            </w:r>
            <w:r>
              <w:t>S</w:t>
            </w:r>
            <w:r>
              <w:rPr>
                <w:rFonts w:hint="eastAsia" w:ascii="宋体" w:hAnsi="宋体"/>
              </w:rPr>
              <w:t>）处的等效声源的倍频带声功率级。</w:t>
            </w:r>
          </w:p>
          <w:p w14:paraId="7CD3C9C1">
            <w:pPr>
              <w:pStyle w:val="152"/>
              <w:ind w:firstLine="0" w:firstLineChars="0"/>
              <w:jc w:val="center"/>
            </w:pPr>
            <w:r>
              <w:rPr>
                <w:i/>
                <w:iCs/>
              </w:rPr>
              <w:t>L</w:t>
            </w:r>
            <w:r>
              <w:rPr>
                <w:i/>
                <w:iCs/>
                <w:vertAlign w:val="subscript"/>
              </w:rPr>
              <w:t>W</w:t>
            </w:r>
            <w:r>
              <w:rPr>
                <w:i/>
                <w:iCs/>
              </w:rPr>
              <w:t>=LP</w:t>
            </w:r>
            <w:r>
              <w:rPr>
                <w:i/>
                <w:iCs/>
                <w:vertAlign w:val="subscript"/>
              </w:rPr>
              <w:t>2</w:t>
            </w:r>
            <w:r>
              <w:rPr>
                <w:i/>
                <w:iCs/>
              </w:rPr>
              <w:t>(T)</w:t>
            </w:r>
            <w:r>
              <w:t>+10lgs</w:t>
            </w:r>
          </w:p>
          <w:p w14:paraId="2A56283C">
            <w:pPr>
              <w:spacing w:line="360" w:lineRule="auto"/>
              <w:ind w:firstLine="480" w:firstLineChars="200"/>
              <w:rPr>
                <w:sz w:val="24"/>
              </w:rPr>
            </w:pPr>
            <w:r>
              <w:rPr>
                <w:rFonts w:hint="eastAsia" w:ascii="宋体" w:hAnsi="宋体"/>
                <w:sz w:val="24"/>
              </w:rPr>
              <w:t>然后按室外声源预测方法计算预测点处的</w:t>
            </w:r>
            <w:r>
              <w:rPr>
                <w:rFonts w:hint="eastAsia"/>
                <w:sz w:val="24"/>
              </w:rPr>
              <w:t>A</w:t>
            </w:r>
            <w:r>
              <w:rPr>
                <w:rFonts w:hint="eastAsia" w:ascii="宋体" w:hAnsi="宋体"/>
                <w:sz w:val="24"/>
              </w:rPr>
              <w:t>声级。</w:t>
            </w:r>
          </w:p>
          <w:p w14:paraId="1723B68D">
            <w:pPr>
              <w:pStyle w:val="152"/>
              <w:ind w:firstLine="482"/>
              <w:rPr>
                <w:b/>
              </w:rPr>
            </w:pPr>
            <w:r>
              <w:rPr>
                <w:rFonts w:hint="eastAsia" w:ascii="宋体" w:hAnsi="宋体"/>
                <w:b/>
              </w:rPr>
              <w:t>③噪声贡献值计算</w:t>
            </w:r>
          </w:p>
          <w:p w14:paraId="78D10BF8">
            <w:pPr>
              <w:pStyle w:val="152"/>
              <w:ind w:firstLine="480"/>
            </w:pPr>
            <w:r>
              <w:rPr>
                <w:rFonts w:hint="eastAsia" w:ascii="宋体" w:hAnsi="宋体"/>
              </w:rPr>
              <w:t>设第</w:t>
            </w:r>
            <w:r>
              <w:t>i</w:t>
            </w:r>
            <w:r>
              <w:rPr>
                <w:rFonts w:hint="eastAsia" w:ascii="宋体" w:hAnsi="宋体"/>
              </w:rPr>
              <w:t>个室外声源在预测点产生的</w:t>
            </w:r>
            <w:r>
              <w:t>A</w:t>
            </w:r>
            <w:r>
              <w:rPr>
                <w:rFonts w:hint="eastAsia" w:ascii="宋体" w:hAnsi="宋体"/>
              </w:rPr>
              <w:t>声级为</w:t>
            </w:r>
            <w:r>
              <w:t>LAi</w:t>
            </w:r>
            <w:r>
              <w:rPr>
                <w:rFonts w:hint="eastAsia" w:ascii="宋体" w:hAnsi="宋体"/>
              </w:rPr>
              <w:t>，在</w:t>
            </w:r>
            <w:r>
              <w:t>T</w:t>
            </w:r>
            <w:r>
              <w:rPr>
                <w:rFonts w:hint="eastAsia" w:ascii="宋体" w:hAnsi="宋体"/>
              </w:rPr>
              <w:t>时间内该声源工作时间为</w:t>
            </w:r>
            <w:r>
              <w:t>ti</w:t>
            </w:r>
            <w:r>
              <w:rPr>
                <w:rFonts w:hint="eastAsia" w:ascii="宋体" w:hAnsi="宋体"/>
              </w:rPr>
              <w:t>；第</w:t>
            </w:r>
            <w:r>
              <w:t>j</w:t>
            </w:r>
            <w:r>
              <w:rPr>
                <w:rFonts w:hint="eastAsia" w:ascii="宋体" w:hAnsi="宋体"/>
              </w:rPr>
              <w:t>个等效室外声源在预测点产生的</w:t>
            </w:r>
            <w:r>
              <w:t>A</w:t>
            </w:r>
            <w:r>
              <w:rPr>
                <w:rFonts w:hint="eastAsia" w:ascii="宋体" w:hAnsi="宋体"/>
              </w:rPr>
              <w:t>声级为</w:t>
            </w:r>
            <w:r>
              <w:t>LAj</w:t>
            </w:r>
            <w:r>
              <w:rPr>
                <w:rFonts w:hint="eastAsia" w:ascii="宋体" w:hAnsi="宋体"/>
              </w:rPr>
              <w:t>，在</w:t>
            </w:r>
            <w:r>
              <w:t>T</w:t>
            </w:r>
            <w:r>
              <w:rPr>
                <w:rFonts w:hint="eastAsia" w:ascii="宋体" w:hAnsi="宋体"/>
              </w:rPr>
              <w:t>时间内该声源工作时间为</w:t>
            </w:r>
            <w:r>
              <w:t>tj</w:t>
            </w:r>
            <w:r>
              <w:rPr>
                <w:rFonts w:hint="eastAsia" w:ascii="宋体" w:hAnsi="宋体"/>
              </w:rPr>
              <w:t>，则拟建工程声源对预测点产生的贡献值（</w:t>
            </w:r>
            <w:r>
              <w:t>Leqg</w:t>
            </w:r>
            <w:r>
              <w:rPr>
                <w:rFonts w:hint="eastAsia" w:ascii="宋体" w:hAnsi="宋体"/>
              </w:rPr>
              <w:t>）为：</w:t>
            </w:r>
          </w:p>
          <w:p w14:paraId="5464A1EB">
            <w:pPr>
              <w:pStyle w:val="152"/>
              <w:ind w:firstLine="0" w:firstLineChars="0"/>
              <w:jc w:val="center"/>
            </w:pPr>
            <w:r>
              <w:drawing>
                <wp:inline distT="0" distB="0" distL="0" distR="0">
                  <wp:extent cx="2535555" cy="443230"/>
                  <wp:effectExtent l="0" t="0" r="0" b="0"/>
                  <wp:docPr id="21" name="图片 21" descr="C:\Users\ADMINI~1\AppData\Local\Temp\ksohtml9280\wp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Users\ADMINI~1\AppData\Local\Temp\ksohtml9280\wps5.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535555" cy="443230"/>
                          </a:xfrm>
                          <a:prstGeom prst="rect">
                            <a:avLst/>
                          </a:prstGeom>
                          <a:noFill/>
                          <a:ln>
                            <a:noFill/>
                          </a:ln>
                        </pic:spPr>
                      </pic:pic>
                    </a:graphicData>
                  </a:graphic>
                </wp:inline>
              </w:drawing>
            </w:r>
          </w:p>
          <w:p w14:paraId="582F855D">
            <w:pPr>
              <w:pStyle w:val="152"/>
              <w:ind w:firstLine="480"/>
            </w:pPr>
            <w:r>
              <w:rPr>
                <w:rFonts w:hint="eastAsia" w:ascii="宋体" w:hAnsi="宋体"/>
              </w:rPr>
              <w:t>式中：</w:t>
            </w:r>
          </w:p>
          <w:p w14:paraId="68662435">
            <w:pPr>
              <w:pStyle w:val="152"/>
              <w:ind w:firstLine="480"/>
            </w:pPr>
            <w:r>
              <w:t>tj—</w:t>
            </w:r>
            <w:r>
              <w:rPr>
                <w:rFonts w:hint="eastAsia" w:ascii="宋体" w:hAnsi="宋体"/>
              </w:rPr>
              <w:t>在</w:t>
            </w:r>
            <w:r>
              <w:t>T</w:t>
            </w:r>
            <w:r>
              <w:rPr>
                <w:rFonts w:hint="eastAsia" w:ascii="宋体" w:hAnsi="宋体"/>
              </w:rPr>
              <w:t>时间内</w:t>
            </w:r>
            <w:r>
              <w:t>j</w:t>
            </w:r>
            <w:r>
              <w:rPr>
                <w:rFonts w:hint="eastAsia" w:ascii="宋体" w:hAnsi="宋体"/>
              </w:rPr>
              <w:t>声源工作时间，</w:t>
            </w:r>
            <w:r>
              <w:t>S；</w:t>
            </w:r>
          </w:p>
          <w:p w14:paraId="1A7B9864">
            <w:pPr>
              <w:pStyle w:val="152"/>
              <w:ind w:firstLine="480"/>
            </w:pPr>
            <w:r>
              <w:t>ti—在T时间内i声源工作时间，S；</w:t>
            </w:r>
          </w:p>
          <w:p w14:paraId="2111AF35">
            <w:pPr>
              <w:pStyle w:val="152"/>
              <w:ind w:firstLine="480"/>
            </w:pPr>
            <w:r>
              <w:t>T—用于计算等效声级的时间，S；</w:t>
            </w:r>
          </w:p>
          <w:p w14:paraId="388412E9">
            <w:pPr>
              <w:pStyle w:val="152"/>
              <w:ind w:firstLine="480"/>
            </w:pPr>
            <w:r>
              <w:t>N—室外声源个数；</w:t>
            </w:r>
          </w:p>
          <w:p w14:paraId="24B140B9">
            <w:pPr>
              <w:pStyle w:val="154"/>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M—等效室外声源个数</w:t>
            </w:r>
            <w:r>
              <w:rPr>
                <w:rFonts w:hint="eastAsia" w:ascii="宋体" w:hAnsi="宋体" w:cs="Times New Roman"/>
                <w:sz w:val="24"/>
                <w:szCs w:val="24"/>
              </w:rPr>
              <w:t>。</w:t>
            </w:r>
          </w:p>
          <w:p w14:paraId="71AC6DE4">
            <w:pPr>
              <w:pStyle w:val="2"/>
              <w:spacing w:before="0" w:after="0" w:line="360" w:lineRule="auto"/>
              <w:ind w:left="0" w:firstLine="482" w:firstLineChars="200"/>
              <w:rPr>
                <w:rFonts w:eastAsia="宋体"/>
                <w:color w:val="auto"/>
                <w:sz w:val="24"/>
                <w:szCs w:val="24"/>
              </w:rPr>
            </w:pPr>
            <w:r>
              <w:rPr>
                <w:rFonts w:hint="eastAsia" w:eastAsia="宋体"/>
                <w:color w:val="auto"/>
                <w:sz w:val="24"/>
                <w:szCs w:val="24"/>
              </w:rPr>
              <w:t>（</w:t>
            </w:r>
            <w:r>
              <w:rPr>
                <w:rFonts w:eastAsia="宋体"/>
                <w:color w:val="auto"/>
                <w:sz w:val="24"/>
                <w:szCs w:val="24"/>
              </w:rPr>
              <w:t>2</w:t>
            </w:r>
            <w:r>
              <w:rPr>
                <w:rFonts w:ascii="宋体" w:hAnsi="宋体" w:eastAsia="宋体"/>
                <w:color w:val="auto"/>
                <w:sz w:val="24"/>
                <w:szCs w:val="24"/>
              </w:rPr>
              <w:t>）噪声预测结果</w:t>
            </w:r>
          </w:p>
          <w:p w14:paraId="53B50760">
            <w:pPr>
              <w:pStyle w:val="10"/>
            </w:pPr>
            <w:r>
              <w:rPr>
                <w:rFonts w:hint="eastAsia"/>
              </w:rPr>
              <w:t>预测结果见图</w:t>
            </w:r>
            <w:r>
              <w:t>4-4</w:t>
            </w:r>
            <w:r>
              <w:rPr>
                <w:rFonts w:hint="eastAsia"/>
              </w:rPr>
              <w:t>。</w:t>
            </w:r>
          </w:p>
          <w:p w14:paraId="3C9E55B7">
            <w:pPr>
              <w:pStyle w:val="10"/>
              <w:jc w:val="center"/>
            </w:pPr>
            <w:r>
              <w:drawing>
                <wp:inline distT="0" distB="0" distL="0" distR="0">
                  <wp:extent cx="5615305" cy="4985385"/>
                  <wp:effectExtent l="0" t="0" r="4445" b="571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2"/>
                          <a:stretch>
                            <a:fillRect/>
                          </a:stretch>
                        </pic:blipFill>
                        <pic:spPr>
                          <a:xfrm>
                            <a:off x="0" y="0"/>
                            <a:ext cx="5615305" cy="4985385"/>
                          </a:xfrm>
                          <a:prstGeom prst="rect">
                            <a:avLst/>
                          </a:prstGeom>
                        </pic:spPr>
                      </pic:pic>
                    </a:graphicData>
                  </a:graphic>
                </wp:inline>
              </w:drawing>
            </w:r>
          </w:p>
          <w:p w14:paraId="1D5B13DF">
            <w:pPr>
              <w:jc w:val="center"/>
              <w:rPr>
                <w:b/>
                <w:bCs/>
                <w:sz w:val="24"/>
              </w:rPr>
            </w:pPr>
            <w:r>
              <w:rPr>
                <w:rFonts w:hint="eastAsia"/>
                <w:b/>
                <w:bCs/>
                <w:sz w:val="24"/>
              </w:rPr>
              <w:t>图</w:t>
            </w:r>
            <w:r>
              <w:rPr>
                <w:b/>
                <w:bCs/>
                <w:sz w:val="24"/>
              </w:rPr>
              <w:t>4-4</w:t>
            </w:r>
            <w:r>
              <w:rPr>
                <w:rFonts w:hint="eastAsia"/>
                <w:b/>
                <w:bCs/>
                <w:sz w:val="24"/>
              </w:rPr>
              <w:t>噪声贡献值图</w:t>
            </w:r>
          </w:p>
          <w:p w14:paraId="1DD95F08">
            <w:pPr>
              <w:adjustRightInd w:val="0"/>
              <w:snapToGrid w:val="0"/>
              <w:jc w:val="center"/>
              <w:rPr>
                <w:b/>
                <w:bCs/>
                <w:sz w:val="24"/>
                <w:lang w:bidi="ar"/>
              </w:rPr>
            </w:pPr>
            <w:r>
              <w:rPr>
                <w:rFonts w:hint="eastAsia"/>
                <w:b/>
                <w:bCs/>
                <w:sz w:val="24"/>
                <w:lang w:bidi="ar"/>
              </w:rPr>
              <w:t>表</w:t>
            </w:r>
            <w:r>
              <w:rPr>
                <w:b/>
                <w:bCs/>
                <w:sz w:val="24"/>
                <w:lang w:bidi="ar"/>
              </w:rPr>
              <w:t>4-9</w:t>
            </w:r>
            <w:r>
              <w:rPr>
                <w:rFonts w:hint="eastAsia"/>
                <w:b/>
                <w:bCs/>
                <w:sz w:val="24"/>
                <w:lang w:bidi="ar"/>
              </w:rPr>
              <w:t>项目厂界噪声贡献值</w:t>
            </w:r>
          </w:p>
          <w:tbl>
            <w:tblPr>
              <w:tblStyle w:val="15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32"/>
              <w:gridCol w:w="1732"/>
              <w:gridCol w:w="1732"/>
              <w:gridCol w:w="1683"/>
              <w:gridCol w:w="1630"/>
            </w:tblGrid>
            <w:tr w14:paraId="49F257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8" w:type="pct"/>
                  <w:vAlign w:val="center"/>
                </w:tcPr>
                <w:p w14:paraId="0920EDDF">
                  <w:pPr>
                    <w:pStyle w:val="149"/>
                    <w:rPr>
                      <w:rFonts w:hint="default" w:ascii="Times New Roman" w:hAnsi="Times New Roman" w:eastAsia="宋体" w:cs="Times New Roman"/>
                      <w:b/>
                      <w:i w:val="0"/>
                    </w:rPr>
                  </w:pPr>
                  <w:r>
                    <w:rPr>
                      <w:rFonts w:hint="eastAsia" w:ascii="Times New Roman" w:hAnsi="Times New Roman" w:eastAsia="宋体" w:cs="Times New Roman"/>
                      <w:b/>
                      <w:i w:val="0"/>
                    </w:rPr>
                    <w:t>点源位置</w:t>
                  </w:r>
                </w:p>
              </w:tc>
              <w:tc>
                <w:tcPr>
                  <w:tcW w:w="1018" w:type="pct"/>
                  <w:vAlign w:val="center"/>
                </w:tcPr>
                <w:p w14:paraId="6DDD7176">
                  <w:pPr>
                    <w:pStyle w:val="149"/>
                    <w:rPr>
                      <w:rFonts w:hint="default" w:ascii="Times New Roman" w:hAnsi="Times New Roman" w:eastAsia="宋体" w:cs="Times New Roman"/>
                      <w:b/>
                      <w:i w:val="0"/>
                    </w:rPr>
                  </w:pPr>
                  <w:r>
                    <w:rPr>
                      <w:rFonts w:hint="eastAsia" w:ascii="Times New Roman" w:hAnsi="Times New Roman" w:eastAsia="宋体" w:cs="Times New Roman"/>
                      <w:b/>
                      <w:i w:val="0"/>
                    </w:rPr>
                    <w:t>时段</w:t>
                  </w:r>
                </w:p>
              </w:tc>
              <w:tc>
                <w:tcPr>
                  <w:tcW w:w="1018" w:type="pct"/>
                  <w:vAlign w:val="center"/>
                </w:tcPr>
                <w:p w14:paraId="6FF5F34F">
                  <w:pPr>
                    <w:pStyle w:val="149"/>
                    <w:rPr>
                      <w:rFonts w:hint="default" w:ascii="Times New Roman" w:hAnsi="Times New Roman" w:eastAsia="宋体" w:cs="Times New Roman"/>
                      <w:b/>
                      <w:i w:val="0"/>
                    </w:rPr>
                  </w:pPr>
                  <w:r>
                    <w:rPr>
                      <w:rFonts w:hint="eastAsia" w:ascii="Times New Roman" w:hAnsi="Times New Roman" w:eastAsia="宋体" w:cs="Times New Roman"/>
                      <w:b/>
                      <w:i w:val="0"/>
                    </w:rPr>
                    <w:t>贡献值</w:t>
                  </w:r>
                </w:p>
              </w:tc>
              <w:tc>
                <w:tcPr>
                  <w:tcW w:w="989" w:type="pct"/>
                  <w:vAlign w:val="center"/>
                </w:tcPr>
                <w:p w14:paraId="5C1F704C">
                  <w:pPr>
                    <w:pStyle w:val="149"/>
                    <w:rPr>
                      <w:rFonts w:hint="default" w:ascii="Times New Roman" w:hAnsi="Times New Roman" w:eastAsia="宋体" w:cs="Times New Roman"/>
                      <w:b/>
                      <w:i w:val="0"/>
                    </w:rPr>
                  </w:pPr>
                  <w:r>
                    <w:rPr>
                      <w:rFonts w:hint="eastAsia" w:ascii="Times New Roman" w:hAnsi="Times New Roman" w:eastAsia="宋体" w:cs="Times New Roman"/>
                      <w:b/>
                      <w:i w:val="0"/>
                    </w:rPr>
                    <w:t>标准</w:t>
                  </w:r>
                </w:p>
              </w:tc>
              <w:tc>
                <w:tcPr>
                  <w:tcW w:w="957" w:type="pct"/>
                  <w:vAlign w:val="center"/>
                </w:tcPr>
                <w:p w14:paraId="05B11B74">
                  <w:pPr>
                    <w:pStyle w:val="149"/>
                    <w:rPr>
                      <w:rFonts w:hint="default" w:ascii="Times New Roman" w:hAnsi="Times New Roman" w:eastAsia="宋体" w:cs="Times New Roman"/>
                      <w:b/>
                      <w:i w:val="0"/>
                    </w:rPr>
                  </w:pPr>
                  <w:r>
                    <w:rPr>
                      <w:rFonts w:hint="eastAsia" w:ascii="Times New Roman" w:hAnsi="Times New Roman" w:eastAsia="宋体" w:cs="Times New Roman"/>
                      <w:b/>
                      <w:i w:val="0"/>
                    </w:rPr>
                    <w:t>达标情况</w:t>
                  </w:r>
                </w:p>
              </w:tc>
            </w:tr>
            <w:tr w14:paraId="0D2B72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8" w:type="pct"/>
                  <w:vMerge w:val="restart"/>
                  <w:vAlign w:val="center"/>
                </w:tcPr>
                <w:p w14:paraId="1BBFAFA5">
                  <w:pPr>
                    <w:pStyle w:val="149"/>
                    <w:rPr>
                      <w:rFonts w:eastAsia="Times New Roman"/>
                    </w:rPr>
                  </w:pPr>
                  <w:r>
                    <w:rPr>
                      <w:rFonts w:hint="eastAsia" w:ascii="宋体" w:hAnsi="宋体" w:eastAsia="宋体" w:cs="宋体"/>
                    </w:rPr>
                    <w:t>东厂界</w:t>
                  </w:r>
                </w:p>
              </w:tc>
              <w:tc>
                <w:tcPr>
                  <w:tcW w:w="1018" w:type="pct"/>
                  <w:vAlign w:val="center"/>
                </w:tcPr>
                <w:p w14:paraId="568F8AB5">
                  <w:pPr>
                    <w:pStyle w:val="149"/>
                    <w:rPr>
                      <w:rFonts w:eastAsia="Times New Roman"/>
                    </w:rPr>
                  </w:pPr>
                  <w:r>
                    <w:rPr>
                      <w:rFonts w:hint="eastAsia" w:ascii="宋体" w:hAnsi="宋体" w:eastAsia="宋体" w:cs="宋体"/>
                    </w:rPr>
                    <w:t>昼间</w:t>
                  </w:r>
                </w:p>
              </w:tc>
              <w:tc>
                <w:tcPr>
                  <w:tcW w:w="1018" w:type="pct"/>
                  <w:vAlign w:val="center"/>
                </w:tcPr>
                <w:p w14:paraId="11571CD0">
                  <w:pPr>
                    <w:pStyle w:val="149"/>
                    <w:rPr>
                      <w:rFonts w:eastAsiaTheme="minorEastAsia"/>
                    </w:rPr>
                  </w:pPr>
                  <w:r>
                    <w:rPr>
                      <w:rFonts w:eastAsiaTheme="minorEastAsia"/>
                    </w:rPr>
                    <w:t>36.25</w:t>
                  </w:r>
                </w:p>
              </w:tc>
              <w:tc>
                <w:tcPr>
                  <w:tcW w:w="989" w:type="pct"/>
                  <w:vAlign w:val="center"/>
                </w:tcPr>
                <w:p w14:paraId="2AE68460">
                  <w:pPr>
                    <w:pStyle w:val="149"/>
                    <w:rPr>
                      <w:rFonts w:eastAsiaTheme="minorEastAsia"/>
                    </w:rPr>
                  </w:pPr>
                  <w:r>
                    <w:rPr>
                      <w:rFonts w:hint="eastAsia" w:eastAsiaTheme="minorEastAsia"/>
                    </w:rPr>
                    <w:t>6</w:t>
                  </w:r>
                  <w:r>
                    <w:rPr>
                      <w:rFonts w:eastAsiaTheme="minorEastAsia"/>
                    </w:rPr>
                    <w:t>5</w:t>
                  </w:r>
                </w:p>
              </w:tc>
              <w:tc>
                <w:tcPr>
                  <w:tcW w:w="957" w:type="pct"/>
                  <w:vAlign w:val="center"/>
                </w:tcPr>
                <w:p w14:paraId="546963F4">
                  <w:pPr>
                    <w:pStyle w:val="149"/>
                    <w:rPr>
                      <w:rFonts w:eastAsia="Times New Roman"/>
                    </w:rPr>
                  </w:pPr>
                  <w:r>
                    <w:rPr>
                      <w:rFonts w:hint="eastAsia" w:ascii="宋体" w:hAnsi="宋体" w:eastAsia="宋体" w:cs="宋体"/>
                    </w:rPr>
                    <w:t>达标</w:t>
                  </w:r>
                </w:p>
              </w:tc>
            </w:tr>
            <w:tr w14:paraId="179F68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8" w:type="pct"/>
                  <w:vMerge w:val="continue"/>
                  <w:vAlign w:val="center"/>
                </w:tcPr>
                <w:p w14:paraId="113178F1">
                  <w:pPr>
                    <w:pStyle w:val="149"/>
                    <w:rPr>
                      <w:rFonts w:eastAsia="宋体"/>
                    </w:rPr>
                  </w:pPr>
                </w:p>
              </w:tc>
              <w:tc>
                <w:tcPr>
                  <w:tcW w:w="1018" w:type="pct"/>
                  <w:vAlign w:val="center"/>
                </w:tcPr>
                <w:p w14:paraId="28AB0524">
                  <w:pPr>
                    <w:pStyle w:val="149"/>
                    <w:rPr>
                      <w:rFonts w:eastAsia="Times New Roman"/>
                    </w:rPr>
                  </w:pPr>
                  <w:r>
                    <w:rPr>
                      <w:rFonts w:hint="eastAsia" w:ascii="宋体" w:hAnsi="宋体" w:eastAsia="宋体" w:cs="宋体"/>
                    </w:rPr>
                    <w:t>夜间</w:t>
                  </w:r>
                </w:p>
              </w:tc>
              <w:tc>
                <w:tcPr>
                  <w:tcW w:w="1018" w:type="pct"/>
                  <w:vAlign w:val="center"/>
                </w:tcPr>
                <w:p w14:paraId="12CD8944">
                  <w:pPr>
                    <w:pStyle w:val="149"/>
                    <w:rPr>
                      <w:rFonts w:eastAsia="Times New Roman"/>
                    </w:rPr>
                  </w:pPr>
                  <w:r>
                    <w:rPr>
                      <w:rFonts w:eastAsiaTheme="minorEastAsia"/>
                    </w:rPr>
                    <w:t>36.25</w:t>
                  </w:r>
                </w:p>
              </w:tc>
              <w:tc>
                <w:tcPr>
                  <w:tcW w:w="989" w:type="pct"/>
                  <w:vAlign w:val="center"/>
                </w:tcPr>
                <w:p w14:paraId="1D7D2588">
                  <w:pPr>
                    <w:pStyle w:val="149"/>
                    <w:rPr>
                      <w:rFonts w:eastAsiaTheme="minorEastAsia"/>
                    </w:rPr>
                  </w:pPr>
                  <w:r>
                    <w:rPr>
                      <w:rFonts w:hint="eastAsia" w:eastAsiaTheme="minorEastAsia"/>
                    </w:rPr>
                    <w:t>5</w:t>
                  </w:r>
                  <w:r>
                    <w:rPr>
                      <w:rFonts w:eastAsiaTheme="minorEastAsia"/>
                    </w:rPr>
                    <w:t>5</w:t>
                  </w:r>
                </w:p>
              </w:tc>
              <w:tc>
                <w:tcPr>
                  <w:tcW w:w="957" w:type="pct"/>
                  <w:vAlign w:val="center"/>
                </w:tcPr>
                <w:p w14:paraId="4130E787">
                  <w:pPr>
                    <w:pStyle w:val="149"/>
                    <w:rPr>
                      <w:rFonts w:eastAsia="Times New Roman"/>
                    </w:rPr>
                  </w:pPr>
                  <w:r>
                    <w:rPr>
                      <w:rFonts w:hint="eastAsia" w:ascii="宋体" w:hAnsi="宋体" w:eastAsia="宋体" w:cs="宋体"/>
                    </w:rPr>
                    <w:t>达标</w:t>
                  </w:r>
                </w:p>
              </w:tc>
            </w:tr>
            <w:tr w14:paraId="779A02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8" w:type="pct"/>
                  <w:vMerge w:val="restart"/>
                  <w:vAlign w:val="center"/>
                </w:tcPr>
                <w:p w14:paraId="0DA224BF">
                  <w:pPr>
                    <w:pStyle w:val="149"/>
                    <w:rPr>
                      <w:rFonts w:eastAsia="Times New Roman"/>
                    </w:rPr>
                  </w:pPr>
                  <w:r>
                    <w:rPr>
                      <w:rFonts w:hint="eastAsia" w:ascii="宋体" w:hAnsi="宋体" w:eastAsia="宋体" w:cs="宋体"/>
                    </w:rPr>
                    <w:t>南厂界</w:t>
                  </w:r>
                </w:p>
              </w:tc>
              <w:tc>
                <w:tcPr>
                  <w:tcW w:w="1018" w:type="pct"/>
                  <w:vAlign w:val="center"/>
                </w:tcPr>
                <w:p w14:paraId="35B3E8B6">
                  <w:pPr>
                    <w:pStyle w:val="149"/>
                    <w:rPr>
                      <w:rFonts w:eastAsia="Times New Roman"/>
                    </w:rPr>
                  </w:pPr>
                  <w:r>
                    <w:rPr>
                      <w:rFonts w:hint="eastAsia" w:ascii="宋体" w:hAnsi="宋体" w:eastAsia="宋体" w:cs="宋体"/>
                    </w:rPr>
                    <w:t>昼间</w:t>
                  </w:r>
                </w:p>
              </w:tc>
              <w:tc>
                <w:tcPr>
                  <w:tcW w:w="1018" w:type="pct"/>
                  <w:vAlign w:val="center"/>
                </w:tcPr>
                <w:p w14:paraId="1EB3DD57">
                  <w:pPr>
                    <w:pStyle w:val="149"/>
                    <w:rPr>
                      <w:rFonts w:eastAsiaTheme="minorEastAsia"/>
                    </w:rPr>
                  </w:pPr>
                  <w:r>
                    <w:rPr>
                      <w:rFonts w:hint="eastAsia" w:eastAsiaTheme="minorEastAsia"/>
                    </w:rPr>
                    <w:t>3</w:t>
                  </w:r>
                  <w:r>
                    <w:rPr>
                      <w:rFonts w:eastAsiaTheme="minorEastAsia"/>
                    </w:rPr>
                    <w:t>6.97</w:t>
                  </w:r>
                </w:p>
              </w:tc>
              <w:tc>
                <w:tcPr>
                  <w:tcW w:w="989" w:type="pct"/>
                  <w:vAlign w:val="center"/>
                </w:tcPr>
                <w:p w14:paraId="3528CE02">
                  <w:pPr>
                    <w:pStyle w:val="149"/>
                    <w:rPr>
                      <w:rFonts w:eastAsia="Times New Roman"/>
                    </w:rPr>
                  </w:pPr>
                  <w:r>
                    <w:rPr>
                      <w:rFonts w:hint="eastAsia" w:eastAsiaTheme="minorEastAsia"/>
                    </w:rPr>
                    <w:t>6</w:t>
                  </w:r>
                  <w:r>
                    <w:rPr>
                      <w:rFonts w:eastAsiaTheme="minorEastAsia"/>
                    </w:rPr>
                    <w:t>5</w:t>
                  </w:r>
                </w:p>
              </w:tc>
              <w:tc>
                <w:tcPr>
                  <w:tcW w:w="957" w:type="pct"/>
                  <w:vAlign w:val="center"/>
                </w:tcPr>
                <w:p w14:paraId="043A983D">
                  <w:pPr>
                    <w:pStyle w:val="149"/>
                    <w:rPr>
                      <w:rFonts w:eastAsia="Times New Roman"/>
                    </w:rPr>
                  </w:pPr>
                  <w:r>
                    <w:rPr>
                      <w:rFonts w:hint="eastAsia" w:ascii="宋体" w:hAnsi="宋体" w:eastAsia="宋体" w:cs="宋体"/>
                    </w:rPr>
                    <w:t>达标</w:t>
                  </w:r>
                </w:p>
              </w:tc>
            </w:tr>
            <w:tr w14:paraId="66ADC9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8" w:type="pct"/>
                  <w:vMerge w:val="continue"/>
                  <w:vAlign w:val="center"/>
                </w:tcPr>
                <w:p w14:paraId="4FB376EA">
                  <w:pPr>
                    <w:pStyle w:val="149"/>
                    <w:rPr>
                      <w:rFonts w:eastAsia="宋体"/>
                    </w:rPr>
                  </w:pPr>
                </w:p>
              </w:tc>
              <w:tc>
                <w:tcPr>
                  <w:tcW w:w="1018" w:type="pct"/>
                  <w:vAlign w:val="center"/>
                </w:tcPr>
                <w:p w14:paraId="3E3DD70B">
                  <w:pPr>
                    <w:pStyle w:val="149"/>
                    <w:rPr>
                      <w:rFonts w:eastAsia="Times New Roman"/>
                    </w:rPr>
                  </w:pPr>
                  <w:r>
                    <w:rPr>
                      <w:rFonts w:hint="eastAsia" w:ascii="宋体" w:hAnsi="宋体" w:eastAsia="宋体" w:cs="宋体"/>
                    </w:rPr>
                    <w:t>夜间</w:t>
                  </w:r>
                </w:p>
              </w:tc>
              <w:tc>
                <w:tcPr>
                  <w:tcW w:w="1018" w:type="pct"/>
                  <w:vAlign w:val="center"/>
                </w:tcPr>
                <w:p w14:paraId="39C78C80">
                  <w:pPr>
                    <w:pStyle w:val="149"/>
                    <w:rPr>
                      <w:rFonts w:eastAsia="Times New Roman"/>
                    </w:rPr>
                  </w:pPr>
                  <w:r>
                    <w:rPr>
                      <w:rFonts w:hint="eastAsia" w:eastAsiaTheme="minorEastAsia"/>
                    </w:rPr>
                    <w:t>3</w:t>
                  </w:r>
                  <w:r>
                    <w:rPr>
                      <w:rFonts w:eastAsiaTheme="minorEastAsia"/>
                    </w:rPr>
                    <w:t>6.97</w:t>
                  </w:r>
                </w:p>
              </w:tc>
              <w:tc>
                <w:tcPr>
                  <w:tcW w:w="989" w:type="pct"/>
                  <w:vAlign w:val="center"/>
                </w:tcPr>
                <w:p w14:paraId="0484CF96">
                  <w:pPr>
                    <w:pStyle w:val="149"/>
                    <w:rPr>
                      <w:rFonts w:eastAsia="Times New Roman"/>
                    </w:rPr>
                  </w:pPr>
                  <w:r>
                    <w:rPr>
                      <w:rFonts w:hint="eastAsia" w:eastAsiaTheme="minorEastAsia"/>
                    </w:rPr>
                    <w:t>5</w:t>
                  </w:r>
                  <w:r>
                    <w:rPr>
                      <w:rFonts w:eastAsiaTheme="minorEastAsia"/>
                    </w:rPr>
                    <w:t>5</w:t>
                  </w:r>
                </w:p>
              </w:tc>
              <w:tc>
                <w:tcPr>
                  <w:tcW w:w="957" w:type="pct"/>
                  <w:vAlign w:val="center"/>
                </w:tcPr>
                <w:p w14:paraId="75C88123">
                  <w:pPr>
                    <w:pStyle w:val="149"/>
                    <w:rPr>
                      <w:rFonts w:eastAsia="Times New Roman"/>
                    </w:rPr>
                  </w:pPr>
                  <w:r>
                    <w:rPr>
                      <w:rFonts w:hint="eastAsia" w:ascii="宋体" w:hAnsi="宋体" w:eastAsia="宋体" w:cs="宋体"/>
                    </w:rPr>
                    <w:t>达标</w:t>
                  </w:r>
                </w:p>
              </w:tc>
            </w:tr>
            <w:tr w14:paraId="7CC6D1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8" w:type="pct"/>
                  <w:vMerge w:val="restart"/>
                  <w:vAlign w:val="center"/>
                </w:tcPr>
                <w:p w14:paraId="75341F23">
                  <w:pPr>
                    <w:pStyle w:val="149"/>
                    <w:rPr>
                      <w:rFonts w:eastAsia="Times New Roman"/>
                    </w:rPr>
                  </w:pPr>
                  <w:r>
                    <w:rPr>
                      <w:rFonts w:hint="eastAsia" w:ascii="宋体" w:hAnsi="宋体" w:eastAsia="宋体" w:cs="宋体"/>
                    </w:rPr>
                    <w:t>西厂界</w:t>
                  </w:r>
                </w:p>
              </w:tc>
              <w:tc>
                <w:tcPr>
                  <w:tcW w:w="1018" w:type="pct"/>
                  <w:vAlign w:val="center"/>
                </w:tcPr>
                <w:p w14:paraId="1ECF2CB2">
                  <w:pPr>
                    <w:pStyle w:val="149"/>
                    <w:rPr>
                      <w:rFonts w:eastAsia="Times New Roman"/>
                    </w:rPr>
                  </w:pPr>
                  <w:r>
                    <w:rPr>
                      <w:rFonts w:hint="eastAsia" w:ascii="宋体" w:hAnsi="宋体" w:eastAsia="宋体" w:cs="宋体"/>
                    </w:rPr>
                    <w:t>昼间</w:t>
                  </w:r>
                </w:p>
              </w:tc>
              <w:tc>
                <w:tcPr>
                  <w:tcW w:w="1018" w:type="pct"/>
                  <w:vAlign w:val="center"/>
                </w:tcPr>
                <w:p w14:paraId="2DD5F1D1">
                  <w:pPr>
                    <w:pStyle w:val="149"/>
                    <w:rPr>
                      <w:rFonts w:eastAsiaTheme="minorEastAsia"/>
                    </w:rPr>
                  </w:pPr>
                  <w:r>
                    <w:rPr>
                      <w:rFonts w:hint="eastAsia" w:eastAsiaTheme="minorEastAsia"/>
                    </w:rPr>
                    <w:t>3</w:t>
                  </w:r>
                  <w:r>
                    <w:rPr>
                      <w:rFonts w:eastAsiaTheme="minorEastAsia"/>
                    </w:rPr>
                    <w:t>0.88</w:t>
                  </w:r>
                </w:p>
              </w:tc>
              <w:tc>
                <w:tcPr>
                  <w:tcW w:w="989" w:type="pct"/>
                  <w:vAlign w:val="center"/>
                </w:tcPr>
                <w:p w14:paraId="47F65F13">
                  <w:pPr>
                    <w:pStyle w:val="149"/>
                    <w:rPr>
                      <w:rFonts w:eastAsia="Times New Roman"/>
                    </w:rPr>
                  </w:pPr>
                  <w:r>
                    <w:rPr>
                      <w:rFonts w:hint="eastAsia" w:eastAsiaTheme="minorEastAsia"/>
                    </w:rPr>
                    <w:t>6</w:t>
                  </w:r>
                  <w:r>
                    <w:rPr>
                      <w:rFonts w:eastAsiaTheme="minorEastAsia"/>
                    </w:rPr>
                    <w:t>5</w:t>
                  </w:r>
                </w:p>
              </w:tc>
              <w:tc>
                <w:tcPr>
                  <w:tcW w:w="957" w:type="pct"/>
                  <w:vAlign w:val="center"/>
                </w:tcPr>
                <w:p w14:paraId="6BA684A1">
                  <w:pPr>
                    <w:pStyle w:val="149"/>
                    <w:rPr>
                      <w:rFonts w:eastAsia="Times New Roman"/>
                    </w:rPr>
                  </w:pPr>
                  <w:r>
                    <w:rPr>
                      <w:rFonts w:hint="eastAsia" w:ascii="宋体" w:hAnsi="宋体" w:eastAsia="宋体" w:cs="宋体"/>
                    </w:rPr>
                    <w:t>达标</w:t>
                  </w:r>
                </w:p>
              </w:tc>
            </w:tr>
            <w:tr w14:paraId="76B710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8" w:type="pct"/>
                  <w:vMerge w:val="continue"/>
                  <w:vAlign w:val="center"/>
                </w:tcPr>
                <w:p w14:paraId="483AB5DD">
                  <w:pPr>
                    <w:pStyle w:val="149"/>
                    <w:rPr>
                      <w:rFonts w:eastAsia="宋体"/>
                    </w:rPr>
                  </w:pPr>
                </w:p>
              </w:tc>
              <w:tc>
                <w:tcPr>
                  <w:tcW w:w="1018" w:type="pct"/>
                  <w:vAlign w:val="center"/>
                </w:tcPr>
                <w:p w14:paraId="5649F685">
                  <w:pPr>
                    <w:pStyle w:val="149"/>
                    <w:rPr>
                      <w:rFonts w:eastAsia="Times New Roman"/>
                    </w:rPr>
                  </w:pPr>
                  <w:r>
                    <w:rPr>
                      <w:rFonts w:hint="eastAsia" w:ascii="宋体" w:hAnsi="宋体" w:eastAsia="宋体" w:cs="宋体"/>
                    </w:rPr>
                    <w:t>夜间</w:t>
                  </w:r>
                </w:p>
              </w:tc>
              <w:tc>
                <w:tcPr>
                  <w:tcW w:w="1018" w:type="pct"/>
                  <w:vAlign w:val="center"/>
                </w:tcPr>
                <w:p w14:paraId="11CC94EE">
                  <w:pPr>
                    <w:pStyle w:val="149"/>
                    <w:rPr>
                      <w:rFonts w:eastAsia="Times New Roman"/>
                    </w:rPr>
                  </w:pPr>
                  <w:r>
                    <w:rPr>
                      <w:rFonts w:hint="eastAsia" w:eastAsiaTheme="minorEastAsia"/>
                    </w:rPr>
                    <w:t>3</w:t>
                  </w:r>
                  <w:r>
                    <w:rPr>
                      <w:rFonts w:eastAsiaTheme="minorEastAsia"/>
                    </w:rPr>
                    <w:t>0.88</w:t>
                  </w:r>
                </w:p>
              </w:tc>
              <w:tc>
                <w:tcPr>
                  <w:tcW w:w="989" w:type="pct"/>
                  <w:vAlign w:val="center"/>
                </w:tcPr>
                <w:p w14:paraId="345A5FA9">
                  <w:pPr>
                    <w:pStyle w:val="149"/>
                    <w:rPr>
                      <w:rFonts w:eastAsia="Times New Roman"/>
                    </w:rPr>
                  </w:pPr>
                  <w:r>
                    <w:rPr>
                      <w:rFonts w:hint="eastAsia" w:eastAsiaTheme="minorEastAsia"/>
                    </w:rPr>
                    <w:t>5</w:t>
                  </w:r>
                  <w:r>
                    <w:rPr>
                      <w:rFonts w:eastAsiaTheme="minorEastAsia"/>
                    </w:rPr>
                    <w:t>5</w:t>
                  </w:r>
                </w:p>
              </w:tc>
              <w:tc>
                <w:tcPr>
                  <w:tcW w:w="957" w:type="pct"/>
                  <w:vAlign w:val="center"/>
                </w:tcPr>
                <w:p w14:paraId="7446C82B">
                  <w:pPr>
                    <w:pStyle w:val="149"/>
                    <w:rPr>
                      <w:rFonts w:eastAsia="Times New Roman"/>
                    </w:rPr>
                  </w:pPr>
                  <w:r>
                    <w:rPr>
                      <w:rFonts w:hint="eastAsia" w:ascii="宋体" w:hAnsi="宋体" w:eastAsia="宋体" w:cs="宋体"/>
                    </w:rPr>
                    <w:t>达标</w:t>
                  </w:r>
                </w:p>
              </w:tc>
            </w:tr>
            <w:tr w14:paraId="6FCFCA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8" w:type="pct"/>
                  <w:vMerge w:val="restart"/>
                  <w:vAlign w:val="center"/>
                </w:tcPr>
                <w:p w14:paraId="59EAF4AC">
                  <w:pPr>
                    <w:pStyle w:val="149"/>
                    <w:rPr>
                      <w:rFonts w:eastAsia="Times New Roman"/>
                    </w:rPr>
                  </w:pPr>
                  <w:r>
                    <w:rPr>
                      <w:rFonts w:hint="eastAsia" w:ascii="宋体" w:hAnsi="宋体" w:eastAsia="宋体" w:cs="宋体"/>
                    </w:rPr>
                    <w:t>北厂界</w:t>
                  </w:r>
                </w:p>
              </w:tc>
              <w:tc>
                <w:tcPr>
                  <w:tcW w:w="1018" w:type="pct"/>
                  <w:vAlign w:val="center"/>
                </w:tcPr>
                <w:p w14:paraId="45C27F9C">
                  <w:pPr>
                    <w:pStyle w:val="149"/>
                    <w:rPr>
                      <w:rFonts w:eastAsia="Times New Roman"/>
                    </w:rPr>
                  </w:pPr>
                  <w:r>
                    <w:rPr>
                      <w:rFonts w:hint="eastAsia" w:ascii="宋体" w:hAnsi="宋体" w:eastAsia="宋体" w:cs="宋体"/>
                    </w:rPr>
                    <w:t>昼间</w:t>
                  </w:r>
                </w:p>
              </w:tc>
              <w:tc>
                <w:tcPr>
                  <w:tcW w:w="1018" w:type="pct"/>
                  <w:vAlign w:val="center"/>
                </w:tcPr>
                <w:p w14:paraId="75353BB6">
                  <w:pPr>
                    <w:pStyle w:val="149"/>
                    <w:rPr>
                      <w:rFonts w:eastAsia="Times New Roman"/>
                    </w:rPr>
                  </w:pPr>
                  <w:r>
                    <w:rPr>
                      <w:rFonts w:eastAsiaTheme="minorEastAsia"/>
                    </w:rPr>
                    <w:t>36.05</w:t>
                  </w:r>
                </w:p>
              </w:tc>
              <w:tc>
                <w:tcPr>
                  <w:tcW w:w="989" w:type="pct"/>
                  <w:vAlign w:val="center"/>
                </w:tcPr>
                <w:p w14:paraId="11DD2EE5">
                  <w:pPr>
                    <w:pStyle w:val="149"/>
                    <w:rPr>
                      <w:rFonts w:eastAsia="Times New Roman"/>
                    </w:rPr>
                  </w:pPr>
                  <w:r>
                    <w:rPr>
                      <w:rFonts w:hint="eastAsia" w:eastAsiaTheme="minorEastAsia"/>
                    </w:rPr>
                    <w:t>6</w:t>
                  </w:r>
                  <w:r>
                    <w:rPr>
                      <w:rFonts w:eastAsiaTheme="minorEastAsia"/>
                    </w:rPr>
                    <w:t>5</w:t>
                  </w:r>
                </w:p>
              </w:tc>
              <w:tc>
                <w:tcPr>
                  <w:tcW w:w="957" w:type="pct"/>
                  <w:vAlign w:val="center"/>
                </w:tcPr>
                <w:p w14:paraId="65E4A827">
                  <w:pPr>
                    <w:pStyle w:val="149"/>
                    <w:rPr>
                      <w:rFonts w:eastAsia="Times New Roman"/>
                    </w:rPr>
                  </w:pPr>
                  <w:r>
                    <w:rPr>
                      <w:rFonts w:hint="eastAsia" w:ascii="宋体" w:hAnsi="宋体" w:eastAsia="宋体" w:cs="宋体"/>
                    </w:rPr>
                    <w:t>达标</w:t>
                  </w:r>
                </w:p>
              </w:tc>
            </w:tr>
            <w:tr w14:paraId="6F3EC0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8" w:type="pct"/>
                  <w:vMerge w:val="continue"/>
                  <w:vAlign w:val="center"/>
                </w:tcPr>
                <w:p w14:paraId="1D772EC7">
                  <w:pPr>
                    <w:pStyle w:val="149"/>
                    <w:rPr>
                      <w:rFonts w:eastAsia="宋体"/>
                    </w:rPr>
                  </w:pPr>
                </w:p>
              </w:tc>
              <w:tc>
                <w:tcPr>
                  <w:tcW w:w="1018" w:type="pct"/>
                  <w:vAlign w:val="center"/>
                </w:tcPr>
                <w:p w14:paraId="7A6922D6">
                  <w:pPr>
                    <w:pStyle w:val="149"/>
                    <w:rPr>
                      <w:rFonts w:eastAsia="Times New Roman"/>
                    </w:rPr>
                  </w:pPr>
                  <w:r>
                    <w:rPr>
                      <w:rFonts w:hint="eastAsia" w:ascii="宋体" w:hAnsi="宋体" w:eastAsia="宋体" w:cs="宋体"/>
                    </w:rPr>
                    <w:t>夜间</w:t>
                  </w:r>
                </w:p>
              </w:tc>
              <w:tc>
                <w:tcPr>
                  <w:tcW w:w="1018" w:type="pct"/>
                  <w:vAlign w:val="center"/>
                </w:tcPr>
                <w:p w14:paraId="4524ED33">
                  <w:pPr>
                    <w:pStyle w:val="149"/>
                    <w:rPr>
                      <w:rFonts w:eastAsia="Times New Roman"/>
                    </w:rPr>
                  </w:pPr>
                  <w:r>
                    <w:rPr>
                      <w:rFonts w:eastAsiaTheme="minorEastAsia"/>
                    </w:rPr>
                    <w:t>36.05</w:t>
                  </w:r>
                </w:p>
              </w:tc>
              <w:tc>
                <w:tcPr>
                  <w:tcW w:w="989" w:type="pct"/>
                  <w:vAlign w:val="center"/>
                </w:tcPr>
                <w:p w14:paraId="09229CBB">
                  <w:pPr>
                    <w:pStyle w:val="149"/>
                    <w:rPr>
                      <w:rFonts w:eastAsia="Times New Roman"/>
                    </w:rPr>
                  </w:pPr>
                  <w:r>
                    <w:rPr>
                      <w:rFonts w:hint="eastAsia" w:eastAsiaTheme="minorEastAsia"/>
                    </w:rPr>
                    <w:t>5</w:t>
                  </w:r>
                  <w:r>
                    <w:rPr>
                      <w:rFonts w:eastAsiaTheme="minorEastAsia"/>
                    </w:rPr>
                    <w:t>5</w:t>
                  </w:r>
                </w:p>
              </w:tc>
              <w:tc>
                <w:tcPr>
                  <w:tcW w:w="957" w:type="pct"/>
                  <w:vAlign w:val="center"/>
                </w:tcPr>
                <w:p w14:paraId="02B3A636">
                  <w:pPr>
                    <w:pStyle w:val="149"/>
                    <w:rPr>
                      <w:rFonts w:eastAsia="Times New Roman"/>
                    </w:rPr>
                  </w:pPr>
                  <w:r>
                    <w:rPr>
                      <w:rFonts w:hint="eastAsia" w:ascii="宋体" w:hAnsi="宋体" w:eastAsia="宋体" w:cs="宋体"/>
                    </w:rPr>
                    <w:t>达标</w:t>
                  </w:r>
                </w:p>
              </w:tc>
            </w:tr>
          </w:tbl>
          <w:p w14:paraId="6EBF9A32">
            <w:pPr>
              <w:pStyle w:val="2"/>
              <w:spacing w:before="0" w:after="0" w:line="360" w:lineRule="auto"/>
              <w:ind w:left="0" w:firstLine="482" w:firstLineChars="200"/>
              <w:rPr>
                <w:rFonts w:eastAsia="宋体"/>
                <w:color w:val="auto"/>
                <w:sz w:val="24"/>
                <w:szCs w:val="24"/>
              </w:rPr>
            </w:pPr>
            <w:r>
              <w:rPr>
                <w:rFonts w:hint="eastAsia" w:eastAsia="宋体"/>
                <w:color w:val="auto"/>
                <w:sz w:val="24"/>
                <w:szCs w:val="24"/>
              </w:rPr>
              <w:t>（</w:t>
            </w:r>
            <w:r>
              <w:rPr>
                <w:rFonts w:eastAsia="宋体"/>
                <w:color w:val="auto"/>
                <w:sz w:val="24"/>
                <w:szCs w:val="24"/>
              </w:rPr>
              <w:t>3</w:t>
            </w:r>
            <w:r>
              <w:rPr>
                <w:rFonts w:ascii="宋体" w:hAnsi="宋体" w:eastAsia="宋体"/>
                <w:color w:val="auto"/>
                <w:sz w:val="24"/>
                <w:szCs w:val="24"/>
              </w:rPr>
              <w:t>）</w:t>
            </w:r>
            <w:r>
              <w:rPr>
                <w:rFonts w:hint="eastAsia" w:ascii="宋体" w:hAnsi="宋体" w:eastAsia="宋体"/>
                <w:color w:val="auto"/>
                <w:sz w:val="24"/>
                <w:szCs w:val="24"/>
              </w:rPr>
              <w:t>影响分析</w:t>
            </w:r>
          </w:p>
          <w:p w14:paraId="1E0E4282">
            <w:pPr>
              <w:pStyle w:val="29"/>
            </w:pPr>
            <w:r>
              <w:rPr>
                <w:rFonts w:hint="eastAsia"/>
              </w:rPr>
              <w:t>根据预测结果，变压器噪声影响范围较小</w:t>
            </w:r>
            <w:r>
              <w:rPr>
                <w:rFonts w:hint="eastAsia"/>
                <w:szCs w:val="21"/>
              </w:rPr>
              <w:t>，</w:t>
            </w:r>
            <w:r>
              <w:rPr>
                <w:rFonts w:hint="eastAsia"/>
              </w:rPr>
              <w:t>厂界昼夜均可达标排放。满足《工业企业厂界环境噪声排放标准》（</w:t>
            </w:r>
            <w:r>
              <w:t>GB12348-2008</w:t>
            </w:r>
            <w:r>
              <w:rPr>
                <w:rFonts w:hint="eastAsia"/>
              </w:rPr>
              <w:t>）中</w:t>
            </w:r>
            <w:r>
              <w:t>3</w:t>
            </w:r>
            <w:r>
              <w:rPr>
                <w:rFonts w:hint="eastAsia"/>
              </w:rPr>
              <w:t>类标准的要求，项目噪声对环境影响较小。</w:t>
            </w:r>
          </w:p>
          <w:p w14:paraId="3B23DAB9">
            <w:pPr>
              <w:spacing w:line="360" w:lineRule="auto"/>
              <w:ind w:firstLine="482" w:firstLineChars="200"/>
              <w:rPr>
                <w:b/>
                <w:bCs/>
                <w:sz w:val="24"/>
              </w:rPr>
            </w:pPr>
            <w:r>
              <w:rPr>
                <w:rFonts w:hint="eastAsia"/>
                <w:b/>
                <w:bCs/>
                <w:sz w:val="24"/>
              </w:rPr>
              <w:t>4、水环境影响分析</w:t>
            </w:r>
          </w:p>
          <w:p w14:paraId="2A53406D">
            <w:pPr>
              <w:spacing w:line="360" w:lineRule="auto"/>
              <w:ind w:firstLine="482" w:firstLineChars="200"/>
              <w:rPr>
                <w:b/>
                <w:bCs/>
                <w:sz w:val="24"/>
              </w:rPr>
            </w:pPr>
            <w:r>
              <w:rPr>
                <w:rFonts w:hint="eastAsia"/>
                <w:b/>
                <w:bCs/>
                <w:sz w:val="24"/>
              </w:rPr>
              <w:t>（1）生活污水源强</w:t>
            </w:r>
          </w:p>
          <w:p w14:paraId="47947902">
            <w:pPr>
              <w:spacing w:line="360" w:lineRule="auto"/>
              <w:ind w:firstLine="480" w:firstLineChars="200"/>
              <w:rPr>
                <w:sz w:val="24"/>
              </w:rPr>
            </w:pPr>
            <w:r>
              <w:rPr>
                <w:rFonts w:hint="eastAsia"/>
                <w:sz w:val="24"/>
              </w:rPr>
              <w:t>项目设置</w:t>
            </w:r>
            <w:r>
              <w:rPr>
                <w:sz w:val="24"/>
              </w:rPr>
              <w:t>10</w:t>
            </w:r>
            <w:r>
              <w:rPr>
                <w:rFonts w:hint="eastAsia"/>
                <w:sz w:val="24"/>
              </w:rPr>
              <w:t>个值守人员常驻站内。根据广东省《用水定额第</w:t>
            </w:r>
            <w:r>
              <w:rPr>
                <w:sz w:val="24"/>
              </w:rPr>
              <w:t>3</w:t>
            </w:r>
            <w:r>
              <w:rPr>
                <w:rFonts w:hint="eastAsia"/>
                <w:sz w:val="24"/>
              </w:rPr>
              <w:t>部分：生活》（</w:t>
            </w:r>
            <w:r>
              <w:rPr>
                <w:sz w:val="24"/>
              </w:rPr>
              <w:t>DB44/T1461.3-2021</w:t>
            </w:r>
            <w:r>
              <w:rPr>
                <w:rFonts w:hint="eastAsia"/>
                <w:sz w:val="24"/>
              </w:rPr>
              <w:t>），办公楼无食堂和浴室生活用水定额按先进值</w:t>
            </w:r>
            <w:r>
              <w:rPr>
                <w:sz w:val="24"/>
              </w:rPr>
              <w:t>10m</w:t>
            </w:r>
            <w:r>
              <w:rPr>
                <w:sz w:val="24"/>
                <w:vertAlign w:val="superscript"/>
              </w:rPr>
              <w:t>3</w:t>
            </w:r>
            <w:r>
              <w:rPr>
                <w:sz w:val="24"/>
              </w:rPr>
              <w:t>/</w:t>
            </w:r>
            <w:r>
              <w:rPr>
                <w:rFonts w:hint="eastAsia"/>
                <w:sz w:val="24"/>
              </w:rPr>
              <w:t>人</w:t>
            </w:r>
            <w:r>
              <w:rPr>
                <w:sz w:val="24"/>
              </w:rPr>
              <w:t>·a</w:t>
            </w:r>
            <w:r>
              <w:rPr>
                <w:rFonts w:hint="eastAsia"/>
                <w:sz w:val="24"/>
              </w:rPr>
              <w:t>计算。员工办公生活用水量为</w:t>
            </w:r>
            <w:r>
              <w:rPr>
                <w:sz w:val="24"/>
              </w:rPr>
              <w:t>100m</w:t>
            </w:r>
            <w:r>
              <w:rPr>
                <w:sz w:val="24"/>
                <w:vertAlign w:val="superscript"/>
              </w:rPr>
              <w:t>3</w:t>
            </w:r>
            <w:r>
              <w:rPr>
                <w:sz w:val="24"/>
              </w:rPr>
              <w:t>/a</w:t>
            </w:r>
            <w:r>
              <w:rPr>
                <w:rFonts w:hint="eastAsia"/>
                <w:sz w:val="24"/>
              </w:rPr>
              <w:t>，排污系数取</w:t>
            </w:r>
            <w:r>
              <w:rPr>
                <w:sz w:val="24"/>
              </w:rPr>
              <w:t>0.8</w:t>
            </w:r>
            <w:r>
              <w:rPr>
                <w:rFonts w:hint="eastAsia"/>
                <w:sz w:val="24"/>
              </w:rPr>
              <w:t>，则生活污水产生量为</w:t>
            </w:r>
            <w:r>
              <w:rPr>
                <w:sz w:val="24"/>
              </w:rPr>
              <w:t>80m</w:t>
            </w:r>
            <w:r>
              <w:rPr>
                <w:sz w:val="24"/>
                <w:vertAlign w:val="superscript"/>
              </w:rPr>
              <w:t>3</w:t>
            </w:r>
            <w:r>
              <w:rPr>
                <w:sz w:val="24"/>
              </w:rPr>
              <w:t>/a</w:t>
            </w:r>
            <w:r>
              <w:rPr>
                <w:rFonts w:hint="eastAsia"/>
                <w:sz w:val="24"/>
              </w:rPr>
              <w:t>。</w:t>
            </w:r>
          </w:p>
          <w:p w14:paraId="798523C2">
            <w:pPr>
              <w:pStyle w:val="10"/>
            </w:pPr>
            <w:r>
              <w:rPr>
                <w:rFonts w:hint="eastAsia"/>
              </w:rPr>
              <w:t>生活污水主要污染物为</w:t>
            </w:r>
            <w:r>
              <w:t>CODcr</w:t>
            </w:r>
            <w:r>
              <w:rPr>
                <w:rFonts w:hint="eastAsia"/>
              </w:rPr>
              <w:t>、</w:t>
            </w:r>
            <w:r>
              <w:t>BOD</w:t>
            </w:r>
            <w:r>
              <w:rPr>
                <w:vertAlign w:val="subscript"/>
              </w:rPr>
              <w:t>5</w:t>
            </w:r>
            <w:r>
              <w:rPr>
                <w:rFonts w:hint="eastAsia"/>
              </w:rPr>
              <w:t>、</w:t>
            </w:r>
            <w:r>
              <w:t>SS</w:t>
            </w:r>
            <w:r>
              <w:rPr>
                <w:rFonts w:hint="eastAsia"/>
              </w:rPr>
              <w:t>、</w:t>
            </w:r>
            <w:r>
              <w:t>NH</w:t>
            </w:r>
            <w:r>
              <w:rPr>
                <w:vertAlign w:val="subscript"/>
              </w:rPr>
              <w:t>3</w:t>
            </w:r>
            <w:r>
              <w:t>-N</w:t>
            </w:r>
            <w:r>
              <w:rPr>
                <w:rFonts w:hint="eastAsia"/>
              </w:rPr>
              <w:t>等，本项目位于博罗县石湾镇大牛垒生活污水处理厂纳污范围内，项目生活污水经三级化粪池预处理，达到《广东省水污染物排放限值》（</w:t>
            </w:r>
            <w:r>
              <w:t>DB44/26-2001</w:t>
            </w:r>
            <w:r>
              <w:rPr>
                <w:rFonts w:hint="eastAsia"/>
              </w:rPr>
              <w:t>）第二时段三级标准后依托博罗县石湾镇大牛垒生活污水处理厂处理，氨氮、总磷达到《地表水环境质量标准》（</w:t>
            </w:r>
            <w:r>
              <w:t>GB3838-2002</w:t>
            </w:r>
            <w:r>
              <w:rPr>
                <w:rFonts w:hint="eastAsia"/>
              </w:rPr>
              <w:t>）Ⅴ类标准，其余指标达到《城镇污水处理厂污染物排放标准》</w:t>
            </w:r>
            <w:r>
              <w:t>(GB18918-2002)</w:t>
            </w:r>
            <w:r>
              <w:rPr>
                <w:rFonts w:hint="eastAsia"/>
              </w:rPr>
              <w:t>一级标准的</w:t>
            </w:r>
            <w:r>
              <w:t>A</w:t>
            </w:r>
            <w:r>
              <w:rPr>
                <w:rFonts w:hint="eastAsia"/>
              </w:rPr>
              <w:t>类标准以及广东省地方标准《水污染物排放限值》（</w:t>
            </w:r>
            <w:r>
              <w:t>DB44/26-2001</w:t>
            </w:r>
            <w:r>
              <w:rPr>
                <w:rFonts w:hint="eastAsia"/>
              </w:rPr>
              <w:t>）第二时段一级标准中的较严值后排入石湾镇中心排渠，接着汇入紧水河，最后汇入东江。</w:t>
            </w:r>
          </w:p>
          <w:p w14:paraId="3C23A158">
            <w:pPr>
              <w:pStyle w:val="58"/>
              <w:rPr>
                <w:sz w:val="24"/>
                <w:szCs w:val="24"/>
              </w:rPr>
            </w:pPr>
            <w:r>
              <w:rPr>
                <w:rFonts w:hint="eastAsia"/>
                <w:sz w:val="24"/>
                <w:szCs w:val="24"/>
              </w:rPr>
              <w:t>表</w:t>
            </w:r>
            <w:r>
              <w:rPr>
                <w:sz w:val="24"/>
                <w:szCs w:val="24"/>
              </w:rPr>
              <w:t>4-10</w:t>
            </w:r>
            <w:r>
              <w:rPr>
                <w:rFonts w:hint="eastAsia"/>
                <w:bCs/>
                <w:sz w:val="24"/>
                <w:szCs w:val="24"/>
              </w:rPr>
              <w:t>本项目生活污水主要污染物产排情况</w:t>
            </w:r>
          </w:p>
          <w:tbl>
            <w:tblPr>
              <w:tblStyle w:val="150"/>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4"/>
              <w:gridCol w:w="1319"/>
              <w:gridCol w:w="1413"/>
              <w:gridCol w:w="1561"/>
              <w:gridCol w:w="1375"/>
              <w:gridCol w:w="1508"/>
            </w:tblGrid>
            <w:tr w14:paraId="637F47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79" w:type="pct"/>
                  <w:vAlign w:val="center"/>
                </w:tcPr>
                <w:p w14:paraId="603B4132">
                  <w:pPr>
                    <w:pStyle w:val="144"/>
                    <w:jc w:val="center"/>
                    <w:rPr>
                      <w:rFonts w:hint="default" w:ascii="Times New Roman" w:hAnsi="Times New Roman" w:eastAsia="宋体" w:cs="Times New Roman"/>
                      <w:b/>
                      <w:i w:val="0"/>
                    </w:rPr>
                  </w:pPr>
                  <w:r>
                    <w:rPr>
                      <w:rFonts w:hint="eastAsia" w:ascii="Times New Roman" w:hAnsi="Times New Roman" w:eastAsia="宋体" w:cs="Times New Roman"/>
                      <w:b/>
                      <w:i w:val="0"/>
                    </w:rPr>
                    <w:t>废水及排放量</w:t>
                  </w:r>
                  <w:r>
                    <w:rPr>
                      <w:rFonts w:hint="default" w:ascii="Times New Roman" w:hAnsi="Times New Roman" w:eastAsia="宋体" w:cs="Times New Roman"/>
                      <w:b/>
                      <w:i w:val="0"/>
                    </w:rPr>
                    <w:t>t/a</w:t>
                  </w:r>
                </w:p>
              </w:tc>
              <w:tc>
                <w:tcPr>
                  <w:tcW w:w="776" w:type="pct"/>
                  <w:vAlign w:val="center"/>
                </w:tcPr>
                <w:p w14:paraId="75DDA96B">
                  <w:pPr>
                    <w:pStyle w:val="144"/>
                    <w:jc w:val="center"/>
                    <w:rPr>
                      <w:rFonts w:hint="default" w:ascii="Times New Roman" w:hAnsi="Times New Roman" w:eastAsia="宋体" w:cs="Times New Roman"/>
                      <w:b/>
                      <w:i w:val="0"/>
                    </w:rPr>
                  </w:pPr>
                  <w:r>
                    <w:rPr>
                      <w:rFonts w:hint="eastAsia" w:ascii="Times New Roman" w:hAnsi="Times New Roman" w:eastAsia="宋体" w:cs="Times New Roman"/>
                      <w:b/>
                      <w:i w:val="0"/>
                    </w:rPr>
                    <w:t>污染物</w:t>
                  </w:r>
                </w:p>
              </w:tc>
              <w:tc>
                <w:tcPr>
                  <w:tcW w:w="831" w:type="pct"/>
                  <w:vAlign w:val="center"/>
                </w:tcPr>
                <w:p w14:paraId="72F1E0DB">
                  <w:pPr>
                    <w:pStyle w:val="144"/>
                    <w:jc w:val="center"/>
                    <w:rPr>
                      <w:rFonts w:hint="default" w:ascii="Times New Roman" w:hAnsi="Times New Roman" w:eastAsia="宋体" w:cs="Times New Roman"/>
                      <w:b/>
                      <w:i w:val="0"/>
                    </w:rPr>
                  </w:pPr>
                  <w:r>
                    <w:rPr>
                      <w:rFonts w:hint="default" w:ascii="Times New Roman" w:hAnsi="Times New Roman" w:eastAsia="宋体" w:cs="Times New Roman"/>
                      <w:b/>
                      <w:i w:val="0"/>
                    </w:rPr>
                    <w:t>COD</w:t>
                  </w:r>
                </w:p>
              </w:tc>
              <w:tc>
                <w:tcPr>
                  <w:tcW w:w="918" w:type="pct"/>
                  <w:vAlign w:val="center"/>
                </w:tcPr>
                <w:p w14:paraId="3FFDC223">
                  <w:pPr>
                    <w:pStyle w:val="144"/>
                    <w:jc w:val="center"/>
                    <w:rPr>
                      <w:rFonts w:hint="default" w:ascii="Times New Roman" w:hAnsi="Times New Roman" w:eastAsia="宋体" w:cs="Times New Roman"/>
                      <w:b/>
                      <w:i w:val="0"/>
                    </w:rPr>
                  </w:pPr>
                  <w:r>
                    <w:rPr>
                      <w:rFonts w:hint="default" w:ascii="Times New Roman" w:hAnsi="Times New Roman" w:eastAsia="宋体" w:cs="Times New Roman"/>
                      <w:b/>
                      <w:i w:val="0"/>
                    </w:rPr>
                    <w:t>BOD</w:t>
                  </w:r>
                  <w:r>
                    <w:rPr>
                      <w:rFonts w:hint="default" w:ascii="Times New Roman" w:hAnsi="Times New Roman" w:eastAsia="宋体" w:cs="Times New Roman"/>
                      <w:b/>
                      <w:i w:val="0"/>
                      <w:vertAlign w:val="subscript"/>
                    </w:rPr>
                    <w:t>5</w:t>
                  </w:r>
                </w:p>
              </w:tc>
              <w:tc>
                <w:tcPr>
                  <w:tcW w:w="809" w:type="pct"/>
                  <w:vAlign w:val="center"/>
                </w:tcPr>
                <w:p w14:paraId="1CC3072C">
                  <w:pPr>
                    <w:pStyle w:val="144"/>
                    <w:jc w:val="center"/>
                    <w:rPr>
                      <w:rFonts w:hint="default" w:ascii="Times New Roman" w:hAnsi="Times New Roman" w:eastAsia="宋体" w:cs="Times New Roman"/>
                      <w:b/>
                      <w:i w:val="0"/>
                    </w:rPr>
                  </w:pPr>
                  <w:r>
                    <w:rPr>
                      <w:rFonts w:hint="default" w:ascii="Times New Roman" w:hAnsi="Times New Roman" w:eastAsia="宋体" w:cs="Times New Roman"/>
                      <w:b/>
                      <w:i w:val="0"/>
                    </w:rPr>
                    <w:t>SS</w:t>
                  </w:r>
                </w:p>
              </w:tc>
              <w:tc>
                <w:tcPr>
                  <w:tcW w:w="887" w:type="pct"/>
                  <w:vAlign w:val="center"/>
                </w:tcPr>
                <w:p w14:paraId="19BAD7F1">
                  <w:pPr>
                    <w:pStyle w:val="144"/>
                    <w:jc w:val="center"/>
                    <w:rPr>
                      <w:rFonts w:hint="default" w:ascii="Times New Roman" w:hAnsi="Times New Roman" w:eastAsia="宋体" w:cs="Times New Roman"/>
                      <w:b/>
                      <w:i w:val="0"/>
                    </w:rPr>
                  </w:pPr>
                  <w:r>
                    <w:rPr>
                      <w:rFonts w:hint="default" w:ascii="Times New Roman" w:hAnsi="Times New Roman" w:eastAsia="宋体" w:cs="Times New Roman"/>
                      <w:b/>
                      <w:i w:val="0"/>
                    </w:rPr>
                    <w:t>NH</w:t>
                  </w:r>
                  <w:r>
                    <w:rPr>
                      <w:rFonts w:hint="default" w:ascii="Times New Roman" w:hAnsi="Times New Roman" w:eastAsia="宋体" w:cs="Times New Roman"/>
                      <w:b/>
                      <w:i w:val="0"/>
                      <w:vertAlign w:val="subscript"/>
                    </w:rPr>
                    <w:t>3</w:t>
                  </w:r>
                  <w:r>
                    <w:rPr>
                      <w:rFonts w:hint="default" w:ascii="Times New Roman" w:hAnsi="Times New Roman" w:eastAsia="宋体" w:cs="Times New Roman"/>
                      <w:b/>
                      <w:i w:val="0"/>
                    </w:rPr>
                    <w:t>-N</w:t>
                  </w:r>
                </w:p>
              </w:tc>
            </w:tr>
            <w:tr w14:paraId="7AAA4E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9" w:type="pct"/>
                  <w:vMerge w:val="restart"/>
                  <w:vAlign w:val="center"/>
                </w:tcPr>
                <w:p w14:paraId="12614B9E">
                  <w:pPr>
                    <w:pStyle w:val="144"/>
                    <w:jc w:val="center"/>
                    <w:rPr>
                      <w:rFonts w:eastAsia="Times New Roman"/>
                    </w:rPr>
                  </w:pPr>
                  <w:bookmarkStart w:id="64" w:name="_Hlk196840686"/>
                  <w:r>
                    <w:rPr>
                      <w:rFonts w:hint="eastAsia" w:ascii="宋体" w:hAnsi="宋体" w:eastAsia="宋体" w:cs="宋体"/>
                    </w:rPr>
                    <w:t>产生量</w:t>
                  </w:r>
                </w:p>
              </w:tc>
              <w:tc>
                <w:tcPr>
                  <w:tcW w:w="776" w:type="pct"/>
                  <w:vAlign w:val="center"/>
                </w:tcPr>
                <w:p w14:paraId="2EF9C438">
                  <w:pPr>
                    <w:widowControl/>
                    <w:jc w:val="center"/>
                    <w:textAlignment w:val="bottom"/>
                    <w:rPr>
                      <w:rFonts w:eastAsia="Times New Roman"/>
                    </w:rPr>
                  </w:pPr>
                  <w:r>
                    <w:rPr>
                      <w:rFonts w:hint="eastAsia" w:ascii="宋体" w:hAnsi="宋体" w:eastAsia="Times New Roman" w:cs="宋体"/>
                      <w:kern w:val="0"/>
                      <w:szCs w:val="21"/>
                      <w:lang w:bidi="ar"/>
                    </w:rPr>
                    <w:t>浓度</w:t>
                  </w:r>
                  <w:r>
                    <w:rPr>
                      <w:rFonts w:eastAsia="Times New Roman"/>
                      <w:kern w:val="0"/>
                      <w:szCs w:val="21"/>
                      <w:lang w:bidi="ar"/>
                    </w:rPr>
                    <w:t>mg/L</w:t>
                  </w:r>
                </w:p>
              </w:tc>
              <w:tc>
                <w:tcPr>
                  <w:tcW w:w="831" w:type="pct"/>
                  <w:vAlign w:val="center"/>
                </w:tcPr>
                <w:p w14:paraId="00F8C059">
                  <w:pPr>
                    <w:widowControl/>
                    <w:jc w:val="center"/>
                    <w:textAlignment w:val="bottom"/>
                    <w:rPr>
                      <w:rFonts w:eastAsia="Times New Roman"/>
                    </w:rPr>
                  </w:pPr>
                  <w:r>
                    <w:rPr>
                      <w:rFonts w:eastAsia="Times New Roman"/>
                      <w:kern w:val="0"/>
                      <w:szCs w:val="21"/>
                      <w:lang w:bidi="ar"/>
                    </w:rPr>
                    <w:t>250</w:t>
                  </w:r>
                </w:p>
              </w:tc>
              <w:tc>
                <w:tcPr>
                  <w:tcW w:w="918" w:type="pct"/>
                  <w:vAlign w:val="center"/>
                </w:tcPr>
                <w:p w14:paraId="3C2B1A99">
                  <w:pPr>
                    <w:widowControl/>
                    <w:jc w:val="center"/>
                    <w:textAlignment w:val="bottom"/>
                    <w:rPr>
                      <w:rFonts w:eastAsia="Times New Roman"/>
                    </w:rPr>
                  </w:pPr>
                  <w:r>
                    <w:rPr>
                      <w:rFonts w:eastAsia="Times New Roman"/>
                      <w:kern w:val="0"/>
                      <w:szCs w:val="21"/>
                      <w:lang w:bidi="ar"/>
                    </w:rPr>
                    <w:t>150</w:t>
                  </w:r>
                </w:p>
              </w:tc>
              <w:tc>
                <w:tcPr>
                  <w:tcW w:w="809" w:type="pct"/>
                  <w:vAlign w:val="center"/>
                </w:tcPr>
                <w:p w14:paraId="7EA987AF">
                  <w:pPr>
                    <w:widowControl/>
                    <w:jc w:val="center"/>
                    <w:textAlignment w:val="bottom"/>
                    <w:rPr>
                      <w:rFonts w:eastAsia="Times New Roman"/>
                    </w:rPr>
                  </w:pPr>
                  <w:r>
                    <w:rPr>
                      <w:rFonts w:eastAsia="Times New Roman"/>
                      <w:kern w:val="0"/>
                      <w:szCs w:val="21"/>
                      <w:lang w:bidi="ar"/>
                    </w:rPr>
                    <w:t>180</w:t>
                  </w:r>
                </w:p>
              </w:tc>
              <w:tc>
                <w:tcPr>
                  <w:tcW w:w="887" w:type="pct"/>
                  <w:vAlign w:val="center"/>
                </w:tcPr>
                <w:p w14:paraId="15741469">
                  <w:pPr>
                    <w:widowControl/>
                    <w:jc w:val="center"/>
                    <w:textAlignment w:val="bottom"/>
                    <w:rPr>
                      <w:rFonts w:eastAsia="Times New Roman"/>
                    </w:rPr>
                  </w:pPr>
                  <w:r>
                    <w:rPr>
                      <w:rFonts w:eastAsia="Times New Roman"/>
                      <w:kern w:val="0"/>
                      <w:szCs w:val="21"/>
                      <w:lang w:bidi="ar"/>
                    </w:rPr>
                    <w:t>20</w:t>
                  </w:r>
                </w:p>
              </w:tc>
            </w:tr>
            <w:tr w14:paraId="3BE560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9" w:type="pct"/>
                  <w:vMerge w:val="continue"/>
                  <w:vAlign w:val="center"/>
                </w:tcPr>
                <w:p w14:paraId="4FCFBFA8">
                  <w:pPr>
                    <w:pStyle w:val="144"/>
                    <w:jc w:val="center"/>
                    <w:rPr>
                      <w:rFonts w:eastAsia="Times New Roman"/>
                    </w:rPr>
                  </w:pPr>
                </w:p>
              </w:tc>
              <w:tc>
                <w:tcPr>
                  <w:tcW w:w="776" w:type="pct"/>
                  <w:vAlign w:val="center"/>
                </w:tcPr>
                <w:p w14:paraId="471439A7">
                  <w:pPr>
                    <w:widowControl/>
                    <w:jc w:val="center"/>
                    <w:textAlignment w:val="bottom"/>
                    <w:rPr>
                      <w:rFonts w:eastAsia="Times New Roman"/>
                    </w:rPr>
                  </w:pPr>
                  <w:r>
                    <w:rPr>
                      <w:rFonts w:eastAsia="Times New Roman"/>
                      <w:kern w:val="0"/>
                      <w:szCs w:val="21"/>
                      <w:lang w:bidi="ar"/>
                    </w:rPr>
                    <w:t>80t/a</w:t>
                  </w:r>
                </w:p>
              </w:tc>
              <w:tc>
                <w:tcPr>
                  <w:tcW w:w="831" w:type="pct"/>
                  <w:vAlign w:val="center"/>
                </w:tcPr>
                <w:p w14:paraId="202AF29B">
                  <w:pPr>
                    <w:widowControl/>
                    <w:jc w:val="center"/>
                    <w:textAlignment w:val="bottom"/>
                    <w:rPr>
                      <w:rFonts w:eastAsia="Times New Roman"/>
                    </w:rPr>
                  </w:pPr>
                  <w:r>
                    <w:rPr>
                      <w:rFonts w:eastAsia="等线"/>
                      <w:szCs w:val="21"/>
                    </w:rPr>
                    <w:t>0.02</w:t>
                  </w:r>
                </w:p>
              </w:tc>
              <w:tc>
                <w:tcPr>
                  <w:tcW w:w="918" w:type="pct"/>
                  <w:vAlign w:val="center"/>
                </w:tcPr>
                <w:p w14:paraId="45955AE8">
                  <w:pPr>
                    <w:widowControl/>
                    <w:jc w:val="center"/>
                    <w:textAlignment w:val="bottom"/>
                    <w:rPr>
                      <w:rFonts w:eastAsia="Times New Roman"/>
                    </w:rPr>
                  </w:pPr>
                  <w:r>
                    <w:rPr>
                      <w:rFonts w:eastAsia="等线"/>
                      <w:szCs w:val="21"/>
                    </w:rPr>
                    <w:t>0.012</w:t>
                  </w:r>
                </w:p>
              </w:tc>
              <w:tc>
                <w:tcPr>
                  <w:tcW w:w="809" w:type="pct"/>
                  <w:vAlign w:val="center"/>
                </w:tcPr>
                <w:p w14:paraId="0953AE6B">
                  <w:pPr>
                    <w:widowControl/>
                    <w:jc w:val="center"/>
                    <w:textAlignment w:val="bottom"/>
                    <w:rPr>
                      <w:rFonts w:eastAsia="Times New Roman"/>
                    </w:rPr>
                  </w:pPr>
                  <w:r>
                    <w:rPr>
                      <w:rFonts w:eastAsia="等线"/>
                      <w:szCs w:val="21"/>
                    </w:rPr>
                    <w:t>0.0144</w:t>
                  </w:r>
                </w:p>
              </w:tc>
              <w:tc>
                <w:tcPr>
                  <w:tcW w:w="887" w:type="pct"/>
                  <w:vAlign w:val="center"/>
                </w:tcPr>
                <w:p w14:paraId="4D7631BB">
                  <w:pPr>
                    <w:widowControl/>
                    <w:jc w:val="center"/>
                    <w:textAlignment w:val="bottom"/>
                    <w:rPr>
                      <w:rFonts w:eastAsia="Times New Roman"/>
                    </w:rPr>
                  </w:pPr>
                  <w:r>
                    <w:rPr>
                      <w:rFonts w:eastAsia="等线"/>
                      <w:szCs w:val="21"/>
                    </w:rPr>
                    <w:t>0.0016</w:t>
                  </w:r>
                </w:p>
              </w:tc>
            </w:tr>
            <w:tr w14:paraId="03FDB5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9" w:type="pct"/>
                  <w:vMerge w:val="restart"/>
                  <w:vAlign w:val="center"/>
                </w:tcPr>
                <w:p w14:paraId="4640D1F0">
                  <w:pPr>
                    <w:pStyle w:val="144"/>
                    <w:jc w:val="center"/>
                    <w:rPr>
                      <w:rFonts w:eastAsia="Times New Roman"/>
                    </w:rPr>
                  </w:pPr>
                  <w:r>
                    <w:rPr>
                      <w:rFonts w:hint="eastAsia" w:ascii="宋体" w:hAnsi="宋体" w:eastAsia="宋体" w:cs="宋体"/>
                    </w:rPr>
                    <w:t>排放量</w:t>
                  </w:r>
                </w:p>
              </w:tc>
              <w:tc>
                <w:tcPr>
                  <w:tcW w:w="776" w:type="pct"/>
                  <w:vAlign w:val="center"/>
                </w:tcPr>
                <w:p w14:paraId="29B874D5">
                  <w:pPr>
                    <w:widowControl/>
                    <w:jc w:val="center"/>
                    <w:textAlignment w:val="bottom"/>
                    <w:rPr>
                      <w:rFonts w:eastAsia="Times New Roman"/>
                    </w:rPr>
                  </w:pPr>
                  <w:r>
                    <w:rPr>
                      <w:rFonts w:hint="eastAsia" w:ascii="宋体" w:hAnsi="宋体" w:eastAsia="Times New Roman" w:cs="宋体"/>
                      <w:kern w:val="0"/>
                      <w:szCs w:val="21"/>
                      <w:lang w:bidi="ar"/>
                    </w:rPr>
                    <w:t>浓度</w:t>
                  </w:r>
                  <w:r>
                    <w:rPr>
                      <w:rFonts w:eastAsia="Times New Roman"/>
                      <w:kern w:val="0"/>
                      <w:szCs w:val="21"/>
                      <w:lang w:bidi="ar"/>
                    </w:rPr>
                    <w:t>mg/L</w:t>
                  </w:r>
                </w:p>
              </w:tc>
              <w:tc>
                <w:tcPr>
                  <w:tcW w:w="831" w:type="pct"/>
                  <w:vAlign w:val="center"/>
                </w:tcPr>
                <w:p w14:paraId="68553C49">
                  <w:pPr>
                    <w:widowControl/>
                    <w:jc w:val="center"/>
                    <w:textAlignment w:val="bottom"/>
                    <w:rPr>
                      <w:rFonts w:eastAsia="Times New Roman"/>
                    </w:rPr>
                  </w:pPr>
                  <w:r>
                    <w:rPr>
                      <w:rFonts w:eastAsia="等线"/>
                      <w:szCs w:val="21"/>
                    </w:rPr>
                    <w:t>40</w:t>
                  </w:r>
                </w:p>
              </w:tc>
              <w:tc>
                <w:tcPr>
                  <w:tcW w:w="918" w:type="pct"/>
                  <w:vAlign w:val="center"/>
                </w:tcPr>
                <w:p w14:paraId="40ECED25">
                  <w:pPr>
                    <w:widowControl/>
                    <w:jc w:val="center"/>
                    <w:textAlignment w:val="bottom"/>
                    <w:rPr>
                      <w:rFonts w:eastAsia="Times New Roman"/>
                    </w:rPr>
                  </w:pPr>
                  <w:r>
                    <w:rPr>
                      <w:rFonts w:eastAsia="等线"/>
                      <w:szCs w:val="21"/>
                    </w:rPr>
                    <w:t>10</w:t>
                  </w:r>
                </w:p>
              </w:tc>
              <w:tc>
                <w:tcPr>
                  <w:tcW w:w="809" w:type="pct"/>
                  <w:vAlign w:val="center"/>
                </w:tcPr>
                <w:p w14:paraId="0A2BBF19">
                  <w:pPr>
                    <w:widowControl/>
                    <w:jc w:val="center"/>
                    <w:textAlignment w:val="bottom"/>
                    <w:rPr>
                      <w:rFonts w:eastAsia="Times New Roman"/>
                    </w:rPr>
                  </w:pPr>
                  <w:r>
                    <w:rPr>
                      <w:rFonts w:eastAsia="等线"/>
                      <w:szCs w:val="21"/>
                    </w:rPr>
                    <w:t>10</w:t>
                  </w:r>
                </w:p>
              </w:tc>
              <w:tc>
                <w:tcPr>
                  <w:tcW w:w="887" w:type="pct"/>
                  <w:vAlign w:val="center"/>
                </w:tcPr>
                <w:p w14:paraId="716BA7E5">
                  <w:pPr>
                    <w:widowControl/>
                    <w:jc w:val="center"/>
                    <w:textAlignment w:val="bottom"/>
                    <w:rPr>
                      <w:rFonts w:eastAsia="Times New Roman"/>
                    </w:rPr>
                  </w:pPr>
                  <w:r>
                    <w:rPr>
                      <w:rFonts w:eastAsia="等线"/>
                      <w:szCs w:val="21"/>
                    </w:rPr>
                    <w:t>2</w:t>
                  </w:r>
                </w:p>
              </w:tc>
            </w:tr>
            <w:tr w14:paraId="141F1A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9" w:type="pct"/>
                  <w:vMerge w:val="continue"/>
                  <w:vAlign w:val="center"/>
                </w:tcPr>
                <w:p w14:paraId="3C92CE38">
                  <w:pPr>
                    <w:pStyle w:val="144"/>
                    <w:jc w:val="center"/>
                    <w:rPr>
                      <w:rFonts w:eastAsia="Times New Roman"/>
                    </w:rPr>
                  </w:pPr>
                </w:p>
              </w:tc>
              <w:tc>
                <w:tcPr>
                  <w:tcW w:w="776" w:type="pct"/>
                  <w:vAlign w:val="center"/>
                </w:tcPr>
                <w:p w14:paraId="2AA990FE">
                  <w:pPr>
                    <w:widowControl/>
                    <w:jc w:val="center"/>
                    <w:textAlignment w:val="bottom"/>
                    <w:rPr>
                      <w:rFonts w:eastAsia="Times New Roman"/>
                    </w:rPr>
                  </w:pPr>
                  <w:r>
                    <w:rPr>
                      <w:rFonts w:eastAsia="Times New Roman"/>
                      <w:kern w:val="0"/>
                      <w:szCs w:val="21"/>
                      <w:lang w:bidi="ar"/>
                    </w:rPr>
                    <w:t>80t/a</w:t>
                  </w:r>
                </w:p>
              </w:tc>
              <w:tc>
                <w:tcPr>
                  <w:tcW w:w="831" w:type="pct"/>
                  <w:vAlign w:val="center"/>
                </w:tcPr>
                <w:p w14:paraId="7D5F0195">
                  <w:pPr>
                    <w:widowControl/>
                    <w:jc w:val="center"/>
                    <w:textAlignment w:val="bottom"/>
                    <w:rPr>
                      <w:rFonts w:eastAsia="Times New Roman"/>
                    </w:rPr>
                  </w:pPr>
                  <w:r>
                    <w:rPr>
                      <w:rFonts w:eastAsia="等线"/>
                      <w:szCs w:val="21"/>
                    </w:rPr>
                    <w:t>0.0032</w:t>
                  </w:r>
                </w:p>
              </w:tc>
              <w:tc>
                <w:tcPr>
                  <w:tcW w:w="918" w:type="pct"/>
                  <w:vAlign w:val="center"/>
                </w:tcPr>
                <w:p w14:paraId="1717D1A5">
                  <w:pPr>
                    <w:widowControl/>
                    <w:jc w:val="center"/>
                    <w:textAlignment w:val="bottom"/>
                    <w:rPr>
                      <w:rFonts w:eastAsia="Times New Roman"/>
                    </w:rPr>
                  </w:pPr>
                  <w:r>
                    <w:rPr>
                      <w:rFonts w:eastAsia="等线"/>
                      <w:szCs w:val="21"/>
                    </w:rPr>
                    <w:t>0.0008</w:t>
                  </w:r>
                </w:p>
              </w:tc>
              <w:tc>
                <w:tcPr>
                  <w:tcW w:w="809" w:type="pct"/>
                  <w:vAlign w:val="center"/>
                </w:tcPr>
                <w:p w14:paraId="76779551">
                  <w:pPr>
                    <w:widowControl/>
                    <w:jc w:val="center"/>
                    <w:textAlignment w:val="bottom"/>
                    <w:rPr>
                      <w:rFonts w:eastAsia="Times New Roman"/>
                    </w:rPr>
                  </w:pPr>
                  <w:r>
                    <w:rPr>
                      <w:rFonts w:eastAsia="等线"/>
                      <w:szCs w:val="21"/>
                    </w:rPr>
                    <w:t>0.0008</w:t>
                  </w:r>
                </w:p>
              </w:tc>
              <w:tc>
                <w:tcPr>
                  <w:tcW w:w="887" w:type="pct"/>
                  <w:vAlign w:val="center"/>
                </w:tcPr>
                <w:p w14:paraId="057EFA09">
                  <w:pPr>
                    <w:widowControl/>
                    <w:jc w:val="center"/>
                    <w:textAlignment w:val="bottom"/>
                    <w:rPr>
                      <w:rFonts w:eastAsia="Times New Roman"/>
                    </w:rPr>
                  </w:pPr>
                  <w:r>
                    <w:rPr>
                      <w:rFonts w:eastAsia="等线"/>
                      <w:szCs w:val="21"/>
                    </w:rPr>
                    <w:t>0.00016</w:t>
                  </w:r>
                </w:p>
              </w:tc>
            </w:tr>
            <w:bookmarkEnd w:id="64"/>
          </w:tbl>
          <w:p w14:paraId="0E498461">
            <w:pPr>
              <w:pStyle w:val="10"/>
              <w:ind w:firstLine="482"/>
            </w:pPr>
            <w:r>
              <w:rPr>
                <w:rFonts w:hint="eastAsia"/>
                <w:b/>
                <w:bCs/>
              </w:rPr>
              <w:t>（</w:t>
            </w:r>
            <w:r>
              <w:rPr>
                <w:b/>
                <w:bCs/>
              </w:rPr>
              <w:t>2</w:t>
            </w:r>
            <w:r>
              <w:rPr>
                <w:rFonts w:hint="eastAsia"/>
                <w:b/>
                <w:bCs/>
              </w:rPr>
              <w:t>）依托博罗县石湾镇大牛垒生活污水处理厂可行性分析</w:t>
            </w:r>
          </w:p>
          <w:p w14:paraId="1876E51D">
            <w:pPr>
              <w:pStyle w:val="10"/>
            </w:pPr>
            <w:r>
              <w:rPr>
                <w:rFonts w:hint="eastAsia"/>
              </w:rPr>
              <w:t>博罗县石湾镇大牛垒生活污水处理厂位于石湾镇滘吓村马屋，占地总面积</w:t>
            </w:r>
            <w:r>
              <w:t xml:space="preserve"> 2.02 </w:t>
            </w:r>
            <w:r>
              <w:rPr>
                <w:rFonts w:hint="eastAsia"/>
              </w:rPr>
              <w:t>万</w:t>
            </w:r>
            <w:r>
              <w:t>m</w:t>
            </w:r>
            <w:r>
              <w:rPr>
                <w:vertAlign w:val="superscript"/>
              </w:rPr>
              <w:t>2</w:t>
            </w:r>
            <w:r>
              <w:rPr>
                <w:rFonts w:hint="eastAsia"/>
              </w:rPr>
              <w:t>。服务范围为白沙村、源头村、汽车产业园、滘吓村及中心排渠北部沿线区域，该污水处理厂设计规模为</w:t>
            </w:r>
            <w:r>
              <w:t>5</w:t>
            </w:r>
            <w:r>
              <w:rPr>
                <w:rFonts w:hint="eastAsia"/>
              </w:rPr>
              <w:t>万</w:t>
            </w:r>
            <w:r>
              <w:t>m</w:t>
            </w:r>
            <w:r>
              <w:rPr>
                <w:vertAlign w:val="superscript"/>
              </w:rPr>
              <w:t>3</w:t>
            </w:r>
            <w:r>
              <w:t>/d</w:t>
            </w:r>
            <w:r>
              <w:rPr>
                <w:rFonts w:hint="eastAsia"/>
              </w:rPr>
              <w:t>，分两期建设，其中首期工程</w:t>
            </w:r>
            <w:r>
              <w:t>1.5</w:t>
            </w:r>
            <w:r>
              <w:rPr>
                <w:rFonts w:hint="eastAsia"/>
              </w:rPr>
              <w:t>万</w:t>
            </w:r>
            <w:r>
              <w:t>m</w:t>
            </w:r>
            <w:r>
              <w:rPr>
                <w:vertAlign w:val="superscript"/>
              </w:rPr>
              <w:t>3</w:t>
            </w:r>
            <w:r>
              <w:t>/d</w:t>
            </w:r>
            <w:r>
              <w:rPr>
                <w:rFonts w:hint="eastAsia"/>
              </w:rPr>
              <w:t>。目前首期工程已建成运行。污水处理厂采用</w:t>
            </w:r>
            <w:r>
              <w:t>“</w:t>
            </w:r>
            <w:r>
              <w:rPr>
                <w:rFonts w:hint="eastAsia"/>
              </w:rPr>
              <w:t>格栅</w:t>
            </w:r>
            <w:r>
              <w:t>+</w:t>
            </w:r>
            <w:r>
              <w:rPr>
                <w:rFonts w:hint="eastAsia"/>
              </w:rPr>
              <w:t>沉砂池</w:t>
            </w:r>
            <w:r>
              <w:t xml:space="preserve">+AAO </w:t>
            </w:r>
            <w:r>
              <w:rPr>
                <w:rFonts w:hint="eastAsia"/>
              </w:rPr>
              <w:t>生物处理池</w:t>
            </w:r>
            <w:r>
              <w:t xml:space="preserve">+D </w:t>
            </w:r>
            <w:r>
              <w:rPr>
                <w:rFonts w:hint="eastAsia"/>
              </w:rPr>
              <w:t>型过滤池</w:t>
            </w:r>
            <w:r>
              <w:t>+</w:t>
            </w:r>
            <w:r>
              <w:rPr>
                <w:rFonts w:hint="eastAsia"/>
              </w:rPr>
              <w:t>紫外消毒</w:t>
            </w:r>
            <w:r>
              <w:t xml:space="preserve">” </w:t>
            </w:r>
            <w:r>
              <w:rPr>
                <w:rFonts w:hint="eastAsia"/>
              </w:rPr>
              <w:t>处理工艺，处理后的尾水达到广东省地方标准《水污染物排放限值》（</w:t>
            </w:r>
            <w:r>
              <w:t>DB44/26-2001</w:t>
            </w:r>
            <w:r>
              <w:rPr>
                <w:rFonts w:hint="eastAsia"/>
              </w:rPr>
              <w:t>）第二时段一级标准及《城镇污水处理厂污染物排放标准》（</w:t>
            </w:r>
            <w:r>
              <w:t>GB18918-2002</w:t>
            </w:r>
            <w:r>
              <w:rPr>
                <w:rFonts w:hint="eastAsia"/>
              </w:rPr>
              <w:t>）一级</w:t>
            </w:r>
            <w:r>
              <w:t xml:space="preserve"> A </w:t>
            </w:r>
            <w:r>
              <w:rPr>
                <w:rFonts w:hint="eastAsia"/>
              </w:rPr>
              <w:t>标准两者中的较严者，其中氨氮、总磷达到《地表水环境质量标准》（</w:t>
            </w:r>
            <w:r>
              <w:t>GB3838-2002</w:t>
            </w:r>
            <w:r>
              <w:rPr>
                <w:rFonts w:hint="eastAsia"/>
              </w:rPr>
              <w:t>）</w:t>
            </w:r>
            <w:r>
              <w:t xml:space="preserve">V </w:t>
            </w:r>
            <w:r>
              <w:rPr>
                <w:rFonts w:hint="eastAsia"/>
              </w:rPr>
              <w:t>类标准后排入石湾镇中心排渠，经紧水河汇入东江。本项目所在地属于博罗县石湾镇大牛垒生活污水处理厂的纳污范围，生活污水可进入该污水厂的纳污管道，项目生活污水经三级化粪池预处理后，可以达到广东省《水污染物排放限值》（</w:t>
            </w:r>
            <w:r>
              <w:t>DB44/26-2001</w:t>
            </w:r>
            <w:r>
              <w:rPr>
                <w:rFonts w:hint="eastAsia"/>
              </w:rPr>
              <w:t>）第二时段三级标准，满足博罗县石湾镇大牛垒生活污水处理厂的接管要求。根据调查，博罗县石湾镇大牛垒生活污水处理厂一期处理能力为</w:t>
            </w:r>
            <w:r>
              <w:t>1.5</w:t>
            </w:r>
            <w:r>
              <w:rPr>
                <w:rFonts w:hint="eastAsia"/>
              </w:rPr>
              <w:t>万</w:t>
            </w:r>
            <w:r>
              <w:t>m</w:t>
            </w:r>
            <w:r>
              <w:rPr>
                <w:vertAlign w:val="superscript"/>
              </w:rPr>
              <w:t>3</w:t>
            </w:r>
            <w:r>
              <w:t>/d</w:t>
            </w:r>
            <w:r>
              <w:rPr>
                <w:rFonts w:hint="eastAsia"/>
              </w:rPr>
              <w:t>，目前实际收集处理量约</w:t>
            </w:r>
            <w:r>
              <w:t>1</w:t>
            </w:r>
            <w:r>
              <w:rPr>
                <w:rFonts w:hint="eastAsia"/>
              </w:rPr>
              <w:t>万</w:t>
            </w:r>
            <w:r>
              <w:t>m</w:t>
            </w:r>
            <w:r>
              <w:rPr>
                <w:vertAlign w:val="superscript"/>
              </w:rPr>
              <w:t>3</w:t>
            </w:r>
            <w:r>
              <w:t>/d</w:t>
            </w:r>
            <w:r>
              <w:rPr>
                <w:rFonts w:hint="eastAsia"/>
              </w:rPr>
              <w:t>，剩余处理量能力为</w:t>
            </w:r>
            <w:r>
              <w:t>0.5</w:t>
            </w:r>
            <w:r>
              <w:rPr>
                <w:rFonts w:hint="eastAsia"/>
              </w:rPr>
              <w:t>万</w:t>
            </w:r>
            <w:r>
              <w:t>m</w:t>
            </w:r>
            <w:r>
              <w:rPr>
                <w:vertAlign w:val="superscript"/>
              </w:rPr>
              <w:t>3</w:t>
            </w:r>
            <w:r>
              <w:t>/d</w:t>
            </w:r>
            <w:r>
              <w:rPr>
                <w:rFonts w:hint="eastAsia"/>
              </w:rPr>
              <w:t>，项目排放废水量为</w:t>
            </w:r>
            <w:r>
              <w:t>0.219t/d</w:t>
            </w:r>
            <w:r>
              <w:rPr>
                <w:rFonts w:hint="eastAsia"/>
              </w:rPr>
              <w:t>，占博罗县石湾镇大牛垒生活污水处理厂剩余处理能力的</w:t>
            </w:r>
            <w:r>
              <w:t>0.004%</w:t>
            </w:r>
            <w:r>
              <w:rPr>
                <w:rFonts w:hint="eastAsia"/>
              </w:rPr>
              <w:t>，因此，项目生活污水纳入博罗县石湾镇大牛垒生活污水处理厂进行处理的方案是可行的。</w:t>
            </w:r>
          </w:p>
          <w:p w14:paraId="29389607">
            <w:pPr>
              <w:pStyle w:val="10"/>
              <w:ind w:firstLine="482"/>
              <w:rPr>
                <w:szCs w:val="24"/>
              </w:rPr>
            </w:pPr>
            <w:r>
              <w:rPr>
                <w:rFonts w:hint="eastAsia"/>
                <w:b/>
                <w:bCs/>
              </w:rPr>
              <w:t>（</w:t>
            </w:r>
            <w:r>
              <w:rPr>
                <w:b/>
                <w:bCs/>
              </w:rPr>
              <w:t>3</w:t>
            </w:r>
            <w:r>
              <w:rPr>
                <w:rFonts w:hint="eastAsia" w:ascii="宋体" w:hAnsi="宋体"/>
                <w:b/>
                <w:bCs/>
              </w:rPr>
              <w:t>）影</w:t>
            </w:r>
            <w:r>
              <w:rPr>
                <w:rFonts w:hint="eastAsia" w:ascii="宋体" w:hAnsi="宋体"/>
                <w:b/>
                <w:bCs/>
                <w:szCs w:val="24"/>
              </w:rPr>
              <w:t>响分析</w:t>
            </w:r>
          </w:p>
          <w:p w14:paraId="4955BEB7">
            <w:pPr>
              <w:pStyle w:val="112"/>
              <w:spacing w:line="360" w:lineRule="auto"/>
              <w:ind w:firstLine="480"/>
            </w:pPr>
            <w:r>
              <w:rPr>
                <w:rFonts w:hint="eastAsia" w:ascii="宋体" w:hAnsi="宋体"/>
                <w:sz w:val="24"/>
              </w:rPr>
              <w:t>综上所述，项目生活污水经三级化粪池预处理，达到《广东省水污染物排放限值》（DB44/26-2001）第二时段三级标准后依托博罗县石湾镇大牛垒生活污水处理厂处理是可行的，项目运营期对周围水环境影响很小。</w:t>
            </w:r>
          </w:p>
          <w:p w14:paraId="3C03C667">
            <w:pPr>
              <w:spacing w:line="360" w:lineRule="auto"/>
              <w:ind w:firstLine="482" w:firstLineChars="200"/>
              <w:rPr>
                <w:b/>
                <w:bCs/>
                <w:sz w:val="24"/>
              </w:rPr>
            </w:pPr>
            <w:r>
              <w:rPr>
                <w:b/>
                <w:bCs/>
                <w:sz w:val="24"/>
              </w:rPr>
              <w:t>5</w:t>
            </w:r>
            <w:r>
              <w:rPr>
                <w:rFonts w:hint="eastAsia"/>
                <w:b/>
                <w:bCs/>
                <w:sz w:val="24"/>
              </w:rPr>
              <w:t>、大气环境影响分析</w:t>
            </w:r>
          </w:p>
          <w:p w14:paraId="3D0AE5C7">
            <w:pPr>
              <w:spacing w:line="360" w:lineRule="auto"/>
              <w:ind w:firstLine="480" w:firstLineChars="200"/>
              <w:rPr>
                <w:bCs/>
                <w:sz w:val="24"/>
              </w:rPr>
            </w:pPr>
            <w:r>
              <w:rPr>
                <w:rFonts w:hint="eastAsia"/>
                <w:bCs/>
                <w:sz w:val="24"/>
              </w:rPr>
              <w:t>本项目营运期间没有工业废气产生，不会对周围大气环境造成影响。</w:t>
            </w:r>
          </w:p>
          <w:p w14:paraId="36D71514">
            <w:pPr>
              <w:spacing w:line="360" w:lineRule="auto"/>
              <w:ind w:firstLine="482" w:firstLineChars="200"/>
              <w:rPr>
                <w:b/>
                <w:bCs/>
                <w:sz w:val="24"/>
              </w:rPr>
            </w:pPr>
            <w:r>
              <w:rPr>
                <w:b/>
                <w:bCs/>
                <w:sz w:val="24"/>
              </w:rPr>
              <w:t>6</w:t>
            </w:r>
            <w:r>
              <w:rPr>
                <w:rFonts w:hint="eastAsia"/>
                <w:b/>
                <w:bCs/>
                <w:sz w:val="24"/>
              </w:rPr>
              <w:t>、固体废物环境影响分析</w:t>
            </w:r>
          </w:p>
          <w:p w14:paraId="28DF6D89">
            <w:pPr>
              <w:spacing w:line="360" w:lineRule="auto"/>
              <w:ind w:firstLine="482" w:firstLineChars="200"/>
              <w:rPr>
                <w:b/>
                <w:bCs/>
                <w:sz w:val="24"/>
              </w:rPr>
            </w:pPr>
            <w:r>
              <w:rPr>
                <w:rFonts w:hint="eastAsia"/>
                <w:b/>
                <w:bCs/>
                <w:sz w:val="24"/>
              </w:rPr>
              <w:t>（</w:t>
            </w:r>
            <w:r>
              <w:rPr>
                <w:b/>
                <w:bCs/>
                <w:sz w:val="24"/>
              </w:rPr>
              <w:t>1</w:t>
            </w:r>
            <w:r>
              <w:rPr>
                <w:rFonts w:hint="eastAsia"/>
                <w:b/>
                <w:sz w:val="24"/>
              </w:rPr>
              <w:t>）</w:t>
            </w:r>
            <w:r>
              <w:rPr>
                <w:rFonts w:hint="eastAsia"/>
                <w:b/>
                <w:bCs/>
                <w:sz w:val="24"/>
              </w:rPr>
              <w:t>项目固体废物产生量</w:t>
            </w:r>
          </w:p>
          <w:p w14:paraId="6598C153">
            <w:pPr>
              <w:spacing w:line="360" w:lineRule="auto"/>
              <w:ind w:firstLine="470" w:firstLineChars="196"/>
              <w:rPr>
                <w:sz w:val="24"/>
              </w:rPr>
            </w:pPr>
            <w:r>
              <w:rPr>
                <w:rFonts w:hint="eastAsia"/>
                <w:sz w:val="24"/>
              </w:rPr>
              <w:t>本项目运营期产生的固体废物主要为升压站更换设备检修产生的废变压器油、含油废抹布及手套、废磷酸铁锂电池、生活垃圾。</w:t>
            </w:r>
          </w:p>
          <w:p w14:paraId="3AC8B90F">
            <w:pPr>
              <w:spacing w:line="360" w:lineRule="auto"/>
              <w:ind w:firstLine="472" w:firstLineChars="196"/>
              <w:rPr>
                <w:sz w:val="24"/>
              </w:rPr>
            </w:pPr>
            <w:r>
              <w:rPr>
                <w:b/>
                <w:bCs/>
                <w:sz w:val="24"/>
              </w:rPr>
              <w:t>1</w:t>
            </w:r>
            <w:r>
              <w:rPr>
                <w:rFonts w:hint="eastAsia"/>
                <w:b/>
                <w:sz w:val="24"/>
              </w:rPr>
              <w:t>）生活垃圾</w:t>
            </w:r>
          </w:p>
          <w:p w14:paraId="0AFD71A6">
            <w:pPr>
              <w:spacing w:line="360" w:lineRule="auto"/>
              <w:ind w:firstLine="470" w:firstLineChars="196"/>
              <w:rPr>
                <w:sz w:val="24"/>
              </w:rPr>
            </w:pPr>
            <w:r>
              <w:rPr>
                <w:rFonts w:hint="eastAsia"/>
                <w:sz w:val="24"/>
              </w:rPr>
              <w:t>本项目值班人员</w:t>
            </w:r>
            <w:r>
              <w:rPr>
                <w:sz w:val="24"/>
              </w:rPr>
              <w:t>10</w:t>
            </w:r>
            <w:r>
              <w:rPr>
                <w:rFonts w:hint="eastAsia"/>
                <w:sz w:val="24"/>
              </w:rPr>
              <w:t>人，年工作天数为365天，产生的生活垃圾按人均0.5kg/d计，则产生量约为1</w:t>
            </w:r>
            <w:r>
              <w:rPr>
                <w:sz w:val="24"/>
              </w:rPr>
              <w:t>.82</w:t>
            </w:r>
            <w:r>
              <w:rPr>
                <w:rFonts w:hint="eastAsia"/>
                <w:sz w:val="24"/>
              </w:rPr>
              <w:t>t/a（</w:t>
            </w:r>
            <w:r>
              <w:rPr>
                <w:sz w:val="24"/>
              </w:rPr>
              <w:t>5</w:t>
            </w:r>
            <w:r>
              <w:rPr>
                <w:rFonts w:hint="eastAsia"/>
                <w:sz w:val="24"/>
              </w:rPr>
              <w:t>kg/d），主要包括废纸、饮料罐、废包装物等，垃圾分类后由市政环卫统一清运。</w:t>
            </w:r>
          </w:p>
          <w:p w14:paraId="2A745E2B">
            <w:pPr>
              <w:spacing w:line="360" w:lineRule="auto"/>
              <w:ind w:firstLine="472" w:firstLineChars="196"/>
              <w:rPr>
                <w:sz w:val="24"/>
              </w:rPr>
            </w:pPr>
            <w:r>
              <w:rPr>
                <w:b/>
                <w:bCs/>
                <w:sz w:val="24"/>
              </w:rPr>
              <w:t>2</w:t>
            </w:r>
            <w:r>
              <w:rPr>
                <w:rFonts w:hint="eastAsia"/>
                <w:b/>
                <w:sz w:val="24"/>
              </w:rPr>
              <w:t>）一般固体废物处置</w:t>
            </w:r>
          </w:p>
          <w:p w14:paraId="76E1E925">
            <w:pPr>
              <w:spacing w:line="360" w:lineRule="auto"/>
              <w:ind w:firstLine="470" w:firstLineChars="196"/>
              <w:rPr>
                <w:sz w:val="24"/>
              </w:rPr>
            </w:pPr>
            <w:r>
              <w:rPr>
                <w:rFonts w:hint="eastAsia"/>
                <w:sz w:val="24"/>
              </w:rPr>
              <w:t>磷酸铁锂电池属于主流锂离子电池。根据《关于废旧锂电池收集处置有关问题的复函》（环发函（</w:t>
            </w:r>
            <w:r>
              <w:rPr>
                <w:sz w:val="24"/>
              </w:rPr>
              <w:t>2014</w:t>
            </w:r>
            <w:r>
              <w:rPr>
                <w:rFonts w:hint="eastAsia"/>
                <w:sz w:val="24"/>
              </w:rPr>
              <w:t>）</w:t>
            </w:r>
            <w:r>
              <w:rPr>
                <w:sz w:val="24"/>
              </w:rPr>
              <w:t>1621</w:t>
            </w:r>
            <w:r>
              <w:rPr>
                <w:rFonts w:hint="eastAsia"/>
                <w:sz w:val="24"/>
              </w:rPr>
              <w:t>号），退役锂电池未列入《国家危险废物名录》，《废电池污染防治技术政策》（环发（</w:t>
            </w:r>
            <w:r>
              <w:rPr>
                <w:sz w:val="24"/>
              </w:rPr>
              <w:t>2013</w:t>
            </w:r>
            <w:r>
              <w:rPr>
                <w:rFonts w:hint="eastAsia"/>
                <w:sz w:val="24"/>
              </w:rPr>
              <w:t>）</w:t>
            </w:r>
            <w:r>
              <w:rPr>
                <w:sz w:val="24"/>
              </w:rPr>
              <w:t>163</w:t>
            </w:r>
            <w:r>
              <w:rPr>
                <w:rFonts w:hint="eastAsia"/>
                <w:sz w:val="24"/>
              </w:rPr>
              <w:t>号）也没有将废锂离子电池列为危险废物，因此退役锂电池不属于危险废物。退役锂电池的收集、贮存、处置应参照一般工业固体废物的相关环境管理与污染防治要求，防止污染环境。</w:t>
            </w:r>
          </w:p>
          <w:p w14:paraId="0D4F504B">
            <w:pPr>
              <w:spacing w:line="360" w:lineRule="auto"/>
              <w:ind w:firstLine="470" w:firstLineChars="196"/>
              <w:rPr>
                <w:sz w:val="24"/>
              </w:rPr>
            </w:pPr>
            <w:r>
              <w:rPr>
                <w:rFonts w:hint="eastAsia"/>
                <w:sz w:val="24"/>
              </w:rPr>
              <w:t>根据《废电池污染防治技术政策》（环境保护部公告</w:t>
            </w:r>
            <w:r>
              <w:rPr>
                <w:sz w:val="24"/>
              </w:rPr>
              <w:t>2016</w:t>
            </w:r>
            <w:r>
              <w:rPr>
                <w:rFonts w:hint="eastAsia"/>
                <w:sz w:val="24"/>
              </w:rPr>
              <w:t>年</w:t>
            </w:r>
            <w:r>
              <w:rPr>
                <w:sz w:val="24"/>
              </w:rPr>
              <w:t>82</w:t>
            </w:r>
            <w:r>
              <w:rPr>
                <w:rFonts w:hint="eastAsia"/>
                <w:sz w:val="24"/>
              </w:rPr>
              <w:t>号），国家重点控制的废电池包括废的铅蓄电池、锂离子电池、氢镍电池、镉镍电池和含汞纽扣式电池。列入国家危险废物名录或者根据国家规定的危险废物鉴别标准和鉴别方法认定为危险废物的废电池按照危险废物管理。项目采用的磷酸铁锂电池，不属于重点控制类别。</w:t>
            </w:r>
          </w:p>
          <w:p w14:paraId="135FEF6F">
            <w:pPr>
              <w:spacing w:line="360" w:lineRule="auto"/>
              <w:ind w:firstLine="470" w:firstLineChars="196"/>
              <w:rPr>
                <w:sz w:val="24"/>
              </w:rPr>
            </w:pPr>
            <w:r>
              <w:rPr>
                <w:rFonts w:hint="eastAsia"/>
                <w:sz w:val="24"/>
              </w:rPr>
              <w:t>经查《国家危险废物名录（</w:t>
            </w:r>
            <w:r>
              <w:rPr>
                <w:sz w:val="24"/>
              </w:rPr>
              <w:t>2025</w:t>
            </w:r>
            <w:r>
              <w:rPr>
                <w:rFonts w:hint="eastAsia"/>
                <w:sz w:val="24"/>
              </w:rPr>
              <w:t>年版）》，退役磷酸铁锂电池未列入名录内。综上，本项目退役的废磷酸铁锂电池不属于危险废物范畴，参照一般工业固体废物的相关环境管理与污染防治要求。</w:t>
            </w:r>
          </w:p>
          <w:p w14:paraId="6DE751F5">
            <w:pPr>
              <w:widowControl/>
              <w:spacing w:line="360" w:lineRule="auto"/>
              <w:ind w:firstLine="480" w:firstLineChars="200"/>
            </w:pPr>
            <w:r>
              <w:rPr>
                <w:rFonts w:ascii="宋体" w:hAnsi="宋体"/>
                <w:sz w:val="24"/>
              </w:rPr>
              <w:t>磷酸铁锂离子储能系统设计寿命约为</w:t>
            </w:r>
            <w:r>
              <w:rPr>
                <w:sz w:val="24"/>
              </w:rPr>
              <w:t>15</w:t>
            </w:r>
            <w:r>
              <w:rPr>
                <w:rFonts w:ascii="宋体" w:hAnsi="宋体"/>
                <w:sz w:val="24"/>
              </w:rPr>
              <w:t>年，如运营过程中出现故障，则立即通知厂家进行维修或则更换，不在厂区贮存。厂区</w:t>
            </w:r>
            <w:r>
              <w:rPr>
                <w:rFonts w:hint="eastAsia" w:ascii="宋体" w:hAnsi="宋体"/>
                <w:sz w:val="24"/>
              </w:rPr>
              <w:t>设有</w:t>
            </w:r>
            <w:r>
              <w:rPr>
                <w:rFonts w:ascii="宋体" w:hAnsi="宋体"/>
                <w:sz w:val="24"/>
              </w:rPr>
              <w:t>84</w:t>
            </w:r>
            <w:r>
              <w:rPr>
                <w:rFonts w:hint="eastAsia" w:ascii="宋体" w:hAnsi="宋体"/>
                <w:sz w:val="24"/>
              </w:rPr>
              <w:t>个电池舱，单个电池舱</w:t>
            </w:r>
            <w:r>
              <w:rPr>
                <w:rFonts w:ascii="宋体" w:hAnsi="宋体"/>
                <w:sz w:val="24"/>
              </w:rPr>
              <w:t>磷酸铁锂储能电池</w:t>
            </w:r>
            <w:r>
              <w:rPr>
                <w:rFonts w:hint="eastAsia" w:ascii="宋体" w:hAnsi="宋体"/>
                <w:sz w:val="24"/>
              </w:rPr>
              <w:t>数量为4</w:t>
            </w:r>
            <w:r>
              <w:rPr>
                <w:rFonts w:ascii="宋体" w:hAnsi="宋体"/>
                <w:sz w:val="24"/>
              </w:rPr>
              <w:t>992</w:t>
            </w:r>
            <w:r>
              <w:rPr>
                <w:rFonts w:hint="eastAsia" w:ascii="宋体" w:hAnsi="宋体"/>
                <w:sz w:val="24"/>
              </w:rPr>
              <w:t>个，所以</w:t>
            </w:r>
            <w:r>
              <w:rPr>
                <w:rFonts w:ascii="宋体" w:hAnsi="宋体"/>
                <w:sz w:val="24"/>
              </w:rPr>
              <w:t>全部磷酸铁锂储能电池约有</w:t>
            </w:r>
            <w:r>
              <w:rPr>
                <w:sz w:val="24"/>
              </w:rPr>
              <w:t>41.9328</w:t>
            </w:r>
            <w:r>
              <w:rPr>
                <w:rFonts w:ascii="宋体" w:hAnsi="宋体"/>
                <w:sz w:val="24"/>
              </w:rPr>
              <w:t>万个，单个质量</w:t>
            </w:r>
            <w:r>
              <w:rPr>
                <w:sz w:val="24"/>
              </w:rPr>
              <w:t>5.6kg</w:t>
            </w:r>
            <w:r>
              <w:rPr>
                <w:rFonts w:ascii="宋体" w:hAnsi="宋体"/>
                <w:sz w:val="24"/>
              </w:rPr>
              <w:t>，则假设电池达到设计寿命，更换的废电池量约为</w:t>
            </w:r>
            <w:r>
              <w:rPr>
                <w:sz w:val="24"/>
              </w:rPr>
              <w:t>2348.24t/15</w:t>
            </w:r>
            <w:r>
              <w:rPr>
                <w:rFonts w:ascii="宋体" w:hAnsi="宋体"/>
                <w:sz w:val="24"/>
              </w:rPr>
              <w:t>年。</w:t>
            </w:r>
          </w:p>
          <w:p w14:paraId="05DB4895">
            <w:pPr>
              <w:spacing w:line="360" w:lineRule="auto"/>
              <w:ind w:firstLine="482" w:firstLineChars="200"/>
              <w:rPr>
                <w:sz w:val="24"/>
              </w:rPr>
            </w:pPr>
            <w:r>
              <w:rPr>
                <w:b/>
                <w:bCs/>
                <w:sz w:val="24"/>
              </w:rPr>
              <w:t>3</w:t>
            </w:r>
            <w:r>
              <w:rPr>
                <w:rFonts w:hint="eastAsia"/>
                <w:b/>
                <w:sz w:val="24"/>
              </w:rPr>
              <w:t>）危险废物处置</w:t>
            </w:r>
          </w:p>
          <w:p w14:paraId="60DAE651">
            <w:pPr>
              <w:spacing w:line="360" w:lineRule="auto"/>
              <w:ind w:firstLine="480" w:firstLineChars="200"/>
              <w:rPr>
                <w:b/>
                <w:sz w:val="24"/>
              </w:rPr>
            </w:pPr>
            <w:r>
              <w:rPr>
                <w:rFonts w:hint="eastAsia" w:ascii="宋体" w:hAnsi="宋体"/>
                <w:sz w:val="24"/>
              </w:rPr>
              <w:t>①</w:t>
            </w:r>
            <w:r>
              <w:rPr>
                <w:rFonts w:hint="eastAsia"/>
                <w:b/>
                <w:sz w:val="24"/>
              </w:rPr>
              <w:t>废变压器油</w:t>
            </w:r>
          </w:p>
          <w:p w14:paraId="57F935F2">
            <w:pPr>
              <w:spacing w:line="360" w:lineRule="auto"/>
              <w:ind w:firstLine="480" w:firstLineChars="200"/>
              <w:rPr>
                <w:sz w:val="24"/>
              </w:rPr>
            </w:pPr>
            <w:r>
              <w:rPr>
                <w:rFonts w:hint="eastAsia"/>
                <w:sz w:val="24"/>
              </w:rPr>
              <w:t>项目变压器采用油浸式，变压器外壳内装有变压器油。变压器油主要起绝缘、散热、销弧作用，在变压器内循环使用。为确保本项目升压站部分安全稳定运行，主变压器应定期进行检修。本项目主变压器检修周期较长，约每5年检修1次。检修由专业机构利用专业设备进行。检修时变压器油自变压器底部放油孔放出，经集油坑进入事故油池。利用真空滤油机与贮油罐等专业设备将变压器油抽出暂存于贮油罐，进行多次过滤并进行理化分析及电气性能试验。处理过后合格的变压器油通过注油孔重新注入主变压器内。滤油机产生的含杂质及水分的不合格废变压器油产生量约0</w:t>
            </w:r>
            <w:r>
              <w:rPr>
                <w:sz w:val="24"/>
              </w:rPr>
              <w:t>.05</w:t>
            </w:r>
            <w:r>
              <w:rPr>
                <w:rFonts w:hint="eastAsia"/>
                <w:sz w:val="24"/>
              </w:rPr>
              <w:t>t/次，故平均年产生量约0</w:t>
            </w:r>
            <w:r>
              <w:rPr>
                <w:sz w:val="24"/>
              </w:rPr>
              <w:t>.01</w:t>
            </w:r>
            <w:r>
              <w:rPr>
                <w:rFonts w:hint="eastAsia"/>
                <w:sz w:val="24"/>
              </w:rPr>
              <w:t>t/年。产生的废变压器油属于危险废物，属于《国家危险废物名录（202</w:t>
            </w:r>
            <w:r>
              <w:rPr>
                <w:sz w:val="24"/>
              </w:rPr>
              <w:t>5</w:t>
            </w:r>
            <w:r>
              <w:rPr>
                <w:rFonts w:hint="eastAsia"/>
                <w:sz w:val="24"/>
              </w:rPr>
              <w:t>年版）》中的危险废物（危废类别HW08废矿物油与含矿物油废物，废物代码900-220-08），暂存在危废品仓库，定期交由有危险废物处置资质的单位回收处置。</w:t>
            </w:r>
          </w:p>
          <w:p w14:paraId="0E934A71">
            <w:pPr>
              <w:widowControl/>
              <w:spacing w:line="360" w:lineRule="auto"/>
              <w:ind w:firstLine="482" w:firstLineChars="200"/>
              <w:jc w:val="left"/>
              <w:rPr>
                <w:rFonts w:ascii="宋体" w:hAnsi="宋体"/>
                <w:kern w:val="0"/>
                <w:sz w:val="24"/>
              </w:rPr>
            </w:pPr>
            <w:r>
              <w:rPr>
                <w:rFonts w:hint="eastAsia" w:ascii="宋体" w:hAnsi="宋体"/>
                <w:b/>
                <w:sz w:val="24"/>
              </w:rPr>
              <w:t>②</w:t>
            </w:r>
            <w:r>
              <w:rPr>
                <w:rFonts w:hint="eastAsia" w:ascii="宋体" w:hAnsi="宋体"/>
                <w:b/>
                <w:bCs/>
                <w:sz w:val="24"/>
              </w:rPr>
              <w:t xml:space="preserve">含油废抹布及手套 </w:t>
            </w:r>
          </w:p>
          <w:p w14:paraId="629173B8">
            <w:pPr>
              <w:spacing w:line="360" w:lineRule="auto"/>
              <w:ind w:firstLine="480" w:firstLineChars="200"/>
              <w:rPr>
                <w:sz w:val="24"/>
              </w:rPr>
            </w:pPr>
            <w:r>
              <w:rPr>
                <w:rFonts w:hint="eastAsia" w:ascii="宋体" w:hAnsi="宋体"/>
                <w:sz w:val="24"/>
              </w:rPr>
              <w:t>在设备维修维护过程产生含油废抹布及手套，属于《国家危险废物名录（</w:t>
            </w:r>
            <w:r>
              <w:rPr>
                <w:sz w:val="24"/>
              </w:rPr>
              <w:t>2025年版）》</w:t>
            </w:r>
            <w:r>
              <w:rPr>
                <w:rFonts w:hint="eastAsia" w:ascii="宋体" w:hAnsi="宋体"/>
                <w:sz w:val="24"/>
              </w:rPr>
              <w:t>中的危险废物（危废类别</w:t>
            </w:r>
            <w:r>
              <w:rPr>
                <w:rFonts w:ascii="宋体" w:hAnsi="宋体"/>
                <w:sz w:val="24"/>
              </w:rPr>
              <w:t>HW49</w:t>
            </w:r>
            <w:r>
              <w:rPr>
                <w:rFonts w:hint="eastAsia" w:ascii="宋体" w:hAnsi="宋体"/>
                <w:sz w:val="24"/>
              </w:rPr>
              <w:t>其他废物，废物代码</w:t>
            </w:r>
            <w:r>
              <w:rPr>
                <w:sz w:val="24"/>
              </w:rPr>
              <w:t>900-041-49</w:t>
            </w:r>
            <w:r>
              <w:rPr>
                <w:rFonts w:hint="eastAsia" w:ascii="宋体" w:hAnsi="宋体"/>
                <w:sz w:val="24"/>
              </w:rPr>
              <w:t>），产生量约为</w:t>
            </w:r>
            <w:r>
              <w:rPr>
                <w:sz w:val="24"/>
              </w:rPr>
              <w:t>0.01t/a</w:t>
            </w:r>
            <w:r>
              <w:rPr>
                <w:rFonts w:hint="eastAsia" w:ascii="宋体" w:hAnsi="宋体"/>
                <w:sz w:val="24"/>
              </w:rPr>
              <w:t>，</w:t>
            </w:r>
            <w:r>
              <w:rPr>
                <w:rFonts w:hint="eastAsia"/>
                <w:sz w:val="24"/>
              </w:rPr>
              <w:t>暂存在危废品仓库，定期交由有危险废物处置资质的单位回收处置。</w:t>
            </w:r>
          </w:p>
          <w:p w14:paraId="71AE45CB">
            <w:pPr>
              <w:spacing w:line="360" w:lineRule="auto"/>
              <w:ind w:firstLine="482" w:firstLineChars="200"/>
              <w:rPr>
                <w:b/>
                <w:bCs/>
                <w:sz w:val="24"/>
              </w:rPr>
            </w:pPr>
            <w:r>
              <w:rPr>
                <w:rFonts w:hint="eastAsia" w:ascii="宋体" w:hAnsi="宋体"/>
                <w:b/>
                <w:bCs/>
                <w:sz w:val="24"/>
              </w:rPr>
              <w:t>（2）固体废物汇总表</w:t>
            </w:r>
          </w:p>
          <w:p w14:paraId="3FB8BEFD">
            <w:pPr>
              <w:pStyle w:val="2"/>
              <w:spacing w:before="0" w:after="0" w:line="360" w:lineRule="auto"/>
              <w:ind w:left="0" w:firstLine="480" w:firstLineChars="200"/>
              <w:rPr>
                <w:rFonts w:ascii="宋体" w:hAnsi="宋体" w:eastAsia="宋体"/>
                <w:b w:val="0"/>
                <w:color w:val="auto"/>
                <w:sz w:val="24"/>
                <w:szCs w:val="24"/>
              </w:rPr>
            </w:pPr>
            <w:r>
              <w:rPr>
                <w:rFonts w:hint="eastAsia" w:ascii="宋体" w:hAnsi="宋体" w:eastAsia="宋体"/>
                <w:b w:val="0"/>
                <w:color w:val="auto"/>
                <w:sz w:val="24"/>
                <w:szCs w:val="24"/>
              </w:rPr>
              <w:t>项目固体废物汇总情况如下表：</w:t>
            </w:r>
          </w:p>
          <w:p w14:paraId="623874E3">
            <w:pPr>
              <w:jc w:val="center"/>
              <w:rPr>
                <w:rFonts w:ascii="宋体" w:hAnsi="宋体"/>
                <w:b/>
                <w:bCs/>
                <w:sz w:val="24"/>
              </w:rPr>
            </w:pPr>
            <w:r>
              <w:rPr>
                <w:rFonts w:hint="eastAsia" w:ascii="宋体" w:hAnsi="宋体"/>
                <w:b/>
                <w:bCs/>
                <w:sz w:val="24"/>
              </w:rPr>
              <w:t>表4-</w:t>
            </w:r>
            <w:r>
              <w:rPr>
                <w:rFonts w:ascii="宋体" w:hAnsi="宋体"/>
                <w:b/>
                <w:bCs/>
                <w:sz w:val="24"/>
              </w:rPr>
              <w:t>11</w:t>
            </w:r>
            <w:r>
              <w:rPr>
                <w:rFonts w:hint="eastAsia" w:ascii="宋体" w:hAnsi="宋体"/>
                <w:b/>
                <w:bCs/>
                <w:sz w:val="24"/>
              </w:rPr>
              <w:t>固废产排污节点、污染物及污染治理设施信息表</w:t>
            </w:r>
          </w:p>
          <w:tbl>
            <w:tblPr>
              <w:tblStyle w:val="150"/>
              <w:tblW w:w="0" w:type="auto"/>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895"/>
              <w:gridCol w:w="850"/>
              <w:gridCol w:w="640"/>
              <w:gridCol w:w="527"/>
              <w:gridCol w:w="797"/>
              <w:gridCol w:w="1206"/>
              <w:gridCol w:w="1044"/>
              <w:gridCol w:w="1442"/>
            </w:tblGrid>
            <w:tr w14:paraId="7B9D5E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895" w:type="dxa"/>
                  <w:tcBorders>
                    <w:top w:val="single" w:color="auto" w:sz="12" w:space="0"/>
                    <w:left w:val="nil"/>
                    <w:bottom w:val="single" w:color="auto" w:sz="4" w:space="0"/>
                    <w:right w:val="single" w:color="auto" w:sz="4" w:space="0"/>
                  </w:tcBorders>
                  <w:vAlign w:val="center"/>
                </w:tcPr>
                <w:p w14:paraId="3968DE70">
                  <w:pPr>
                    <w:pStyle w:val="149"/>
                    <w:spacing w:before="120" w:after="120"/>
                    <w:rPr>
                      <w:rFonts w:hint="default" w:ascii="Times New Roman" w:hAnsi="Times New Roman" w:eastAsia="宋体" w:cs="Times New Roman"/>
                      <w:b w:val="0"/>
                      <w:i w:val="0"/>
                    </w:rPr>
                  </w:pPr>
                  <w:r>
                    <w:rPr>
                      <w:rFonts w:hint="eastAsia" w:ascii="宋体" w:hAnsi="宋体" w:eastAsia="宋体" w:cs="Times New Roman"/>
                      <w:b w:val="0"/>
                      <w:i w:val="0"/>
                    </w:rPr>
                    <w:t>名称</w:t>
                  </w:r>
                </w:p>
              </w:tc>
              <w:tc>
                <w:tcPr>
                  <w:tcW w:w="850" w:type="dxa"/>
                  <w:tcBorders>
                    <w:top w:val="single" w:color="auto" w:sz="12" w:space="0"/>
                    <w:left w:val="single" w:color="auto" w:sz="4" w:space="0"/>
                    <w:bottom w:val="single" w:color="auto" w:sz="4" w:space="0"/>
                    <w:right w:val="single" w:color="auto" w:sz="4" w:space="0"/>
                  </w:tcBorders>
                  <w:vAlign w:val="center"/>
                </w:tcPr>
                <w:p w14:paraId="6911D983">
                  <w:pPr>
                    <w:pStyle w:val="149"/>
                    <w:spacing w:before="120" w:after="120"/>
                    <w:rPr>
                      <w:rFonts w:hint="default" w:ascii="Times New Roman" w:hAnsi="Times New Roman" w:eastAsia="宋体" w:cs="Times New Roman"/>
                      <w:b w:val="0"/>
                      <w:i w:val="0"/>
                    </w:rPr>
                  </w:pPr>
                  <w:r>
                    <w:rPr>
                      <w:rFonts w:hint="eastAsia" w:ascii="宋体" w:hAnsi="宋体" w:eastAsia="宋体" w:cs="Times New Roman"/>
                      <w:b w:val="0"/>
                      <w:i w:val="0"/>
                    </w:rPr>
                    <w:t>属性</w:t>
                  </w:r>
                </w:p>
              </w:tc>
              <w:tc>
                <w:tcPr>
                  <w:tcW w:w="640" w:type="dxa"/>
                  <w:tcBorders>
                    <w:top w:val="single" w:color="auto" w:sz="12" w:space="0"/>
                    <w:left w:val="single" w:color="auto" w:sz="4" w:space="0"/>
                    <w:bottom w:val="single" w:color="auto" w:sz="4" w:space="0"/>
                    <w:right w:val="single" w:color="auto" w:sz="4" w:space="0"/>
                  </w:tcBorders>
                  <w:vAlign w:val="center"/>
                </w:tcPr>
                <w:p w14:paraId="60936152">
                  <w:pPr>
                    <w:pStyle w:val="149"/>
                    <w:spacing w:before="120" w:after="120"/>
                    <w:rPr>
                      <w:rFonts w:hint="default" w:ascii="Times New Roman" w:hAnsi="Times New Roman" w:eastAsia="宋体" w:cs="Times New Roman"/>
                      <w:b w:val="0"/>
                      <w:i w:val="0"/>
                    </w:rPr>
                  </w:pPr>
                  <w:r>
                    <w:rPr>
                      <w:rFonts w:hint="eastAsia" w:ascii="宋体" w:hAnsi="宋体" w:eastAsia="宋体" w:cs="Times New Roman"/>
                      <w:b w:val="0"/>
                      <w:i w:val="0"/>
                    </w:rPr>
                    <w:t>主要有毒有害物质</w:t>
                  </w:r>
                </w:p>
              </w:tc>
              <w:tc>
                <w:tcPr>
                  <w:tcW w:w="0" w:type="auto"/>
                  <w:tcBorders>
                    <w:top w:val="single" w:color="auto" w:sz="12" w:space="0"/>
                    <w:left w:val="single" w:color="auto" w:sz="4" w:space="0"/>
                    <w:bottom w:val="single" w:color="auto" w:sz="4" w:space="0"/>
                    <w:right w:val="single" w:color="auto" w:sz="4" w:space="0"/>
                  </w:tcBorders>
                  <w:vAlign w:val="center"/>
                </w:tcPr>
                <w:p w14:paraId="2F3C4006">
                  <w:pPr>
                    <w:pStyle w:val="149"/>
                    <w:spacing w:before="120" w:after="120"/>
                    <w:rPr>
                      <w:rFonts w:hint="default" w:ascii="Times New Roman" w:hAnsi="Times New Roman" w:eastAsia="宋体" w:cs="Times New Roman"/>
                      <w:b w:val="0"/>
                      <w:i w:val="0"/>
                    </w:rPr>
                  </w:pPr>
                  <w:r>
                    <w:rPr>
                      <w:rFonts w:hint="eastAsia" w:ascii="宋体" w:hAnsi="宋体" w:eastAsia="宋体" w:cs="Times New Roman"/>
                      <w:b w:val="0"/>
                      <w:i w:val="0"/>
                    </w:rPr>
                    <w:t>物理性状</w:t>
                  </w:r>
                </w:p>
              </w:tc>
              <w:tc>
                <w:tcPr>
                  <w:tcW w:w="0" w:type="auto"/>
                  <w:tcBorders>
                    <w:top w:val="single" w:color="auto" w:sz="12" w:space="0"/>
                    <w:left w:val="single" w:color="auto" w:sz="4" w:space="0"/>
                    <w:bottom w:val="single" w:color="auto" w:sz="4" w:space="0"/>
                    <w:right w:val="single" w:color="auto" w:sz="4" w:space="0"/>
                  </w:tcBorders>
                  <w:vAlign w:val="center"/>
                </w:tcPr>
                <w:p w14:paraId="47E63B95">
                  <w:pPr>
                    <w:pStyle w:val="149"/>
                    <w:spacing w:before="120" w:after="120"/>
                    <w:rPr>
                      <w:rFonts w:hint="default" w:ascii="Times New Roman" w:hAnsi="Times New Roman" w:eastAsia="宋体" w:cs="Times New Roman"/>
                      <w:b w:val="0"/>
                      <w:i w:val="0"/>
                    </w:rPr>
                  </w:pPr>
                  <w:r>
                    <w:rPr>
                      <w:rFonts w:hint="eastAsia" w:ascii="宋体" w:hAnsi="宋体" w:eastAsia="宋体" w:cs="Times New Roman"/>
                      <w:b w:val="0"/>
                      <w:i w:val="0"/>
                    </w:rPr>
                    <w:t>环境危险特性</w:t>
                  </w:r>
                </w:p>
              </w:tc>
              <w:tc>
                <w:tcPr>
                  <w:tcW w:w="0" w:type="auto"/>
                  <w:tcBorders>
                    <w:top w:val="single" w:color="auto" w:sz="12" w:space="0"/>
                    <w:left w:val="single" w:color="auto" w:sz="4" w:space="0"/>
                    <w:bottom w:val="single" w:color="auto" w:sz="4" w:space="0"/>
                    <w:right w:val="single" w:color="auto" w:sz="4" w:space="0"/>
                  </w:tcBorders>
                  <w:vAlign w:val="center"/>
                </w:tcPr>
                <w:p w14:paraId="585E540C">
                  <w:pPr>
                    <w:pStyle w:val="149"/>
                    <w:spacing w:before="120" w:after="120"/>
                    <w:rPr>
                      <w:rFonts w:hint="default" w:ascii="Times New Roman" w:hAnsi="Times New Roman" w:eastAsia="宋体" w:cs="Times New Roman"/>
                      <w:b w:val="0"/>
                      <w:i w:val="0"/>
                    </w:rPr>
                  </w:pPr>
                  <w:r>
                    <w:rPr>
                      <w:rFonts w:hint="eastAsia" w:ascii="宋体" w:hAnsi="宋体" w:eastAsia="宋体" w:cs="Times New Roman"/>
                      <w:b w:val="0"/>
                      <w:i w:val="0"/>
                    </w:rPr>
                    <w:t>产生量</w:t>
                  </w:r>
                </w:p>
              </w:tc>
              <w:tc>
                <w:tcPr>
                  <w:tcW w:w="0" w:type="auto"/>
                  <w:tcBorders>
                    <w:top w:val="single" w:color="auto" w:sz="12" w:space="0"/>
                    <w:left w:val="single" w:color="auto" w:sz="4" w:space="0"/>
                    <w:bottom w:val="single" w:color="auto" w:sz="4" w:space="0"/>
                    <w:right w:val="single" w:color="auto" w:sz="4" w:space="0"/>
                  </w:tcBorders>
                  <w:vAlign w:val="center"/>
                </w:tcPr>
                <w:p w14:paraId="35A37003">
                  <w:pPr>
                    <w:pStyle w:val="149"/>
                    <w:spacing w:before="120" w:after="120"/>
                    <w:rPr>
                      <w:rFonts w:hint="default" w:ascii="Times New Roman" w:hAnsi="Times New Roman" w:eastAsia="宋体" w:cs="Times New Roman"/>
                      <w:b w:val="0"/>
                      <w:i w:val="0"/>
                    </w:rPr>
                  </w:pPr>
                  <w:r>
                    <w:rPr>
                      <w:rFonts w:hint="eastAsia" w:ascii="宋体" w:hAnsi="宋体" w:eastAsia="宋体" w:cs="Times New Roman"/>
                      <w:b w:val="0"/>
                      <w:i w:val="0"/>
                    </w:rPr>
                    <w:t>贮存方式</w:t>
                  </w:r>
                </w:p>
              </w:tc>
              <w:tc>
                <w:tcPr>
                  <w:tcW w:w="0" w:type="auto"/>
                  <w:tcBorders>
                    <w:top w:val="single" w:color="auto" w:sz="12" w:space="0"/>
                    <w:left w:val="single" w:color="auto" w:sz="4" w:space="0"/>
                    <w:bottom w:val="single" w:color="auto" w:sz="4" w:space="0"/>
                    <w:right w:val="nil"/>
                  </w:tcBorders>
                  <w:vAlign w:val="center"/>
                </w:tcPr>
                <w:p w14:paraId="39E4D779">
                  <w:pPr>
                    <w:pStyle w:val="149"/>
                    <w:spacing w:before="120" w:after="120"/>
                    <w:rPr>
                      <w:rFonts w:hint="default" w:ascii="Times New Roman" w:hAnsi="Times New Roman" w:eastAsia="宋体" w:cs="Times New Roman"/>
                      <w:b w:val="0"/>
                      <w:i w:val="0"/>
                    </w:rPr>
                  </w:pPr>
                  <w:r>
                    <w:rPr>
                      <w:rFonts w:hint="eastAsia" w:ascii="宋体" w:hAnsi="宋体" w:eastAsia="宋体" w:cs="Times New Roman"/>
                      <w:b w:val="0"/>
                      <w:i w:val="0"/>
                    </w:rPr>
                    <w:t>利用处置方式和去向</w:t>
                  </w:r>
                </w:p>
              </w:tc>
            </w:tr>
            <w:tr w14:paraId="509785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895" w:type="dxa"/>
                  <w:tcBorders>
                    <w:top w:val="single" w:color="auto" w:sz="4" w:space="0"/>
                    <w:left w:val="nil"/>
                    <w:bottom w:val="single" w:color="auto" w:sz="4" w:space="0"/>
                    <w:right w:val="single" w:color="auto" w:sz="4" w:space="0"/>
                  </w:tcBorders>
                  <w:vAlign w:val="center"/>
                </w:tcPr>
                <w:p w14:paraId="038A2928">
                  <w:pPr>
                    <w:pStyle w:val="149"/>
                    <w:spacing w:before="120" w:after="120"/>
                    <w:rPr>
                      <w:rFonts w:eastAsia="Times New Roman"/>
                    </w:rPr>
                  </w:pPr>
                  <w:r>
                    <w:rPr>
                      <w:rFonts w:hint="eastAsia" w:ascii="宋体" w:hAnsi="宋体" w:eastAsia="Times New Roman"/>
                    </w:rPr>
                    <w:t>生活垃圾</w:t>
                  </w:r>
                </w:p>
              </w:tc>
              <w:tc>
                <w:tcPr>
                  <w:tcW w:w="850" w:type="dxa"/>
                  <w:tcBorders>
                    <w:top w:val="single" w:color="auto" w:sz="4" w:space="0"/>
                    <w:left w:val="single" w:color="auto" w:sz="4" w:space="0"/>
                    <w:bottom w:val="single" w:color="auto" w:sz="4" w:space="0"/>
                    <w:right w:val="single" w:color="auto" w:sz="4" w:space="0"/>
                  </w:tcBorders>
                  <w:vAlign w:val="center"/>
                </w:tcPr>
                <w:p w14:paraId="1EBC876A">
                  <w:pPr>
                    <w:pStyle w:val="149"/>
                    <w:spacing w:before="120" w:after="120"/>
                    <w:rPr>
                      <w:rFonts w:eastAsia="Times New Roman"/>
                    </w:rPr>
                  </w:pPr>
                  <w:r>
                    <w:rPr>
                      <w:rFonts w:hint="eastAsia" w:eastAsia="Times New Roman"/>
                    </w:rPr>
                    <w:t>/</w:t>
                  </w:r>
                </w:p>
              </w:tc>
              <w:tc>
                <w:tcPr>
                  <w:tcW w:w="640" w:type="dxa"/>
                  <w:tcBorders>
                    <w:top w:val="single" w:color="auto" w:sz="4" w:space="0"/>
                    <w:left w:val="single" w:color="auto" w:sz="4" w:space="0"/>
                    <w:bottom w:val="single" w:color="auto" w:sz="4" w:space="0"/>
                    <w:right w:val="single" w:color="auto" w:sz="4" w:space="0"/>
                  </w:tcBorders>
                  <w:vAlign w:val="center"/>
                </w:tcPr>
                <w:p w14:paraId="237CFC48">
                  <w:pPr>
                    <w:pStyle w:val="149"/>
                    <w:spacing w:before="120" w:after="120"/>
                    <w:rPr>
                      <w:rFonts w:eastAsia="Times New Roman"/>
                    </w:rPr>
                  </w:pPr>
                  <w:r>
                    <w:rPr>
                      <w:rFonts w:hint="eastAsia" w:eastAsia="Times New Roman"/>
                    </w:rPr>
                    <w:t>/</w:t>
                  </w:r>
                </w:p>
              </w:tc>
              <w:tc>
                <w:tcPr>
                  <w:tcW w:w="0" w:type="auto"/>
                  <w:tcBorders>
                    <w:top w:val="single" w:color="auto" w:sz="4" w:space="0"/>
                    <w:left w:val="single" w:color="auto" w:sz="4" w:space="0"/>
                    <w:bottom w:val="single" w:color="auto" w:sz="4" w:space="0"/>
                    <w:right w:val="single" w:color="auto" w:sz="4" w:space="0"/>
                  </w:tcBorders>
                  <w:vAlign w:val="center"/>
                </w:tcPr>
                <w:p w14:paraId="20DF1B8B">
                  <w:pPr>
                    <w:pStyle w:val="149"/>
                    <w:spacing w:before="120" w:after="120"/>
                    <w:rPr>
                      <w:rFonts w:eastAsia="Times New Roman"/>
                    </w:rPr>
                  </w:pPr>
                  <w:r>
                    <w:rPr>
                      <w:rFonts w:hint="eastAsia" w:ascii="宋体" w:hAnsi="宋体" w:eastAsia="Times New Roman"/>
                    </w:rPr>
                    <w:t>固体</w:t>
                  </w:r>
                </w:p>
              </w:tc>
              <w:tc>
                <w:tcPr>
                  <w:tcW w:w="0" w:type="auto"/>
                  <w:tcBorders>
                    <w:top w:val="single" w:color="auto" w:sz="4" w:space="0"/>
                    <w:left w:val="single" w:color="auto" w:sz="4" w:space="0"/>
                    <w:bottom w:val="single" w:color="auto" w:sz="4" w:space="0"/>
                    <w:right w:val="single" w:color="auto" w:sz="4" w:space="0"/>
                  </w:tcBorders>
                  <w:vAlign w:val="center"/>
                </w:tcPr>
                <w:p w14:paraId="24FA1076">
                  <w:pPr>
                    <w:pStyle w:val="149"/>
                    <w:spacing w:before="120" w:after="120"/>
                    <w:rPr>
                      <w:rFonts w:eastAsia="Times New Roman"/>
                    </w:rPr>
                  </w:pPr>
                  <w:r>
                    <w:rPr>
                      <w:rFonts w:hint="eastAsia" w:eastAsia="Times New Roman"/>
                    </w:rPr>
                    <w:t>/</w:t>
                  </w:r>
                </w:p>
              </w:tc>
              <w:tc>
                <w:tcPr>
                  <w:tcW w:w="0" w:type="auto"/>
                  <w:tcBorders>
                    <w:top w:val="single" w:color="auto" w:sz="4" w:space="0"/>
                    <w:left w:val="single" w:color="auto" w:sz="4" w:space="0"/>
                    <w:bottom w:val="single" w:color="auto" w:sz="4" w:space="0"/>
                    <w:right w:val="single" w:color="auto" w:sz="4" w:space="0"/>
                  </w:tcBorders>
                  <w:vAlign w:val="center"/>
                </w:tcPr>
                <w:p w14:paraId="75A229AC">
                  <w:pPr>
                    <w:pStyle w:val="149"/>
                    <w:spacing w:before="120" w:after="120"/>
                    <w:rPr>
                      <w:rFonts w:eastAsia="Times New Roman"/>
                    </w:rPr>
                  </w:pPr>
                  <w:r>
                    <w:rPr>
                      <w:rFonts w:hint="eastAsia" w:eastAsia="Times New Roman"/>
                    </w:rPr>
                    <w:t>1</w:t>
                  </w:r>
                  <w:r>
                    <w:rPr>
                      <w:rFonts w:eastAsia="Times New Roman"/>
                    </w:rPr>
                    <w:t>.82t/a</w:t>
                  </w:r>
                </w:p>
              </w:tc>
              <w:tc>
                <w:tcPr>
                  <w:tcW w:w="0" w:type="auto"/>
                  <w:tcBorders>
                    <w:top w:val="single" w:color="auto" w:sz="4" w:space="0"/>
                    <w:left w:val="single" w:color="auto" w:sz="4" w:space="0"/>
                    <w:bottom w:val="single" w:color="auto" w:sz="4" w:space="0"/>
                    <w:right w:val="single" w:color="auto" w:sz="4" w:space="0"/>
                  </w:tcBorders>
                  <w:vAlign w:val="center"/>
                </w:tcPr>
                <w:p w14:paraId="38E81274">
                  <w:pPr>
                    <w:pStyle w:val="149"/>
                    <w:spacing w:before="120" w:after="120"/>
                    <w:rPr>
                      <w:rFonts w:eastAsia="Times New Roman"/>
                    </w:rPr>
                  </w:pPr>
                  <w:r>
                    <w:rPr>
                      <w:rFonts w:hint="eastAsia" w:ascii="宋体" w:hAnsi="宋体" w:eastAsia="Times New Roman"/>
                    </w:rPr>
                    <w:t>垃圾桶等</w:t>
                  </w:r>
                </w:p>
              </w:tc>
              <w:tc>
                <w:tcPr>
                  <w:tcW w:w="0" w:type="auto"/>
                  <w:tcBorders>
                    <w:top w:val="single" w:color="auto" w:sz="4" w:space="0"/>
                    <w:left w:val="single" w:color="auto" w:sz="4" w:space="0"/>
                    <w:bottom w:val="single" w:color="auto" w:sz="4" w:space="0"/>
                    <w:right w:val="nil"/>
                  </w:tcBorders>
                  <w:vAlign w:val="center"/>
                </w:tcPr>
                <w:p w14:paraId="4C61A68B">
                  <w:pPr>
                    <w:pStyle w:val="149"/>
                    <w:spacing w:before="120" w:after="120"/>
                    <w:rPr>
                      <w:rFonts w:eastAsia="Times New Roman"/>
                    </w:rPr>
                  </w:pPr>
                  <w:r>
                    <w:rPr>
                      <w:rFonts w:hint="eastAsia" w:ascii="宋体" w:hAnsi="宋体" w:eastAsia="Times New Roman"/>
                    </w:rPr>
                    <w:t>环卫部门清运</w:t>
                  </w:r>
                </w:p>
              </w:tc>
            </w:tr>
            <w:tr w14:paraId="07A34F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895" w:type="dxa"/>
                  <w:tcBorders>
                    <w:top w:val="single" w:color="auto" w:sz="4" w:space="0"/>
                    <w:left w:val="nil"/>
                    <w:bottom w:val="single" w:color="auto" w:sz="4" w:space="0"/>
                    <w:right w:val="single" w:color="auto" w:sz="4" w:space="0"/>
                  </w:tcBorders>
                  <w:vAlign w:val="center"/>
                </w:tcPr>
                <w:p w14:paraId="769CEFB1">
                  <w:pPr>
                    <w:pStyle w:val="149"/>
                    <w:spacing w:before="120" w:after="120"/>
                    <w:rPr>
                      <w:rFonts w:eastAsia="Times New Roman"/>
                    </w:rPr>
                  </w:pPr>
                  <w:r>
                    <w:rPr>
                      <w:rFonts w:hint="eastAsia" w:ascii="宋体" w:hAnsi="宋体" w:eastAsia="Times New Roman"/>
                    </w:rPr>
                    <w:t>废磷酸铁锂储能电池</w:t>
                  </w:r>
                </w:p>
              </w:tc>
              <w:tc>
                <w:tcPr>
                  <w:tcW w:w="850" w:type="dxa"/>
                  <w:tcBorders>
                    <w:top w:val="single" w:color="auto" w:sz="4" w:space="0"/>
                    <w:left w:val="single" w:color="auto" w:sz="4" w:space="0"/>
                    <w:bottom w:val="single" w:color="auto" w:sz="4" w:space="0"/>
                    <w:right w:val="single" w:color="auto" w:sz="4" w:space="0"/>
                  </w:tcBorders>
                  <w:vAlign w:val="center"/>
                </w:tcPr>
                <w:p w14:paraId="1EE4A875">
                  <w:pPr>
                    <w:pStyle w:val="149"/>
                    <w:spacing w:before="120" w:after="120"/>
                    <w:rPr>
                      <w:rFonts w:eastAsia="Times New Roman"/>
                    </w:rPr>
                  </w:pPr>
                  <w:r>
                    <w:rPr>
                      <w:rFonts w:hint="eastAsia" w:ascii="宋体" w:hAnsi="宋体" w:eastAsia="Times New Roman"/>
                    </w:rPr>
                    <w:t>一般固废</w:t>
                  </w:r>
                </w:p>
              </w:tc>
              <w:tc>
                <w:tcPr>
                  <w:tcW w:w="640" w:type="dxa"/>
                  <w:tcBorders>
                    <w:top w:val="single" w:color="auto" w:sz="4" w:space="0"/>
                    <w:left w:val="single" w:color="auto" w:sz="4" w:space="0"/>
                    <w:bottom w:val="single" w:color="auto" w:sz="4" w:space="0"/>
                    <w:right w:val="single" w:color="auto" w:sz="4" w:space="0"/>
                  </w:tcBorders>
                  <w:vAlign w:val="center"/>
                </w:tcPr>
                <w:p w14:paraId="6899138D">
                  <w:pPr>
                    <w:pStyle w:val="149"/>
                    <w:spacing w:before="120" w:after="120"/>
                    <w:rPr>
                      <w:rFonts w:eastAsia="Times New Roman"/>
                    </w:rPr>
                  </w:pPr>
                  <w:r>
                    <w:rPr>
                      <w:rFonts w:hint="eastAsia" w:ascii="宋体" w:hAnsi="宋体" w:eastAsia="Times New Roman"/>
                    </w:rPr>
                    <w:t>电解液</w:t>
                  </w:r>
                </w:p>
              </w:tc>
              <w:tc>
                <w:tcPr>
                  <w:tcW w:w="0" w:type="auto"/>
                  <w:tcBorders>
                    <w:top w:val="single" w:color="auto" w:sz="4" w:space="0"/>
                    <w:left w:val="single" w:color="auto" w:sz="4" w:space="0"/>
                    <w:bottom w:val="single" w:color="auto" w:sz="4" w:space="0"/>
                    <w:right w:val="single" w:color="auto" w:sz="4" w:space="0"/>
                  </w:tcBorders>
                  <w:vAlign w:val="center"/>
                </w:tcPr>
                <w:p w14:paraId="4831ADF9">
                  <w:pPr>
                    <w:pStyle w:val="149"/>
                    <w:spacing w:before="120" w:after="120"/>
                    <w:rPr>
                      <w:rFonts w:eastAsia="Times New Roman"/>
                    </w:rPr>
                  </w:pPr>
                  <w:r>
                    <w:rPr>
                      <w:rFonts w:hint="eastAsia" w:ascii="宋体" w:hAnsi="宋体" w:eastAsia="Times New Roman"/>
                    </w:rPr>
                    <w:t>固体</w:t>
                  </w:r>
                </w:p>
              </w:tc>
              <w:tc>
                <w:tcPr>
                  <w:tcW w:w="0" w:type="auto"/>
                  <w:tcBorders>
                    <w:top w:val="single" w:color="auto" w:sz="4" w:space="0"/>
                    <w:left w:val="single" w:color="auto" w:sz="4" w:space="0"/>
                    <w:bottom w:val="single" w:color="auto" w:sz="4" w:space="0"/>
                    <w:right w:val="single" w:color="auto" w:sz="4" w:space="0"/>
                  </w:tcBorders>
                  <w:vAlign w:val="center"/>
                </w:tcPr>
                <w:p w14:paraId="2E1EAAD9">
                  <w:pPr>
                    <w:pStyle w:val="149"/>
                    <w:spacing w:before="120" w:after="120"/>
                    <w:rPr>
                      <w:rFonts w:eastAsia="Times New Roman"/>
                    </w:rPr>
                  </w:pPr>
                  <w:r>
                    <w:rPr>
                      <w:rFonts w:hint="eastAsia" w:eastAsia="Times New Roman"/>
                    </w:rPr>
                    <w:t>/</w:t>
                  </w:r>
                </w:p>
              </w:tc>
              <w:tc>
                <w:tcPr>
                  <w:tcW w:w="0" w:type="auto"/>
                  <w:tcBorders>
                    <w:top w:val="single" w:color="auto" w:sz="4" w:space="0"/>
                    <w:left w:val="single" w:color="auto" w:sz="4" w:space="0"/>
                    <w:bottom w:val="single" w:color="auto" w:sz="4" w:space="0"/>
                    <w:right w:val="single" w:color="auto" w:sz="4" w:space="0"/>
                  </w:tcBorders>
                  <w:vAlign w:val="center"/>
                </w:tcPr>
                <w:p w14:paraId="1378FC85">
                  <w:pPr>
                    <w:pStyle w:val="149"/>
                    <w:spacing w:before="120" w:after="120"/>
                    <w:rPr>
                      <w:rFonts w:eastAsia="Times New Roman"/>
                    </w:rPr>
                  </w:pPr>
                  <w:r>
                    <w:rPr>
                      <w:rFonts w:eastAsia="Times New Roman"/>
                    </w:rPr>
                    <w:t>2348.24tt/15</w:t>
                  </w:r>
                  <w:r>
                    <w:rPr>
                      <w:rFonts w:hint="eastAsia" w:ascii="宋体" w:hAnsi="宋体" w:eastAsia="Times New Roman"/>
                    </w:rPr>
                    <w:t>年</w:t>
                  </w:r>
                </w:p>
              </w:tc>
              <w:tc>
                <w:tcPr>
                  <w:tcW w:w="0" w:type="auto"/>
                  <w:tcBorders>
                    <w:top w:val="single" w:color="auto" w:sz="4" w:space="0"/>
                    <w:left w:val="single" w:color="auto" w:sz="4" w:space="0"/>
                    <w:bottom w:val="single" w:color="auto" w:sz="4" w:space="0"/>
                    <w:right w:val="single" w:color="auto" w:sz="4" w:space="0"/>
                  </w:tcBorders>
                  <w:vAlign w:val="center"/>
                </w:tcPr>
                <w:p w14:paraId="7159ADD7">
                  <w:pPr>
                    <w:pStyle w:val="149"/>
                    <w:spacing w:before="120" w:after="120"/>
                    <w:rPr>
                      <w:rFonts w:eastAsia="Times New Roman"/>
                    </w:rPr>
                  </w:pPr>
                  <w:r>
                    <w:rPr>
                      <w:rFonts w:hint="eastAsia" w:ascii="宋体" w:hAnsi="宋体" w:eastAsia="Times New Roman"/>
                    </w:rPr>
                    <w:t>厂家回收，不暂存</w:t>
                  </w:r>
                </w:p>
              </w:tc>
              <w:tc>
                <w:tcPr>
                  <w:tcW w:w="0" w:type="auto"/>
                  <w:tcBorders>
                    <w:top w:val="single" w:color="auto" w:sz="4" w:space="0"/>
                    <w:left w:val="single" w:color="auto" w:sz="4" w:space="0"/>
                    <w:bottom w:val="single" w:color="auto" w:sz="4" w:space="0"/>
                    <w:right w:val="nil"/>
                  </w:tcBorders>
                  <w:vAlign w:val="center"/>
                </w:tcPr>
                <w:p w14:paraId="1AB386C5">
                  <w:pPr>
                    <w:pStyle w:val="149"/>
                    <w:spacing w:before="120" w:after="120"/>
                    <w:rPr>
                      <w:rFonts w:eastAsia="Times New Roman"/>
                    </w:rPr>
                  </w:pPr>
                  <w:r>
                    <w:rPr>
                      <w:rFonts w:hint="eastAsia" w:ascii="宋体" w:hAnsi="宋体" w:eastAsia="Times New Roman"/>
                    </w:rPr>
                    <w:t>厂家回收</w:t>
                  </w:r>
                </w:p>
              </w:tc>
            </w:tr>
            <w:tr w14:paraId="1112D0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895" w:type="dxa"/>
                  <w:tcBorders>
                    <w:top w:val="single" w:color="auto" w:sz="4" w:space="0"/>
                    <w:left w:val="nil"/>
                    <w:bottom w:val="single" w:color="auto" w:sz="4" w:space="0"/>
                    <w:right w:val="single" w:color="auto" w:sz="4" w:space="0"/>
                  </w:tcBorders>
                  <w:vAlign w:val="center"/>
                </w:tcPr>
                <w:p w14:paraId="4932285B">
                  <w:pPr>
                    <w:pStyle w:val="149"/>
                    <w:spacing w:before="120" w:after="120"/>
                    <w:rPr>
                      <w:rFonts w:eastAsia="Times New Roman"/>
                    </w:rPr>
                  </w:pPr>
                  <w:r>
                    <w:rPr>
                      <w:rFonts w:hint="eastAsia" w:ascii="宋体" w:hAnsi="宋体" w:eastAsia="Times New Roman"/>
                    </w:rPr>
                    <w:t>废液压油</w:t>
                  </w:r>
                </w:p>
              </w:tc>
              <w:tc>
                <w:tcPr>
                  <w:tcW w:w="850" w:type="dxa"/>
                  <w:tcBorders>
                    <w:top w:val="single" w:color="auto" w:sz="4" w:space="0"/>
                    <w:left w:val="single" w:color="auto" w:sz="4" w:space="0"/>
                    <w:bottom w:val="single" w:color="auto" w:sz="4" w:space="0"/>
                    <w:right w:val="single" w:color="auto" w:sz="4" w:space="0"/>
                  </w:tcBorders>
                  <w:vAlign w:val="center"/>
                </w:tcPr>
                <w:p w14:paraId="7898A3FB">
                  <w:pPr>
                    <w:pStyle w:val="149"/>
                    <w:spacing w:before="120" w:after="120"/>
                    <w:rPr>
                      <w:rFonts w:eastAsia="Times New Roman"/>
                    </w:rPr>
                  </w:pPr>
                  <w:r>
                    <w:rPr>
                      <w:rFonts w:hint="eastAsia" w:ascii="宋体" w:hAnsi="宋体" w:eastAsia="Times New Roman"/>
                    </w:rPr>
                    <w:t>危险废物</w:t>
                  </w:r>
                </w:p>
              </w:tc>
              <w:tc>
                <w:tcPr>
                  <w:tcW w:w="640" w:type="dxa"/>
                  <w:tcBorders>
                    <w:top w:val="single" w:color="auto" w:sz="4" w:space="0"/>
                    <w:left w:val="single" w:color="auto" w:sz="4" w:space="0"/>
                    <w:bottom w:val="single" w:color="auto" w:sz="4" w:space="0"/>
                    <w:right w:val="single" w:color="auto" w:sz="4" w:space="0"/>
                  </w:tcBorders>
                  <w:vAlign w:val="center"/>
                </w:tcPr>
                <w:p w14:paraId="4B038D1E">
                  <w:pPr>
                    <w:pStyle w:val="149"/>
                    <w:spacing w:before="120" w:after="120"/>
                    <w:rPr>
                      <w:rFonts w:eastAsia="Times New Roman"/>
                    </w:rPr>
                  </w:pPr>
                  <w:r>
                    <w:rPr>
                      <w:rFonts w:hint="eastAsia" w:ascii="宋体" w:hAnsi="宋体" w:eastAsia="Times New Roman"/>
                    </w:rPr>
                    <w:t>石油类</w:t>
                  </w:r>
                </w:p>
              </w:tc>
              <w:tc>
                <w:tcPr>
                  <w:tcW w:w="0" w:type="auto"/>
                  <w:tcBorders>
                    <w:top w:val="single" w:color="auto" w:sz="4" w:space="0"/>
                    <w:left w:val="single" w:color="auto" w:sz="4" w:space="0"/>
                    <w:bottom w:val="single" w:color="auto" w:sz="4" w:space="0"/>
                    <w:right w:val="single" w:color="auto" w:sz="4" w:space="0"/>
                  </w:tcBorders>
                  <w:vAlign w:val="center"/>
                </w:tcPr>
                <w:p w14:paraId="2448C027">
                  <w:pPr>
                    <w:pStyle w:val="149"/>
                    <w:spacing w:before="120" w:after="120"/>
                    <w:rPr>
                      <w:rFonts w:eastAsia="Times New Roman"/>
                    </w:rPr>
                  </w:pPr>
                  <w:r>
                    <w:rPr>
                      <w:rFonts w:hint="eastAsia" w:ascii="宋体" w:hAnsi="宋体" w:eastAsia="Times New Roman"/>
                    </w:rPr>
                    <w:t>液态</w:t>
                  </w:r>
                </w:p>
              </w:tc>
              <w:tc>
                <w:tcPr>
                  <w:tcW w:w="0" w:type="auto"/>
                  <w:tcBorders>
                    <w:top w:val="single" w:color="auto" w:sz="4" w:space="0"/>
                    <w:left w:val="single" w:color="auto" w:sz="4" w:space="0"/>
                    <w:bottom w:val="single" w:color="auto" w:sz="4" w:space="0"/>
                    <w:right w:val="single" w:color="auto" w:sz="4" w:space="0"/>
                  </w:tcBorders>
                  <w:vAlign w:val="center"/>
                </w:tcPr>
                <w:p w14:paraId="2FA56D60">
                  <w:pPr>
                    <w:pStyle w:val="149"/>
                    <w:spacing w:before="120" w:after="120"/>
                    <w:rPr>
                      <w:rFonts w:eastAsia="Times New Roman"/>
                    </w:rPr>
                  </w:pPr>
                  <w:r>
                    <w:rPr>
                      <w:rFonts w:eastAsia="Times New Roman"/>
                    </w:rPr>
                    <w:t>T</w:t>
                  </w:r>
                  <w:r>
                    <w:rPr>
                      <w:rFonts w:hint="eastAsia" w:ascii="宋体" w:hAnsi="宋体" w:eastAsia="Times New Roman"/>
                    </w:rPr>
                    <w:t>，</w:t>
                  </w:r>
                  <w:r>
                    <w:rPr>
                      <w:rFonts w:eastAsia="Times New Roman"/>
                    </w:rPr>
                    <w:t>C</w:t>
                  </w:r>
                </w:p>
              </w:tc>
              <w:tc>
                <w:tcPr>
                  <w:tcW w:w="0" w:type="auto"/>
                  <w:tcBorders>
                    <w:top w:val="single" w:color="auto" w:sz="4" w:space="0"/>
                    <w:left w:val="single" w:color="auto" w:sz="4" w:space="0"/>
                    <w:bottom w:val="single" w:color="auto" w:sz="4" w:space="0"/>
                    <w:right w:val="single" w:color="auto" w:sz="4" w:space="0"/>
                  </w:tcBorders>
                  <w:vAlign w:val="center"/>
                </w:tcPr>
                <w:p w14:paraId="71DD24FB">
                  <w:pPr>
                    <w:pStyle w:val="149"/>
                    <w:spacing w:before="120" w:after="120"/>
                    <w:rPr>
                      <w:rFonts w:eastAsia="Times New Roman"/>
                    </w:rPr>
                  </w:pPr>
                  <w:r>
                    <w:rPr>
                      <w:rFonts w:eastAsia="Times New Roman"/>
                    </w:rPr>
                    <w:t>0.01t/a</w:t>
                  </w:r>
                </w:p>
              </w:tc>
              <w:tc>
                <w:tcPr>
                  <w:tcW w:w="0" w:type="auto"/>
                  <w:vMerge w:val="restart"/>
                  <w:tcBorders>
                    <w:top w:val="single" w:color="auto" w:sz="4" w:space="0"/>
                    <w:left w:val="single" w:color="auto" w:sz="4" w:space="0"/>
                    <w:bottom w:val="single" w:color="auto" w:sz="4" w:space="0"/>
                    <w:right w:val="single" w:color="auto" w:sz="4" w:space="0"/>
                  </w:tcBorders>
                  <w:vAlign w:val="center"/>
                </w:tcPr>
                <w:p w14:paraId="262DC36F">
                  <w:pPr>
                    <w:pStyle w:val="149"/>
                    <w:spacing w:before="120" w:after="120"/>
                    <w:rPr>
                      <w:rFonts w:eastAsia="Times New Roman"/>
                    </w:rPr>
                  </w:pPr>
                  <w:r>
                    <w:rPr>
                      <w:rFonts w:hint="eastAsia" w:ascii="宋体" w:hAnsi="宋体" w:eastAsia="Times New Roman"/>
                    </w:rPr>
                    <w:t>暂存于危废间</w:t>
                  </w:r>
                </w:p>
              </w:tc>
              <w:tc>
                <w:tcPr>
                  <w:tcW w:w="0" w:type="auto"/>
                  <w:vMerge w:val="restart"/>
                  <w:tcBorders>
                    <w:top w:val="single" w:color="auto" w:sz="4" w:space="0"/>
                    <w:left w:val="single" w:color="auto" w:sz="4" w:space="0"/>
                    <w:bottom w:val="single" w:color="auto" w:sz="4" w:space="0"/>
                    <w:right w:val="nil"/>
                  </w:tcBorders>
                  <w:vAlign w:val="center"/>
                </w:tcPr>
                <w:p w14:paraId="12A8156C">
                  <w:pPr>
                    <w:pStyle w:val="149"/>
                    <w:spacing w:before="120" w:after="120"/>
                    <w:rPr>
                      <w:rFonts w:eastAsia="Times New Roman"/>
                    </w:rPr>
                  </w:pPr>
                  <w:r>
                    <w:rPr>
                      <w:rFonts w:hint="eastAsia" w:ascii="宋体" w:hAnsi="宋体" w:eastAsia="Times New Roman"/>
                    </w:rPr>
                    <w:t>交由有资质危废处置单位处置</w:t>
                  </w:r>
                </w:p>
              </w:tc>
            </w:tr>
            <w:tr w14:paraId="072AE3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895" w:type="dxa"/>
                  <w:tcBorders>
                    <w:top w:val="single" w:color="auto" w:sz="4" w:space="0"/>
                    <w:left w:val="nil"/>
                    <w:bottom w:val="single" w:color="auto" w:sz="4" w:space="0"/>
                    <w:right w:val="single" w:color="auto" w:sz="4" w:space="0"/>
                  </w:tcBorders>
                  <w:vAlign w:val="center"/>
                </w:tcPr>
                <w:p w14:paraId="56865A08">
                  <w:pPr>
                    <w:pStyle w:val="149"/>
                    <w:spacing w:before="120" w:after="120"/>
                    <w:rPr>
                      <w:rFonts w:ascii="宋体" w:hAnsi="宋体" w:eastAsia="Times New Roman"/>
                    </w:rPr>
                  </w:pPr>
                  <w:r>
                    <w:rPr>
                      <w:rFonts w:hint="eastAsia" w:ascii="宋体" w:hAnsi="宋体" w:eastAsia="Times New Roman"/>
                    </w:rPr>
                    <w:t>含油废抹布及手套</w:t>
                  </w:r>
                </w:p>
              </w:tc>
              <w:tc>
                <w:tcPr>
                  <w:tcW w:w="850" w:type="dxa"/>
                  <w:tcBorders>
                    <w:top w:val="single" w:color="auto" w:sz="4" w:space="0"/>
                    <w:left w:val="single" w:color="auto" w:sz="4" w:space="0"/>
                    <w:bottom w:val="single" w:color="auto" w:sz="4" w:space="0"/>
                    <w:right w:val="single" w:color="auto" w:sz="4" w:space="0"/>
                  </w:tcBorders>
                  <w:vAlign w:val="center"/>
                </w:tcPr>
                <w:p w14:paraId="639BDB34">
                  <w:pPr>
                    <w:pStyle w:val="149"/>
                    <w:spacing w:before="120" w:after="120"/>
                    <w:rPr>
                      <w:rFonts w:ascii="宋体" w:hAnsi="宋体" w:eastAsia="Times New Roman"/>
                    </w:rPr>
                  </w:pPr>
                  <w:r>
                    <w:rPr>
                      <w:rFonts w:hint="eastAsia" w:ascii="宋体" w:hAnsi="宋体" w:eastAsia="Times New Roman"/>
                    </w:rPr>
                    <w:t>危险废物</w:t>
                  </w:r>
                </w:p>
              </w:tc>
              <w:tc>
                <w:tcPr>
                  <w:tcW w:w="640" w:type="dxa"/>
                  <w:tcBorders>
                    <w:top w:val="single" w:color="auto" w:sz="4" w:space="0"/>
                    <w:left w:val="single" w:color="auto" w:sz="4" w:space="0"/>
                    <w:bottom w:val="single" w:color="auto" w:sz="4" w:space="0"/>
                    <w:right w:val="single" w:color="auto" w:sz="4" w:space="0"/>
                  </w:tcBorders>
                  <w:vAlign w:val="center"/>
                </w:tcPr>
                <w:p w14:paraId="50D02504">
                  <w:pPr>
                    <w:pStyle w:val="149"/>
                    <w:spacing w:before="120" w:after="120"/>
                    <w:rPr>
                      <w:rFonts w:ascii="宋体" w:hAnsi="宋体" w:eastAsia="Times New Roman"/>
                    </w:rPr>
                  </w:pPr>
                  <w:r>
                    <w:rPr>
                      <w:rFonts w:hint="eastAsia" w:ascii="宋体" w:hAnsi="宋体" w:eastAsia="Times New Roman"/>
                    </w:rPr>
                    <w:t>石油类</w:t>
                  </w:r>
                </w:p>
              </w:tc>
              <w:tc>
                <w:tcPr>
                  <w:tcW w:w="0" w:type="auto"/>
                  <w:tcBorders>
                    <w:top w:val="single" w:color="auto" w:sz="4" w:space="0"/>
                    <w:left w:val="single" w:color="auto" w:sz="4" w:space="0"/>
                    <w:bottom w:val="single" w:color="auto" w:sz="4" w:space="0"/>
                    <w:right w:val="single" w:color="auto" w:sz="4" w:space="0"/>
                  </w:tcBorders>
                  <w:vAlign w:val="center"/>
                </w:tcPr>
                <w:p w14:paraId="10A8F16B">
                  <w:pPr>
                    <w:pStyle w:val="149"/>
                    <w:spacing w:before="120" w:after="120"/>
                    <w:rPr>
                      <w:rFonts w:ascii="宋体" w:hAnsi="宋体" w:eastAsia="Times New Roman"/>
                    </w:rPr>
                  </w:pPr>
                  <w:r>
                    <w:rPr>
                      <w:rFonts w:hint="eastAsia" w:ascii="宋体" w:hAnsi="宋体" w:eastAsia="Times New Roman"/>
                    </w:rPr>
                    <w:t>液态</w:t>
                  </w:r>
                </w:p>
              </w:tc>
              <w:tc>
                <w:tcPr>
                  <w:tcW w:w="0" w:type="auto"/>
                  <w:tcBorders>
                    <w:top w:val="single" w:color="auto" w:sz="4" w:space="0"/>
                    <w:left w:val="single" w:color="auto" w:sz="4" w:space="0"/>
                    <w:bottom w:val="single" w:color="auto" w:sz="4" w:space="0"/>
                    <w:right w:val="single" w:color="auto" w:sz="4" w:space="0"/>
                  </w:tcBorders>
                  <w:vAlign w:val="center"/>
                </w:tcPr>
                <w:p w14:paraId="06221BE1">
                  <w:pPr>
                    <w:pStyle w:val="149"/>
                    <w:spacing w:before="120" w:after="120"/>
                    <w:rPr>
                      <w:rFonts w:eastAsia="宋体"/>
                    </w:rPr>
                  </w:pPr>
                  <w:r>
                    <w:rPr>
                      <w:rFonts w:eastAsia="Times New Roman"/>
                    </w:rPr>
                    <w:t>T</w:t>
                  </w:r>
                  <w:r>
                    <w:rPr>
                      <w:rFonts w:hint="eastAsia" w:ascii="宋体" w:hAnsi="宋体" w:eastAsia="Times New Roman"/>
                    </w:rPr>
                    <w:t>，</w:t>
                  </w:r>
                  <w:r>
                    <w:rPr>
                      <w:rFonts w:eastAsia="Times New Roman"/>
                    </w:rPr>
                    <w:t>C</w:t>
                  </w:r>
                </w:p>
              </w:tc>
              <w:tc>
                <w:tcPr>
                  <w:tcW w:w="0" w:type="auto"/>
                  <w:tcBorders>
                    <w:top w:val="single" w:color="auto" w:sz="4" w:space="0"/>
                    <w:left w:val="single" w:color="auto" w:sz="4" w:space="0"/>
                    <w:bottom w:val="single" w:color="auto" w:sz="4" w:space="0"/>
                    <w:right w:val="single" w:color="auto" w:sz="4" w:space="0"/>
                  </w:tcBorders>
                  <w:vAlign w:val="center"/>
                </w:tcPr>
                <w:p w14:paraId="4A1B0634">
                  <w:pPr>
                    <w:pStyle w:val="149"/>
                    <w:spacing w:before="120" w:after="120"/>
                    <w:rPr>
                      <w:rFonts w:eastAsia="Times New Roman"/>
                    </w:rPr>
                  </w:pPr>
                  <w:r>
                    <w:rPr>
                      <w:rFonts w:eastAsia="Times New Roman"/>
                    </w:rPr>
                    <w:t>0.01t/a</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93DA002">
                  <w:pPr>
                    <w:widowControl/>
                    <w:spacing w:before="120" w:after="120"/>
                    <w:rPr>
                      <w:rFonts w:eastAsia="宋体"/>
                      <w:szCs w:val="21"/>
                    </w:rPr>
                  </w:pPr>
                </w:p>
              </w:tc>
              <w:tc>
                <w:tcPr>
                  <w:tcW w:w="0" w:type="auto"/>
                  <w:vMerge w:val="continue"/>
                  <w:tcBorders>
                    <w:top w:val="single" w:color="auto" w:sz="4" w:space="0"/>
                    <w:left w:val="single" w:color="auto" w:sz="4" w:space="0"/>
                    <w:bottom w:val="single" w:color="auto" w:sz="4" w:space="0"/>
                    <w:right w:val="nil"/>
                  </w:tcBorders>
                  <w:vAlign w:val="center"/>
                </w:tcPr>
                <w:p w14:paraId="316F0EAF">
                  <w:pPr>
                    <w:widowControl/>
                    <w:spacing w:before="120" w:after="120"/>
                    <w:rPr>
                      <w:rFonts w:eastAsia="宋体"/>
                      <w:szCs w:val="21"/>
                    </w:rPr>
                  </w:pPr>
                </w:p>
              </w:tc>
            </w:tr>
          </w:tbl>
          <w:p w14:paraId="0E448A39">
            <w:pPr>
              <w:pStyle w:val="29"/>
              <w:ind w:firstLine="482"/>
              <w:rPr>
                <w:b/>
              </w:rPr>
            </w:pPr>
            <w:r>
              <w:rPr>
                <w:rFonts w:hint="eastAsia" w:ascii="宋体" w:hAnsi="宋体"/>
                <w:b/>
                <w:bCs/>
              </w:rPr>
              <w:t>（</w:t>
            </w:r>
            <w:r>
              <w:rPr>
                <w:rFonts w:hint="eastAsia"/>
                <w:b/>
              </w:rPr>
              <w:t>3）危险废物暂存要求</w:t>
            </w:r>
          </w:p>
          <w:p w14:paraId="257CD0C2">
            <w:pPr>
              <w:pStyle w:val="29"/>
            </w:pPr>
            <w:r>
              <w:rPr>
                <w:rFonts w:hint="eastAsia"/>
              </w:rPr>
              <w:t>由于本工程产生的事故废油等危险废物暂存于项目危废暂存间内，定期交由有相应资质的单位处置。</w:t>
            </w:r>
          </w:p>
          <w:p w14:paraId="05A81064">
            <w:pPr>
              <w:spacing w:line="360" w:lineRule="auto"/>
              <w:ind w:firstLine="470" w:firstLineChars="196"/>
              <w:rPr>
                <w:sz w:val="24"/>
              </w:rPr>
            </w:pPr>
            <w:r>
              <w:rPr>
                <w:rFonts w:hint="eastAsia"/>
                <w:sz w:val="24"/>
              </w:rPr>
              <w:t>本工程危废暂存间应采取以下措施：</w:t>
            </w:r>
          </w:p>
          <w:p w14:paraId="067CD51F">
            <w:pPr>
              <w:spacing w:line="360" w:lineRule="auto"/>
              <w:ind w:firstLine="480" w:firstLineChars="200"/>
              <w:rPr>
                <w:sz w:val="24"/>
              </w:rPr>
            </w:pPr>
            <w:r>
              <w:rPr>
                <w:rFonts w:hint="eastAsia"/>
                <w:sz w:val="24"/>
              </w:rPr>
              <w:t>1）危废暂存间应采取</w:t>
            </w:r>
            <w:r>
              <w:rPr>
                <w:sz w:val="24"/>
              </w:rPr>
              <w:t>“</w:t>
            </w:r>
            <w:r>
              <w:rPr>
                <w:rFonts w:hint="eastAsia"/>
                <w:sz w:val="24"/>
              </w:rPr>
              <w:t>防雨、防渗、防流失、防火</w:t>
            </w:r>
            <w:r>
              <w:rPr>
                <w:sz w:val="24"/>
              </w:rPr>
              <w:t>”</w:t>
            </w:r>
            <w:r>
              <w:rPr>
                <w:rFonts w:hint="eastAsia"/>
                <w:sz w:val="24"/>
              </w:rPr>
              <w:t>等措施。</w:t>
            </w:r>
          </w:p>
          <w:p w14:paraId="44918D3B">
            <w:pPr>
              <w:spacing w:line="360" w:lineRule="auto"/>
              <w:ind w:firstLine="480" w:firstLineChars="200"/>
              <w:rPr>
                <w:rFonts w:ascii="宋体"/>
                <w:sz w:val="24"/>
              </w:rPr>
            </w:pPr>
            <w:r>
              <w:rPr>
                <w:sz w:val="24"/>
              </w:rPr>
              <w:t>2</w:t>
            </w:r>
            <w:r>
              <w:rPr>
                <w:rFonts w:hint="eastAsia"/>
                <w:sz w:val="24"/>
              </w:rPr>
              <w:t>）</w:t>
            </w:r>
            <w:r>
              <w:rPr>
                <w:rFonts w:hint="eastAsia" w:ascii="宋体"/>
                <w:sz w:val="24"/>
              </w:rPr>
              <w:t>危险废物贮存设施应按照环境保护图形标志的规定设置警示标志。</w:t>
            </w:r>
          </w:p>
          <w:p w14:paraId="075DE74E">
            <w:pPr>
              <w:spacing w:line="360" w:lineRule="auto"/>
              <w:ind w:firstLine="480" w:firstLineChars="200"/>
              <w:rPr>
                <w:sz w:val="24"/>
              </w:rPr>
            </w:pPr>
            <w:r>
              <w:rPr>
                <w:sz w:val="24"/>
              </w:rPr>
              <w:t>3</w:t>
            </w:r>
            <w:r>
              <w:rPr>
                <w:rFonts w:hint="eastAsia"/>
                <w:sz w:val="24"/>
              </w:rPr>
              <w:t>）</w:t>
            </w:r>
            <w:r>
              <w:rPr>
                <w:rFonts w:hint="eastAsia" w:ascii="宋体"/>
                <w:sz w:val="24"/>
              </w:rPr>
              <w:t>配置有</w:t>
            </w:r>
            <w:r>
              <w:rPr>
                <w:rFonts w:hint="eastAsia"/>
                <w:sz w:val="24"/>
              </w:rPr>
              <w:t>密封桶，密封桶材质为高密度塑料。暂存桶上粘贴有“危废标识和危废类别、存放时间、责任人”等相关信息的标签，能醒目显示收集废物名称。</w:t>
            </w:r>
          </w:p>
          <w:p w14:paraId="17DB251C">
            <w:pPr>
              <w:numPr>
                <w:ilvl w:val="0"/>
                <w:numId w:val="2"/>
              </w:numPr>
              <w:spacing w:line="360" w:lineRule="auto"/>
              <w:ind w:left="479" w:leftChars="228"/>
              <w:rPr>
                <w:sz w:val="24"/>
              </w:rPr>
            </w:pPr>
            <w:r>
              <w:rPr>
                <w:rFonts w:hint="eastAsia"/>
                <w:sz w:val="24"/>
              </w:rPr>
              <w:t>危废采用专用容器收集贮存，存放容器及暂存间设置有危险识别标志；</w:t>
            </w:r>
          </w:p>
          <w:p w14:paraId="174363BC">
            <w:pPr>
              <w:spacing w:line="360" w:lineRule="auto"/>
              <w:ind w:firstLine="480" w:firstLineChars="200"/>
              <w:rPr>
                <w:sz w:val="24"/>
              </w:rPr>
            </w:pPr>
            <w:r>
              <w:rPr>
                <w:sz w:val="24"/>
              </w:rPr>
              <w:t>B</w:t>
            </w:r>
            <w:r>
              <w:rPr>
                <w:rFonts w:hint="eastAsia"/>
                <w:sz w:val="24"/>
              </w:rPr>
              <w:t>、危险废物贮存容器完好无损，盛装容器的材质和衬里与危险废物不相容；</w:t>
            </w:r>
          </w:p>
          <w:p w14:paraId="3B6F6DCB">
            <w:pPr>
              <w:spacing w:line="360" w:lineRule="auto"/>
              <w:ind w:firstLine="480" w:firstLineChars="200"/>
              <w:rPr>
                <w:sz w:val="24"/>
              </w:rPr>
            </w:pPr>
            <w:r>
              <w:rPr>
                <w:sz w:val="24"/>
              </w:rPr>
              <w:t>C</w:t>
            </w:r>
            <w:r>
              <w:rPr>
                <w:rFonts w:hint="eastAsia"/>
                <w:sz w:val="24"/>
              </w:rPr>
              <w:t>、危险废物暂存间地面与裙脚表面用环氧树脂进行防渗，设置有安全照明设施和观察窗口；</w:t>
            </w:r>
          </w:p>
          <w:p w14:paraId="2963C51C">
            <w:pPr>
              <w:spacing w:line="360" w:lineRule="auto"/>
              <w:ind w:firstLine="480" w:firstLineChars="200"/>
              <w:rPr>
                <w:sz w:val="24"/>
              </w:rPr>
            </w:pPr>
            <w:r>
              <w:rPr>
                <w:sz w:val="24"/>
              </w:rPr>
              <w:t>D</w:t>
            </w:r>
            <w:r>
              <w:rPr>
                <w:rFonts w:hint="eastAsia"/>
                <w:sz w:val="24"/>
              </w:rPr>
              <w:t>、设置有堵截泄漏的裙脚，地面与裙脚所围建的容积不低于堵截最大容器的最大储量。</w:t>
            </w:r>
          </w:p>
          <w:p w14:paraId="4BFBEBC4">
            <w:pPr>
              <w:spacing w:line="360" w:lineRule="auto"/>
              <w:ind w:firstLine="480" w:firstLineChars="200"/>
              <w:rPr>
                <w:sz w:val="24"/>
              </w:rPr>
            </w:pPr>
            <w:r>
              <w:rPr>
                <w:rFonts w:hint="eastAsia"/>
                <w:sz w:val="24"/>
              </w:rPr>
              <w:t>④容器留有足够的膨胀余量，预留容积大于总容积的</w:t>
            </w:r>
            <w:r>
              <w:rPr>
                <w:sz w:val="24"/>
              </w:rPr>
              <w:t>5%</w:t>
            </w:r>
            <w:r>
              <w:rPr>
                <w:rFonts w:hint="eastAsia"/>
                <w:sz w:val="24"/>
              </w:rPr>
              <w:t>；贮存设施远离火源，不会受到高温和阳光直射。</w:t>
            </w:r>
          </w:p>
          <w:p w14:paraId="1C5045F2">
            <w:pPr>
              <w:pStyle w:val="29"/>
            </w:pPr>
            <w:r>
              <w:rPr>
                <w:rFonts w:hint="eastAsia"/>
              </w:rPr>
              <w:t>综上所述：本项目废油产生量约为</w:t>
            </w:r>
            <w:r>
              <w:t>0.01t</w:t>
            </w:r>
            <w:r>
              <w:rPr>
                <w:rFonts w:hint="eastAsia"/>
              </w:rPr>
              <w:t>，产生量较少，项目设置危废暂存间</w:t>
            </w:r>
            <w:r>
              <w:t>12.5m</w:t>
            </w:r>
            <w:r>
              <w:rPr>
                <w:vertAlign w:val="superscript"/>
              </w:rPr>
              <w:t>2</w:t>
            </w:r>
            <w:r>
              <w:rPr>
                <w:rFonts w:hint="eastAsia"/>
              </w:rPr>
              <w:t>，满足《危险废物贮存污染控制标准》（</w:t>
            </w:r>
            <w:r>
              <w:t>GB18597-2023</w:t>
            </w:r>
            <w:r>
              <w:rPr>
                <w:rFonts w:hint="eastAsia"/>
              </w:rPr>
              <w:t>）要求。</w:t>
            </w:r>
          </w:p>
          <w:p w14:paraId="5EA21E06">
            <w:pPr>
              <w:pStyle w:val="29"/>
              <w:ind w:firstLine="482"/>
              <w:rPr>
                <w:b/>
              </w:rPr>
            </w:pPr>
            <w:r>
              <w:rPr>
                <w:rFonts w:hint="eastAsia" w:ascii="宋体" w:hAnsi="宋体"/>
                <w:b/>
                <w:bCs/>
              </w:rPr>
              <w:t>（</w:t>
            </w:r>
            <w:r>
              <w:rPr>
                <w:b/>
              </w:rPr>
              <w:t>4</w:t>
            </w:r>
            <w:r>
              <w:rPr>
                <w:rFonts w:hint="eastAsia" w:ascii="宋体" w:hAnsi="宋体"/>
                <w:b/>
              </w:rPr>
              <w:t>）影响分析</w:t>
            </w:r>
          </w:p>
          <w:p w14:paraId="025E5C1B">
            <w:pPr>
              <w:spacing w:line="360" w:lineRule="auto"/>
              <w:ind w:firstLine="480" w:firstLineChars="200"/>
              <w:rPr>
                <w:sz w:val="24"/>
              </w:rPr>
            </w:pPr>
            <w:r>
              <w:rPr>
                <w:rFonts w:hint="eastAsia"/>
                <w:sz w:val="24"/>
              </w:rPr>
              <w:t>项目产生的固体废物通过以上措施处理后，可以得到及时、妥善的处理和处置，对周围环境的污染影响较小</w:t>
            </w:r>
          </w:p>
          <w:p w14:paraId="0EB42750">
            <w:pPr>
              <w:pStyle w:val="29"/>
              <w:ind w:firstLine="482"/>
              <w:rPr>
                <w:b/>
              </w:rPr>
            </w:pPr>
            <w:r>
              <w:rPr>
                <w:b/>
              </w:rPr>
              <w:t>7</w:t>
            </w:r>
            <w:r>
              <w:rPr>
                <w:rFonts w:hint="eastAsia"/>
                <w:b/>
              </w:rPr>
              <w:t>、地下水环境影响分析</w:t>
            </w:r>
          </w:p>
          <w:p w14:paraId="7E3EB56C">
            <w:pPr>
              <w:pStyle w:val="29"/>
            </w:pPr>
            <w:r>
              <w:rPr>
                <w:rFonts w:hint="eastAsia"/>
              </w:rPr>
              <w:t>根据《环境影响评价技术导则地下水环境》（</w:t>
            </w:r>
            <w:r>
              <w:t>HJ610-2016</w:t>
            </w:r>
            <w:r>
              <w:rPr>
                <w:rFonts w:hint="eastAsia"/>
              </w:rPr>
              <w:t>）附录</w:t>
            </w:r>
            <w:r>
              <w:t>A</w:t>
            </w:r>
            <w:r>
              <w:rPr>
                <w:rFonts w:hint="eastAsia"/>
              </w:rPr>
              <w:t>地下水环境影响评价分类表，“</w:t>
            </w:r>
            <w:r>
              <w:t>E</w:t>
            </w:r>
            <w:r>
              <w:rPr>
                <w:rFonts w:hint="eastAsia"/>
              </w:rPr>
              <w:t>电力</w:t>
            </w:r>
            <w:r>
              <w:t>35</w:t>
            </w:r>
            <w:r>
              <w:rPr>
                <w:rFonts w:hint="eastAsia"/>
              </w:rPr>
              <w:t>、送（输）变电工程”地下水环境影响评价项目类别为</w:t>
            </w:r>
            <w:r>
              <w:t>Ⅳ</w:t>
            </w:r>
            <w:r>
              <w:rPr>
                <w:rFonts w:hint="eastAsia"/>
              </w:rPr>
              <w:t>类，可不开展地下水环境影响评价工作。</w:t>
            </w:r>
          </w:p>
          <w:p w14:paraId="13A66016">
            <w:pPr>
              <w:pStyle w:val="29"/>
              <w:ind w:firstLine="482"/>
              <w:rPr>
                <w:b/>
              </w:rPr>
            </w:pPr>
            <w:r>
              <w:rPr>
                <w:b/>
              </w:rPr>
              <w:t>8</w:t>
            </w:r>
            <w:r>
              <w:rPr>
                <w:rFonts w:hint="eastAsia"/>
                <w:b/>
              </w:rPr>
              <w:t>、土壤环境影响分析</w:t>
            </w:r>
          </w:p>
          <w:p w14:paraId="7FBC2DD2">
            <w:pPr>
              <w:pStyle w:val="29"/>
            </w:pPr>
            <w:r>
              <w:rPr>
                <w:rFonts w:hint="eastAsia"/>
              </w:rPr>
              <w:t>根据《环境影响评价技术导则土壤环境（试行）》（</w:t>
            </w:r>
            <w:r>
              <w:t>HJ964-2018</w:t>
            </w:r>
            <w:r>
              <w:rPr>
                <w:rFonts w:hint="eastAsia"/>
              </w:rPr>
              <w:t>），生态影响型项目评价等级是根据土壤环境影响评价项目类别、建设项目所在地敏感程度进行划分，根据附录</w:t>
            </w:r>
            <w:r>
              <w:t>A</w:t>
            </w:r>
            <w:r>
              <w:rPr>
                <w:rFonts w:hint="eastAsia"/>
              </w:rPr>
              <w:t>，输变电工程行业类别为“电力热力燃气及水生产和供应业其他”，项目类别为</w:t>
            </w:r>
            <w:r>
              <w:t>Ⅳ</w:t>
            </w:r>
            <w:r>
              <w:rPr>
                <w:rFonts w:hint="eastAsia"/>
              </w:rPr>
              <w:t>类，可不开展土壤环境影响评价工作。</w:t>
            </w:r>
          </w:p>
          <w:p w14:paraId="76E662FA">
            <w:pPr>
              <w:spacing w:line="360" w:lineRule="auto"/>
              <w:ind w:firstLine="482" w:firstLineChars="200"/>
              <w:rPr>
                <w:rFonts w:ascii="宋体" w:hAnsi="宋体"/>
                <w:b/>
                <w:bCs/>
                <w:sz w:val="24"/>
              </w:rPr>
            </w:pPr>
            <w:r>
              <w:rPr>
                <w:rFonts w:ascii="宋体" w:hAnsi="宋体"/>
                <w:b/>
                <w:bCs/>
                <w:sz w:val="24"/>
              </w:rPr>
              <w:t>9</w:t>
            </w:r>
            <w:r>
              <w:rPr>
                <w:rFonts w:hint="eastAsia" w:ascii="宋体" w:hAnsi="宋体"/>
                <w:b/>
                <w:bCs/>
                <w:sz w:val="24"/>
              </w:rPr>
              <w:t>、环境风险分析</w:t>
            </w:r>
          </w:p>
          <w:p w14:paraId="07963A3C">
            <w:pPr>
              <w:spacing w:line="360" w:lineRule="auto"/>
              <w:ind w:firstLine="482" w:firstLineChars="200"/>
              <w:rPr>
                <w:b/>
                <w:bCs/>
                <w:sz w:val="24"/>
              </w:rPr>
            </w:pPr>
            <w:r>
              <w:rPr>
                <w:rFonts w:hint="eastAsia" w:ascii="宋体" w:hAnsi="宋体"/>
                <w:b/>
                <w:bCs/>
                <w:sz w:val="24"/>
              </w:rPr>
              <w:t>（</w:t>
            </w:r>
            <w:r>
              <w:rPr>
                <w:rFonts w:hint="eastAsia"/>
                <w:b/>
                <w:sz w:val="24"/>
              </w:rPr>
              <w:t>1）储能电站的环境风险调查</w:t>
            </w:r>
          </w:p>
          <w:p w14:paraId="59EDA123">
            <w:pPr>
              <w:spacing w:line="360" w:lineRule="auto"/>
              <w:ind w:firstLine="480" w:firstLineChars="200"/>
              <w:rPr>
                <w:sz w:val="24"/>
              </w:rPr>
            </w:pPr>
            <w:r>
              <w:rPr>
                <w:rFonts w:hint="eastAsia"/>
                <w:sz w:val="24"/>
              </w:rPr>
              <w:t>根据《环境影响评价技术导则输变电》（</w:t>
            </w:r>
            <w:r>
              <w:rPr>
                <w:sz w:val="24"/>
              </w:rPr>
              <w:t>HJ24-2020</w:t>
            </w:r>
            <w:r>
              <w:rPr>
                <w:rFonts w:hint="eastAsia"/>
                <w:sz w:val="24"/>
              </w:rPr>
              <w:t>），本项目只需对变压器、高压电抗器、换流器等设备在突发性事故情况下漏油产生的环境风险进行简要分析，主要分析事故油坑、油池设置要求，事故油污水的处置要求。</w:t>
            </w:r>
          </w:p>
          <w:p w14:paraId="6F508F68">
            <w:pPr>
              <w:spacing w:line="360" w:lineRule="auto"/>
              <w:ind w:firstLine="480" w:firstLineChars="200"/>
              <w:rPr>
                <w:sz w:val="24"/>
              </w:rPr>
            </w:pPr>
            <w:r>
              <w:rPr>
                <w:rFonts w:hint="eastAsia"/>
                <w:sz w:val="24"/>
              </w:rPr>
              <w:t>经查询《建设项目环境风险评价技术导则》（HJ169-2018）中附录B，变压油列入《建设项目环境风险评价技术导则》（HJ169-2018）中附录B.1中的突发环境事件风险物质-油类物质（矿物油类，如石油、汽油、柴油等；生物柴油等）。其他原材料和相应成分均不涉及列入《建设项目环境风险评价技术导则》（HJ169-2018）中附录B表B.1及表B.2中的突发环境事件风险物质。</w:t>
            </w:r>
          </w:p>
          <w:p w14:paraId="561C9CE1">
            <w:pPr>
              <w:spacing w:line="360" w:lineRule="auto"/>
              <w:ind w:firstLine="482" w:firstLineChars="200"/>
              <w:rPr>
                <w:b/>
                <w:bCs/>
                <w:sz w:val="24"/>
              </w:rPr>
            </w:pPr>
            <w:r>
              <w:rPr>
                <w:rFonts w:hint="eastAsia" w:ascii="宋体" w:hAnsi="宋体"/>
                <w:b/>
                <w:bCs/>
                <w:sz w:val="24"/>
              </w:rPr>
              <w:t>（</w:t>
            </w:r>
            <w:r>
              <w:rPr>
                <w:rFonts w:hint="eastAsia"/>
                <w:b/>
                <w:bCs/>
                <w:sz w:val="24"/>
              </w:rPr>
              <w:t>2）环境敏感目标概况</w:t>
            </w:r>
          </w:p>
          <w:p w14:paraId="592B7708">
            <w:pPr>
              <w:spacing w:line="360" w:lineRule="auto"/>
              <w:ind w:firstLine="480" w:firstLineChars="200"/>
              <w:rPr>
                <w:bCs/>
                <w:sz w:val="24"/>
              </w:rPr>
            </w:pPr>
            <w:r>
              <w:rPr>
                <w:rFonts w:hint="eastAsia"/>
                <w:bCs/>
                <w:sz w:val="24"/>
              </w:rPr>
              <w:t>项目所在地不存在饮用水源地保护区、准保护区、特殊地下水资源（如热水、矿泉水、温泉等）等地下水敏感区域，可能受泄漏影响的为区域地下水和土壤。</w:t>
            </w:r>
          </w:p>
          <w:p w14:paraId="44E828DC">
            <w:pPr>
              <w:spacing w:line="360" w:lineRule="auto"/>
              <w:ind w:firstLine="482" w:firstLineChars="200"/>
              <w:rPr>
                <w:b/>
                <w:bCs/>
                <w:sz w:val="24"/>
              </w:rPr>
            </w:pPr>
            <w:r>
              <w:rPr>
                <w:rFonts w:hint="eastAsia" w:ascii="宋体" w:hAnsi="宋体"/>
                <w:b/>
                <w:bCs/>
                <w:sz w:val="24"/>
              </w:rPr>
              <w:t>（</w:t>
            </w:r>
            <w:r>
              <w:rPr>
                <w:b/>
                <w:bCs/>
                <w:sz w:val="24"/>
              </w:rPr>
              <w:t>3</w:t>
            </w:r>
            <w:r>
              <w:rPr>
                <w:rFonts w:hint="eastAsia" w:ascii="宋体" w:hAnsi="宋体"/>
                <w:b/>
                <w:bCs/>
                <w:sz w:val="24"/>
              </w:rPr>
              <w:t>）危险物质数量与临界量比值（</w:t>
            </w:r>
            <w:r>
              <w:rPr>
                <w:rFonts w:hint="eastAsia"/>
                <w:b/>
                <w:bCs/>
                <w:sz w:val="24"/>
              </w:rPr>
              <w:t>Q</w:t>
            </w:r>
            <w:r>
              <w:rPr>
                <w:rFonts w:hint="eastAsia" w:ascii="宋体" w:hAnsi="宋体"/>
                <w:b/>
                <w:bCs/>
                <w:sz w:val="24"/>
              </w:rPr>
              <w:t>）</w:t>
            </w:r>
          </w:p>
          <w:p w14:paraId="5035F8C9">
            <w:pPr>
              <w:spacing w:line="360" w:lineRule="auto"/>
              <w:ind w:firstLine="480" w:firstLineChars="200"/>
              <w:rPr>
                <w:bCs/>
                <w:sz w:val="24"/>
              </w:rPr>
            </w:pPr>
            <w:r>
              <w:rPr>
                <w:rFonts w:hint="eastAsia" w:ascii="宋体" w:hAnsi="宋体"/>
                <w:bCs/>
                <w:sz w:val="24"/>
              </w:rPr>
              <w:t>计算所涉及的每种危险物质在厂界内的最大存在总量与其在附录</w:t>
            </w:r>
            <w:r>
              <w:rPr>
                <w:rFonts w:hint="eastAsia"/>
                <w:bCs/>
                <w:sz w:val="24"/>
              </w:rPr>
              <w:t>B</w:t>
            </w:r>
            <w:r>
              <w:rPr>
                <w:rFonts w:hint="eastAsia" w:ascii="宋体" w:hAnsi="宋体"/>
                <w:bCs/>
                <w:sz w:val="24"/>
              </w:rPr>
              <w:t xml:space="preserve">中对应临界量的比值 </w:t>
            </w:r>
            <w:r>
              <w:rPr>
                <w:rFonts w:hint="eastAsia"/>
                <w:bCs/>
                <w:sz w:val="24"/>
              </w:rPr>
              <w:t>Q</w:t>
            </w:r>
            <w:r>
              <w:rPr>
                <w:rFonts w:hint="eastAsia" w:ascii="宋体" w:hAnsi="宋体"/>
                <w:bCs/>
                <w:sz w:val="24"/>
              </w:rPr>
              <w:t>。在不同厂区的同一种物质，按其在厂界内的最大存在总量计算。对于长输管线项目，按照两个截断阀室之间管段危险物质最大存在总量计算。</w:t>
            </w:r>
          </w:p>
          <w:p w14:paraId="7E69F16E">
            <w:pPr>
              <w:spacing w:line="360" w:lineRule="auto"/>
              <w:ind w:firstLine="480" w:firstLineChars="200"/>
              <w:rPr>
                <w:bCs/>
                <w:sz w:val="24"/>
              </w:rPr>
            </w:pPr>
            <w:r>
              <w:rPr>
                <w:rFonts w:hint="eastAsia" w:ascii="宋体" w:hAnsi="宋体"/>
                <w:bCs/>
                <w:sz w:val="24"/>
              </w:rPr>
              <w:t>当只涉及一种危险物质时，计算该物质的总量与其临界量比值，即为</w:t>
            </w:r>
            <w:r>
              <w:rPr>
                <w:rFonts w:hint="eastAsia"/>
                <w:bCs/>
                <w:sz w:val="24"/>
              </w:rPr>
              <w:t>Q</w:t>
            </w:r>
            <w:r>
              <w:rPr>
                <w:rFonts w:hint="eastAsia" w:ascii="宋体" w:hAnsi="宋体"/>
                <w:bCs/>
                <w:sz w:val="24"/>
              </w:rPr>
              <w:t>；</w:t>
            </w:r>
          </w:p>
          <w:p w14:paraId="38D8CA3F">
            <w:pPr>
              <w:spacing w:line="360" w:lineRule="auto"/>
              <w:ind w:firstLine="480" w:firstLineChars="200"/>
              <w:jc w:val="left"/>
              <w:rPr>
                <w:bCs/>
                <w:sz w:val="24"/>
              </w:rPr>
            </w:pPr>
            <w:r>
              <w:rPr>
                <w:rFonts w:hint="eastAsia" w:ascii="宋体" w:hAnsi="宋体"/>
                <w:bCs/>
                <w:sz w:val="24"/>
              </w:rPr>
              <w:t>当存在多种危险物质时，则按下式计算物质总量与其临界量比值（</w:t>
            </w:r>
            <w:r>
              <w:rPr>
                <w:rFonts w:hint="eastAsia"/>
                <w:bCs/>
                <w:sz w:val="24"/>
              </w:rPr>
              <w:t>Q</w:t>
            </w:r>
            <w:r>
              <w:rPr>
                <w:rFonts w:hint="eastAsia" w:ascii="宋体" w:hAnsi="宋体"/>
                <w:bCs/>
                <w:sz w:val="24"/>
              </w:rPr>
              <w:t>）：</w:t>
            </w:r>
          </w:p>
          <w:p w14:paraId="589ED22E">
            <w:pPr>
              <w:spacing w:line="360" w:lineRule="auto"/>
              <w:ind w:firstLine="420" w:firstLineChars="200"/>
              <w:jc w:val="left"/>
              <w:rPr>
                <w:bCs/>
                <w:szCs w:val="21"/>
              </w:rPr>
            </w:pPr>
            <w:r>
              <w:rPr>
                <w:szCs w:val="21"/>
              </w:rPr>
              <w:drawing>
                <wp:inline distT="0" distB="0" distL="0" distR="0">
                  <wp:extent cx="1640205" cy="424180"/>
                  <wp:effectExtent l="0" t="0" r="0" b="0"/>
                  <wp:docPr id="15" name="图片 15" descr="C:\Users\ADMINI~1\AppData\Local\Temp\ksohtml27276\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ADMINI~1\AppData\Local\Temp\ksohtml27276\wps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1640205" cy="424180"/>
                          </a:xfrm>
                          <a:prstGeom prst="rect">
                            <a:avLst/>
                          </a:prstGeom>
                          <a:noFill/>
                          <a:ln>
                            <a:noFill/>
                          </a:ln>
                        </pic:spPr>
                      </pic:pic>
                    </a:graphicData>
                  </a:graphic>
                </wp:inline>
              </w:drawing>
            </w:r>
          </w:p>
          <w:p w14:paraId="7E1B474D">
            <w:pPr>
              <w:spacing w:line="360" w:lineRule="auto"/>
              <w:ind w:firstLine="480" w:firstLineChars="200"/>
              <w:rPr>
                <w:bCs/>
                <w:sz w:val="24"/>
              </w:rPr>
            </w:pPr>
            <w:r>
              <w:rPr>
                <w:rFonts w:ascii="宋体" w:hAnsi="宋体"/>
                <w:bCs/>
                <w:sz w:val="24"/>
              </w:rPr>
              <w:t>式中：</w:t>
            </w:r>
            <w:r>
              <w:rPr>
                <w:bCs/>
                <w:sz w:val="24"/>
              </w:rPr>
              <w:t>q</w:t>
            </w:r>
            <w:r>
              <w:rPr>
                <w:bCs/>
                <w:sz w:val="24"/>
                <w:vertAlign w:val="subscript"/>
              </w:rPr>
              <w:t>1</w:t>
            </w:r>
            <w:r>
              <w:rPr>
                <w:bCs/>
                <w:sz w:val="24"/>
              </w:rPr>
              <w:t>，q</w:t>
            </w:r>
            <w:r>
              <w:rPr>
                <w:bCs/>
                <w:sz w:val="24"/>
                <w:vertAlign w:val="subscript"/>
              </w:rPr>
              <w:t>2</w:t>
            </w:r>
            <w:r>
              <w:rPr>
                <w:rFonts w:ascii="宋体" w:hAnsi="宋体"/>
                <w:bCs/>
                <w:sz w:val="24"/>
              </w:rPr>
              <w:t>，</w:t>
            </w:r>
            <w:r>
              <w:rPr>
                <w:bCs/>
                <w:sz w:val="24"/>
              </w:rPr>
              <w:t>……qn—</w:t>
            </w:r>
            <w:r>
              <w:rPr>
                <w:rFonts w:ascii="宋体" w:hAnsi="宋体"/>
                <w:bCs/>
                <w:sz w:val="24"/>
              </w:rPr>
              <w:t>每种危险物质的最大存在总量，</w:t>
            </w:r>
            <w:r>
              <w:rPr>
                <w:bCs/>
                <w:sz w:val="24"/>
              </w:rPr>
              <w:t>t</w:t>
            </w:r>
            <w:r>
              <w:rPr>
                <w:rFonts w:ascii="宋体" w:hAnsi="宋体"/>
                <w:bCs/>
                <w:sz w:val="24"/>
              </w:rPr>
              <w:t>；</w:t>
            </w:r>
          </w:p>
          <w:p w14:paraId="4FE28586">
            <w:pPr>
              <w:spacing w:line="360" w:lineRule="auto"/>
              <w:ind w:firstLine="480" w:firstLineChars="200"/>
              <w:rPr>
                <w:bCs/>
                <w:sz w:val="24"/>
              </w:rPr>
            </w:pPr>
            <w:r>
              <w:rPr>
                <w:bCs/>
                <w:sz w:val="24"/>
              </w:rPr>
              <w:t>Q1</w:t>
            </w:r>
            <w:r>
              <w:rPr>
                <w:rFonts w:ascii="宋体" w:hAnsi="宋体"/>
                <w:bCs/>
                <w:sz w:val="24"/>
              </w:rPr>
              <w:t>，</w:t>
            </w:r>
            <w:r>
              <w:rPr>
                <w:bCs/>
                <w:sz w:val="24"/>
              </w:rPr>
              <w:t>Q2</w:t>
            </w:r>
            <w:r>
              <w:rPr>
                <w:rFonts w:ascii="宋体" w:hAnsi="宋体"/>
                <w:bCs/>
                <w:sz w:val="24"/>
              </w:rPr>
              <w:t>，</w:t>
            </w:r>
            <w:r>
              <w:rPr>
                <w:bCs/>
                <w:sz w:val="24"/>
              </w:rPr>
              <w:t>……Qn—</w:t>
            </w:r>
            <w:r>
              <w:rPr>
                <w:rFonts w:ascii="宋体" w:hAnsi="宋体"/>
                <w:bCs/>
                <w:sz w:val="24"/>
              </w:rPr>
              <w:t>每种危险物质的临界量，</w:t>
            </w:r>
            <w:r>
              <w:rPr>
                <w:bCs/>
                <w:sz w:val="24"/>
              </w:rPr>
              <w:t>t</w:t>
            </w:r>
            <w:r>
              <w:rPr>
                <w:rFonts w:ascii="宋体" w:hAnsi="宋体"/>
                <w:bCs/>
                <w:sz w:val="24"/>
              </w:rPr>
              <w:t>。</w:t>
            </w:r>
          </w:p>
          <w:p w14:paraId="3659C46F">
            <w:pPr>
              <w:spacing w:line="360" w:lineRule="auto"/>
              <w:ind w:firstLine="480" w:firstLineChars="200"/>
              <w:rPr>
                <w:bCs/>
                <w:sz w:val="24"/>
              </w:rPr>
            </w:pPr>
            <w:r>
              <w:rPr>
                <w:rFonts w:ascii="宋体" w:hAnsi="宋体"/>
                <w:bCs/>
                <w:sz w:val="24"/>
              </w:rPr>
              <w:t>当</w:t>
            </w:r>
            <w:r>
              <w:rPr>
                <w:bCs/>
                <w:sz w:val="24"/>
              </w:rPr>
              <w:t>Q</w:t>
            </w:r>
            <w:r>
              <w:rPr>
                <w:rFonts w:ascii="宋体" w:hAnsi="宋体"/>
                <w:bCs/>
                <w:sz w:val="24"/>
              </w:rPr>
              <w:t>＜</w:t>
            </w:r>
            <w:r>
              <w:rPr>
                <w:bCs/>
                <w:sz w:val="24"/>
              </w:rPr>
              <w:t>1</w:t>
            </w:r>
            <w:r>
              <w:rPr>
                <w:rFonts w:ascii="宋体" w:hAnsi="宋体"/>
                <w:bCs/>
                <w:sz w:val="24"/>
              </w:rPr>
              <w:t>时，该项目环境风险潜势为</w:t>
            </w:r>
            <w:r>
              <w:rPr>
                <w:bCs/>
                <w:sz w:val="24"/>
              </w:rPr>
              <w:t>Ⅰ</w:t>
            </w:r>
            <w:r>
              <w:rPr>
                <w:rFonts w:ascii="宋体" w:hAnsi="宋体"/>
                <w:bCs/>
                <w:sz w:val="24"/>
              </w:rPr>
              <w:t>。</w:t>
            </w:r>
          </w:p>
          <w:p w14:paraId="77ECB852">
            <w:pPr>
              <w:spacing w:line="360" w:lineRule="auto"/>
              <w:ind w:firstLine="480" w:firstLineChars="200"/>
              <w:rPr>
                <w:bCs/>
                <w:sz w:val="24"/>
              </w:rPr>
            </w:pPr>
            <w:r>
              <w:rPr>
                <w:rFonts w:ascii="宋体" w:hAnsi="宋体"/>
                <w:bCs/>
                <w:sz w:val="24"/>
              </w:rPr>
              <w:t>当</w:t>
            </w:r>
            <w:r>
              <w:rPr>
                <w:bCs/>
                <w:sz w:val="24"/>
              </w:rPr>
              <w:t>Q≥1</w:t>
            </w:r>
            <w:r>
              <w:rPr>
                <w:rFonts w:ascii="宋体" w:hAnsi="宋体"/>
                <w:bCs/>
                <w:sz w:val="24"/>
              </w:rPr>
              <w:t>时，将</w:t>
            </w:r>
            <w:r>
              <w:rPr>
                <w:bCs/>
                <w:sz w:val="24"/>
              </w:rPr>
              <w:t>Q</w:t>
            </w:r>
            <w:r>
              <w:rPr>
                <w:rFonts w:ascii="宋体" w:hAnsi="宋体"/>
                <w:bCs/>
                <w:sz w:val="24"/>
              </w:rPr>
              <w:t>值划分为：（</w:t>
            </w:r>
            <w:r>
              <w:rPr>
                <w:bCs/>
                <w:sz w:val="24"/>
              </w:rPr>
              <w:t>1</w:t>
            </w:r>
            <w:r>
              <w:rPr>
                <w:rFonts w:ascii="宋体" w:hAnsi="宋体"/>
                <w:bCs/>
                <w:sz w:val="24"/>
              </w:rPr>
              <w:t>）</w:t>
            </w:r>
            <w:r>
              <w:rPr>
                <w:bCs/>
                <w:sz w:val="24"/>
              </w:rPr>
              <w:t>1≤Q</w:t>
            </w:r>
            <w:r>
              <w:rPr>
                <w:rFonts w:ascii="宋体" w:hAnsi="宋体"/>
                <w:bCs/>
                <w:sz w:val="24"/>
              </w:rPr>
              <w:t>＜</w:t>
            </w:r>
            <w:r>
              <w:rPr>
                <w:bCs/>
                <w:sz w:val="24"/>
              </w:rPr>
              <w:t>10</w:t>
            </w:r>
            <w:r>
              <w:rPr>
                <w:rFonts w:ascii="宋体" w:hAnsi="宋体"/>
                <w:bCs/>
                <w:sz w:val="24"/>
              </w:rPr>
              <w:t>；（</w:t>
            </w:r>
            <w:r>
              <w:rPr>
                <w:bCs/>
                <w:sz w:val="24"/>
              </w:rPr>
              <w:t>2</w:t>
            </w:r>
            <w:r>
              <w:rPr>
                <w:rFonts w:ascii="宋体" w:hAnsi="宋体"/>
                <w:bCs/>
                <w:sz w:val="24"/>
              </w:rPr>
              <w:t>）</w:t>
            </w:r>
            <w:r>
              <w:rPr>
                <w:bCs/>
                <w:sz w:val="24"/>
              </w:rPr>
              <w:t>10≤Q</w:t>
            </w:r>
            <w:r>
              <w:rPr>
                <w:rFonts w:ascii="宋体" w:hAnsi="宋体"/>
                <w:bCs/>
                <w:sz w:val="24"/>
              </w:rPr>
              <w:t>＜</w:t>
            </w:r>
            <w:r>
              <w:rPr>
                <w:bCs/>
                <w:sz w:val="24"/>
              </w:rPr>
              <w:t>100</w:t>
            </w:r>
            <w:r>
              <w:rPr>
                <w:rFonts w:ascii="宋体" w:hAnsi="宋体"/>
                <w:bCs/>
                <w:sz w:val="24"/>
              </w:rPr>
              <w:t>；（</w:t>
            </w:r>
            <w:r>
              <w:rPr>
                <w:bCs/>
                <w:sz w:val="24"/>
              </w:rPr>
              <w:t>3</w:t>
            </w:r>
            <w:r>
              <w:rPr>
                <w:rFonts w:ascii="宋体" w:hAnsi="宋体"/>
                <w:bCs/>
                <w:sz w:val="24"/>
              </w:rPr>
              <w:t>）</w:t>
            </w:r>
            <w:r>
              <w:rPr>
                <w:bCs/>
                <w:sz w:val="24"/>
              </w:rPr>
              <w:t>Q≥100</w:t>
            </w:r>
            <w:r>
              <w:rPr>
                <w:rFonts w:ascii="宋体" w:hAnsi="宋体"/>
                <w:bCs/>
                <w:sz w:val="24"/>
              </w:rPr>
              <w:t>。</w:t>
            </w:r>
          </w:p>
          <w:p w14:paraId="6493C1E9">
            <w:pPr>
              <w:spacing w:line="360" w:lineRule="auto"/>
              <w:ind w:firstLine="480" w:firstLineChars="200"/>
              <w:rPr>
                <w:bCs/>
                <w:sz w:val="24"/>
              </w:rPr>
            </w:pPr>
            <w:r>
              <w:rPr>
                <w:rFonts w:hint="eastAsia" w:ascii="宋体" w:hAnsi="宋体"/>
                <w:bCs/>
                <w:sz w:val="24"/>
              </w:rPr>
              <w:t>本项目危险物质数量与临界量比值</w:t>
            </w:r>
            <w:r>
              <w:rPr>
                <w:rFonts w:hint="eastAsia"/>
                <w:bCs/>
                <w:sz w:val="24"/>
              </w:rPr>
              <w:t>Q</w:t>
            </w:r>
            <w:r>
              <w:rPr>
                <w:rFonts w:hint="eastAsia" w:ascii="宋体" w:hAnsi="宋体"/>
                <w:bCs/>
                <w:sz w:val="24"/>
              </w:rPr>
              <w:t>见下表。</w:t>
            </w:r>
          </w:p>
          <w:p w14:paraId="13FBA69C">
            <w:pPr>
              <w:pStyle w:val="2"/>
              <w:spacing w:before="0" w:after="0"/>
              <w:ind w:left="0" w:firstLine="0"/>
              <w:jc w:val="center"/>
              <w:rPr>
                <w:rFonts w:eastAsia="宋体"/>
                <w:bCs w:val="0"/>
                <w:color w:val="auto"/>
                <w:sz w:val="24"/>
                <w:szCs w:val="24"/>
              </w:rPr>
            </w:pPr>
            <w:r>
              <w:rPr>
                <w:rFonts w:ascii="宋体" w:hAnsi="宋体" w:eastAsia="宋体"/>
                <w:bCs w:val="0"/>
                <w:color w:val="auto"/>
                <w:sz w:val="24"/>
                <w:szCs w:val="24"/>
              </w:rPr>
              <w:t>表</w:t>
            </w:r>
            <w:r>
              <w:rPr>
                <w:rFonts w:eastAsia="宋体"/>
                <w:bCs w:val="0"/>
                <w:color w:val="auto"/>
                <w:sz w:val="24"/>
                <w:szCs w:val="24"/>
              </w:rPr>
              <w:t>4-12</w:t>
            </w:r>
            <w:r>
              <w:rPr>
                <w:rFonts w:ascii="宋体" w:hAnsi="宋体" w:eastAsia="宋体"/>
                <w:bCs w:val="0"/>
                <w:color w:val="auto"/>
                <w:sz w:val="24"/>
                <w:szCs w:val="24"/>
              </w:rPr>
              <w:t>项目危险物质数量与临界量比值一览表</w:t>
            </w:r>
          </w:p>
          <w:tbl>
            <w:tblPr>
              <w:tblStyle w:val="150"/>
              <w:tblW w:w="0" w:type="auto"/>
              <w:tblInd w:w="113"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26"/>
              <w:gridCol w:w="2067"/>
              <w:gridCol w:w="2067"/>
              <w:gridCol w:w="2036"/>
            </w:tblGrid>
            <w:tr w14:paraId="11D07E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798" w:type="dxa"/>
                  <w:tcBorders>
                    <w:top w:val="single" w:color="auto" w:sz="12" w:space="0"/>
                    <w:left w:val="nil"/>
                    <w:bottom w:val="single" w:color="auto" w:sz="4" w:space="0"/>
                    <w:right w:val="single" w:color="auto" w:sz="4" w:space="0"/>
                  </w:tcBorders>
                  <w:vAlign w:val="center"/>
                </w:tcPr>
                <w:p w14:paraId="777F3EA6">
                  <w:pPr>
                    <w:pStyle w:val="149"/>
                    <w:rPr>
                      <w:rFonts w:hint="default" w:ascii="Times New Roman" w:hAnsi="Times New Roman" w:eastAsia="宋体" w:cs="Times New Roman"/>
                      <w:b/>
                      <w:i w:val="0"/>
                    </w:rPr>
                  </w:pPr>
                  <w:r>
                    <w:rPr>
                      <w:rFonts w:hint="eastAsia" w:ascii="宋体" w:hAnsi="宋体" w:eastAsia="宋体" w:cs="Times New Roman"/>
                      <w:b w:val="0"/>
                      <w:i w:val="0"/>
                    </w:rPr>
                    <w:t>危险物质名称</w:t>
                  </w:r>
                </w:p>
              </w:tc>
              <w:tc>
                <w:tcPr>
                  <w:tcW w:w="2454" w:type="dxa"/>
                  <w:tcBorders>
                    <w:top w:val="single" w:color="auto" w:sz="12" w:space="0"/>
                    <w:left w:val="single" w:color="auto" w:sz="4" w:space="0"/>
                    <w:bottom w:val="single" w:color="auto" w:sz="4" w:space="0"/>
                    <w:right w:val="single" w:color="auto" w:sz="4" w:space="0"/>
                  </w:tcBorders>
                  <w:vAlign w:val="center"/>
                </w:tcPr>
                <w:p w14:paraId="125501F8">
                  <w:pPr>
                    <w:pStyle w:val="149"/>
                    <w:rPr>
                      <w:rFonts w:hint="default" w:ascii="Times New Roman" w:hAnsi="Times New Roman" w:eastAsia="宋体" w:cs="Times New Roman"/>
                      <w:b w:val="0"/>
                      <w:i w:val="0"/>
                    </w:rPr>
                  </w:pPr>
                  <w:r>
                    <w:rPr>
                      <w:rFonts w:hint="eastAsia" w:ascii="宋体" w:hAnsi="宋体" w:eastAsia="宋体" w:cs="Times New Roman"/>
                      <w:b w:val="0"/>
                      <w:i w:val="0"/>
                    </w:rPr>
                    <w:t>最大存在总量（吨）</w:t>
                  </w:r>
                </w:p>
              </w:tc>
              <w:tc>
                <w:tcPr>
                  <w:tcW w:w="2454" w:type="dxa"/>
                  <w:tcBorders>
                    <w:top w:val="single" w:color="auto" w:sz="12" w:space="0"/>
                    <w:left w:val="single" w:color="auto" w:sz="4" w:space="0"/>
                    <w:bottom w:val="single" w:color="auto" w:sz="4" w:space="0"/>
                    <w:right w:val="single" w:color="auto" w:sz="4" w:space="0"/>
                  </w:tcBorders>
                  <w:vAlign w:val="center"/>
                </w:tcPr>
                <w:p w14:paraId="1885BA19">
                  <w:pPr>
                    <w:pStyle w:val="149"/>
                    <w:rPr>
                      <w:rFonts w:hint="default" w:ascii="Times New Roman" w:hAnsi="Times New Roman" w:eastAsia="宋体" w:cs="Times New Roman"/>
                      <w:b w:val="0"/>
                      <w:i w:val="0"/>
                    </w:rPr>
                  </w:pPr>
                  <w:r>
                    <w:rPr>
                      <w:rFonts w:hint="eastAsia" w:ascii="宋体" w:hAnsi="宋体" w:eastAsia="宋体" w:cs="Times New Roman"/>
                      <w:b w:val="0"/>
                      <w:i w:val="0"/>
                    </w:rPr>
                    <w:t>临界量（吨）</w:t>
                  </w:r>
                </w:p>
              </w:tc>
              <w:tc>
                <w:tcPr>
                  <w:tcW w:w="2497" w:type="dxa"/>
                  <w:tcBorders>
                    <w:top w:val="single" w:color="auto" w:sz="12" w:space="0"/>
                    <w:left w:val="single" w:color="auto" w:sz="4" w:space="0"/>
                    <w:bottom w:val="single" w:color="auto" w:sz="4" w:space="0"/>
                    <w:right w:val="nil"/>
                  </w:tcBorders>
                  <w:vAlign w:val="center"/>
                </w:tcPr>
                <w:p w14:paraId="24D43DDA">
                  <w:pPr>
                    <w:pStyle w:val="149"/>
                    <w:rPr>
                      <w:rFonts w:hint="default" w:ascii="Times New Roman" w:hAnsi="Times New Roman" w:eastAsia="宋体" w:cs="Times New Roman"/>
                      <w:b w:val="0"/>
                      <w:i w:val="0"/>
                    </w:rPr>
                  </w:pPr>
                  <w:r>
                    <w:rPr>
                      <w:rFonts w:hint="default" w:ascii="Times New Roman" w:hAnsi="Times New Roman" w:eastAsia="宋体" w:cs="Times New Roman"/>
                      <w:b w:val="0"/>
                      <w:bCs/>
                      <w:i w:val="0"/>
                      <w:sz w:val="24"/>
                      <w:szCs w:val="24"/>
                    </w:rPr>
                    <w:t>Q</w:t>
                  </w:r>
                </w:p>
              </w:tc>
            </w:tr>
            <w:tr w14:paraId="772EBC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798" w:type="dxa"/>
                  <w:tcBorders>
                    <w:top w:val="single" w:color="auto" w:sz="4" w:space="0"/>
                    <w:left w:val="nil"/>
                    <w:bottom w:val="single" w:color="auto" w:sz="4" w:space="0"/>
                    <w:right w:val="single" w:color="auto" w:sz="4" w:space="0"/>
                  </w:tcBorders>
                  <w:vAlign w:val="center"/>
                </w:tcPr>
                <w:p w14:paraId="37F100D7">
                  <w:pPr>
                    <w:pStyle w:val="149"/>
                    <w:rPr>
                      <w:rFonts w:eastAsia="Times New Roman"/>
                    </w:rPr>
                  </w:pPr>
                  <w:r>
                    <w:rPr>
                      <w:rFonts w:hint="eastAsia" w:ascii="宋体" w:hAnsi="宋体" w:eastAsia="Times New Roman"/>
                    </w:rPr>
                    <w:t>变压器油</w:t>
                  </w:r>
                </w:p>
              </w:tc>
              <w:tc>
                <w:tcPr>
                  <w:tcW w:w="2454" w:type="dxa"/>
                  <w:tcBorders>
                    <w:top w:val="single" w:color="auto" w:sz="4" w:space="0"/>
                    <w:left w:val="single" w:color="auto" w:sz="4" w:space="0"/>
                    <w:bottom w:val="single" w:color="auto" w:sz="4" w:space="0"/>
                    <w:right w:val="single" w:color="auto" w:sz="4" w:space="0"/>
                  </w:tcBorders>
                  <w:vAlign w:val="center"/>
                </w:tcPr>
                <w:p w14:paraId="0447B826">
                  <w:pPr>
                    <w:pStyle w:val="149"/>
                    <w:rPr>
                      <w:rFonts w:eastAsia="Times New Roman"/>
                    </w:rPr>
                  </w:pPr>
                  <w:r>
                    <w:rPr>
                      <w:rFonts w:hint="eastAsia" w:eastAsia="Times New Roman"/>
                    </w:rPr>
                    <w:t>5</w:t>
                  </w:r>
                  <w:r>
                    <w:rPr>
                      <w:rFonts w:eastAsia="Times New Roman"/>
                    </w:rPr>
                    <w:t>0</w:t>
                  </w:r>
                </w:p>
              </w:tc>
              <w:tc>
                <w:tcPr>
                  <w:tcW w:w="2454" w:type="dxa"/>
                  <w:tcBorders>
                    <w:top w:val="single" w:color="auto" w:sz="4" w:space="0"/>
                    <w:left w:val="single" w:color="auto" w:sz="4" w:space="0"/>
                    <w:bottom w:val="single" w:color="auto" w:sz="4" w:space="0"/>
                    <w:right w:val="single" w:color="auto" w:sz="4" w:space="0"/>
                  </w:tcBorders>
                  <w:vAlign w:val="center"/>
                </w:tcPr>
                <w:p w14:paraId="020BC75E">
                  <w:pPr>
                    <w:pStyle w:val="149"/>
                    <w:rPr>
                      <w:rFonts w:eastAsia="Times New Roman"/>
                    </w:rPr>
                  </w:pPr>
                  <w:r>
                    <w:rPr>
                      <w:rFonts w:hint="eastAsia" w:eastAsia="Times New Roman"/>
                    </w:rPr>
                    <w:t>2</w:t>
                  </w:r>
                  <w:r>
                    <w:rPr>
                      <w:rFonts w:eastAsia="Times New Roman"/>
                    </w:rPr>
                    <w:t>500</w:t>
                  </w:r>
                </w:p>
              </w:tc>
              <w:tc>
                <w:tcPr>
                  <w:tcW w:w="2497" w:type="dxa"/>
                  <w:tcBorders>
                    <w:top w:val="single" w:color="auto" w:sz="4" w:space="0"/>
                    <w:left w:val="single" w:color="auto" w:sz="4" w:space="0"/>
                    <w:bottom w:val="single" w:color="auto" w:sz="4" w:space="0"/>
                    <w:right w:val="nil"/>
                  </w:tcBorders>
                  <w:vAlign w:val="center"/>
                </w:tcPr>
                <w:p w14:paraId="0DA3622E">
                  <w:pPr>
                    <w:pStyle w:val="149"/>
                    <w:rPr>
                      <w:rFonts w:eastAsia="Times New Roman"/>
                    </w:rPr>
                  </w:pPr>
                  <w:r>
                    <w:rPr>
                      <w:rFonts w:eastAsia="Times New Roman"/>
                    </w:rPr>
                    <w:t>0.02</w:t>
                  </w:r>
                </w:p>
              </w:tc>
            </w:tr>
            <w:tr w14:paraId="5CF38F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798" w:type="dxa"/>
                  <w:tcBorders>
                    <w:top w:val="single" w:color="auto" w:sz="4" w:space="0"/>
                    <w:left w:val="nil"/>
                    <w:bottom w:val="single" w:color="auto" w:sz="4" w:space="0"/>
                    <w:right w:val="single" w:color="auto" w:sz="4" w:space="0"/>
                  </w:tcBorders>
                  <w:vAlign w:val="center"/>
                </w:tcPr>
                <w:p w14:paraId="062A99C4">
                  <w:pPr>
                    <w:pStyle w:val="149"/>
                    <w:rPr>
                      <w:rFonts w:eastAsia="Times New Roman"/>
                    </w:rPr>
                  </w:pPr>
                  <w:r>
                    <w:rPr>
                      <w:rFonts w:hint="eastAsia" w:ascii="宋体" w:hAnsi="宋体" w:eastAsia="Times New Roman"/>
                    </w:rPr>
                    <w:t>合计</w:t>
                  </w:r>
                </w:p>
              </w:tc>
              <w:tc>
                <w:tcPr>
                  <w:tcW w:w="2454" w:type="dxa"/>
                  <w:tcBorders>
                    <w:top w:val="single" w:color="auto" w:sz="4" w:space="0"/>
                    <w:left w:val="single" w:color="auto" w:sz="4" w:space="0"/>
                    <w:bottom w:val="single" w:color="auto" w:sz="4" w:space="0"/>
                    <w:right w:val="single" w:color="auto" w:sz="4" w:space="0"/>
                  </w:tcBorders>
                  <w:vAlign w:val="center"/>
                </w:tcPr>
                <w:p w14:paraId="7B87FFF4">
                  <w:pPr>
                    <w:pStyle w:val="149"/>
                    <w:rPr>
                      <w:rFonts w:eastAsia="Times New Roman"/>
                    </w:rPr>
                  </w:pPr>
                  <w:r>
                    <w:rPr>
                      <w:rFonts w:hint="eastAsia" w:eastAsia="Times New Roman"/>
                    </w:rPr>
                    <w:t>/</w:t>
                  </w:r>
                </w:p>
              </w:tc>
              <w:tc>
                <w:tcPr>
                  <w:tcW w:w="2454" w:type="dxa"/>
                  <w:tcBorders>
                    <w:top w:val="single" w:color="auto" w:sz="4" w:space="0"/>
                    <w:left w:val="single" w:color="auto" w:sz="4" w:space="0"/>
                    <w:bottom w:val="single" w:color="auto" w:sz="4" w:space="0"/>
                    <w:right w:val="single" w:color="auto" w:sz="4" w:space="0"/>
                  </w:tcBorders>
                  <w:vAlign w:val="center"/>
                </w:tcPr>
                <w:p w14:paraId="2DAF7F75">
                  <w:pPr>
                    <w:pStyle w:val="149"/>
                    <w:rPr>
                      <w:rFonts w:eastAsia="Times New Roman"/>
                    </w:rPr>
                  </w:pPr>
                  <w:r>
                    <w:rPr>
                      <w:rFonts w:hint="eastAsia" w:eastAsia="Times New Roman"/>
                    </w:rPr>
                    <w:t>/</w:t>
                  </w:r>
                </w:p>
              </w:tc>
              <w:tc>
                <w:tcPr>
                  <w:tcW w:w="2497" w:type="dxa"/>
                  <w:tcBorders>
                    <w:top w:val="single" w:color="auto" w:sz="4" w:space="0"/>
                    <w:left w:val="single" w:color="auto" w:sz="4" w:space="0"/>
                    <w:bottom w:val="single" w:color="auto" w:sz="4" w:space="0"/>
                    <w:right w:val="nil"/>
                  </w:tcBorders>
                  <w:vAlign w:val="center"/>
                </w:tcPr>
                <w:p w14:paraId="1F10EFA9">
                  <w:pPr>
                    <w:pStyle w:val="149"/>
                    <w:rPr>
                      <w:rFonts w:eastAsia="Times New Roman"/>
                    </w:rPr>
                  </w:pPr>
                  <w:r>
                    <w:rPr>
                      <w:rFonts w:eastAsia="Times New Roman"/>
                    </w:rPr>
                    <w:t>0.02</w:t>
                  </w:r>
                </w:p>
              </w:tc>
            </w:tr>
            <w:tr w14:paraId="0C7846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203" w:type="dxa"/>
                  <w:gridSpan w:val="4"/>
                  <w:tcBorders>
                    <w:top w:val="single" w:color="auto" w:sz="4" w:space="0"/>
                    <w:left w:val="nil"/>
                    <w:bottom w:val="single" w:color="auto" w:sz="12" w:space="0"/>
                    <w:right w:val="nil"/>
                  </w:tcBorders>
                  <w:vAlign w:val="center"/>
                </w:tcPr>
                <w:p w14:paraId="712066DA">
                  <w:pPr>
                    <w:pStyle w:val="149"/>
                    <w:jc w:val="both"/>
                    <w:rPr>
                      <w:rFonts w:eastAsia="Times New Roman"/>
                    </w:rPr>
                  </w:pPr>
                  <w:r>
                    <w:rPr>
                      <w:rFonts w:hint="eastAsia" w:ascii="宋体" w:hAnsi="宋体" w:eastAsia="Times New Roman"/>
                    </w:rPr>
                    <w:t>注：项目变压器用油量约</w:t>
                  </w:r>
                  <w:r>
                    <w:rPr>
                      <w:rFonts w:eastAsia="Times New Roman"/>
                    </w:rPr>
                    <w:t>50t/</w:t>
                  </w:r>
                  <w:r>
                    <w:rPr>
                      <w:rFonts w:hint="eastAsia" w:ascii="宋体" w:hAnsi="宋体" w:eastAsia="Times New Roman"/>
                    </w:rPr>
                    <w:t>年，废变压油由变压油产生，所以风险物质只考虑变压油，未考虑废变压器油。</w:t>
                  </w:r>
                </w:p>
              </w:tc>
            </w:tr>
          </w:tbl>
          <w:p w14:paraId="0939EB72">
            <w:pPr>
              <w:widowControl/>
              <w:spacing w:line="360" w:lineRule="auto"/>
              <w:ind w:firstLine="480" w:firstLineChars="200"/>
              <w:rPr>
                <w:rFonts w:ascii="宋体" w:hAnsi="宋体"/>
                <w:kern w:val="0"/>
                <w:sz w:val="24"/>
              </w:rPr>
            </w:pPr>
            <w:r>
              <w:rPr>
                <w:rFonts w:hint="eastAsia" w:ascii="宋体" w:hAnsi="宋体"/>
                <w:kern w:val="0"/>
                <w:sz w:val="24"/>
              </w:rPr>
              <w:t>本项目危险物质数量与临界量比值</w:t>
            </w:r>
            <w:r>
              <w:rPr>
                <w:kern w:val="0"/>
                <w:sz w:val="24"/>
              </w:rPr>
              <w:t>Q =0.02</w:t>
            </w:r>
            <w:r>
              <w:rPr>
                <w:rFonts w:hint="eastAsia" w:ascii="宋体" w:hAnsi="宋体"/>
                <w:kern w:val="0"/>
                <w:sz w:val="24"/>
              </w:rPr>
              <w:t>＜</w:t>
            </w:r>
            <w:r>
              <w:rPr>
                <w:kern w:val="0"/>
                <w:sz w:val="24"/>
              </w:rPr>
              <w:t>1</w:t>
            </w:r>
            <w:r>
              <w:rPr>
                <w:rFonts w:hint="eastAsia" w:ascii="宋体" w:hAnsi="宋体"/>
                <w:kern w:val="0"/>
                <w:sz w:val="24"/>
              </w:rPr>
              <w:t>，无需进行环境风险专项评价，仅开展简单分析。</w:t>
            </w:r>
          </w:p>
          <w:p w14:paraId="5D20A138">
            <w:pPr>
              <w:spacing w:line="360" w:lineRule="auto"/>
              <w:ind w:firstLine="482" w:firstLineChars="200"/>
              <w:rPr>
                <w:b/>
                <w:bCs/>
                <w:sz w:val="24"/>
              </w:rPr>
            </w:pPr>
            <w:r>
              <w:rPr>
                <w:rFonts w:hint="eastAsia" w:ascii="宋体" w:hAnsi="宋体"/>
                <w:b/>
                <w:bCs/>
                <w:sz w:val="24"/>
              </w:rPr>
              <w:t>（</w:t>
            </w:r>
            <w:r>
              <w:rPr>
                <w:b/>
                <w:bCs/>
                <w:sz w:val="24"/>
              </w:rPr>
              <w:t>4</w:t>
            </w:r>
            <w:r>
              <w:rPr>
                <w:rFonts w:hint="eastAsia"/>
                <w:b/>
                <w:bCs/>
                <w:sz w:val="24"/>
              </w:rPr>
              <w:t>）环境风险识别</w:t>
            </w:r>
          </w:p>
          <w:p w14:paraId="10A5AEA4">
            <w:pPr>
              <w:pStyle w:val="112"/>
              <w:spacing w:line="360" w:lineRule="auto"/>
              <w:ind w:firstLine="480" w:firstLineChars="200"/>
              <w:rPr>
                <w:sz w:val="24"/>
              </w:rPr>
            </w:pPr>
            <w:r>
              <w:rPr>
                <w:rFonts w:hint="eastAsia"/>
                <w:sz w:val="24"/>
              </w:rPr>
              <w:t>根据《建设项目环境风险评价技术导则》（HJ169-2018），正常情况下，变电站运行期无有毒有害、易燃易爆物质产生。本工程运行期涉及的可能产生风险的物料主要为站内主变压器的变压器油。</w:t>
            </w:r>
          </w:p>
          <w:p w14:paraId="598A2A54">
            <w:pPr>
              <w:pStyle w:val="143"/>
            </w:pPr>
            <w:r>
              <w:rPr>
                <w:rFonts w:hint="eastAsia"/>
              </w:rPr>
              <w:t>表</w:t>
            </w:r>
            <w:r>
              <w:t>4-13</w:t>
            </w:r>
            <w:r>
              <w:rPr>
                <w:rFonts w:hint="eastAsia"/>
              </w:rPr>
              <w:t>建设项目环境风险识别表</w:t>
            </w:r>
          </w:p>
          <w:tbl>
            <w:tblPr>
              <w:tblStyle w:val="150"/>
              <w:tblW w:w="10316"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63"/>
              <w:gridCol w:w="1314"/>
              <w:gridCol w:w="1195"/>
              <w:gridCol w:w="1395"/>
              <w:gridCol w:w="1407"/>
              <w:gridCol w:w="1587"/>
              <w:gridCol w:w="2455"/>
            </w:tblGrid>
            <w:tr w14:paraId="08CFF7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67" w:type="pct"/>
                  <w:vAlign w:val="center"/>
                </w:tcPr>
                <w:p w14:paraId="07006E07">
                  <w:pPr>
                    <w:autoSpaceDE w:val="0"/>
                    <w:autoSpaceDN w:val="0"/>
                    <w:jc w:val="center"/>
                    <w:rPr>
                      <w:rFonts w:hint="default" w:ascii="Times New Roman" w:hAnsi="Times New Roman" w:eastAsia="宋体" w:cs="Times New Roman"/>
                      <w:b w:val="0"/>
                      <w:i w:val="0"/>
                      <w:kern w:val="0"/>
                      <w:szCs w:val="21"/>
                      <w:lang w:eastAsia="en-US"/>
                    </w:rPr>
                  </w:pPr>
                  <w:r>
                    <w:rPr>
                      <w:rFonts w:hint="eastAsia" w:ascii="Times New Roman" w:hAnsi="Times New Roman" w:eastAsia="宋体" w:cs="Times New Roman"/>
                      <w:b w:val="0"/>
                      <w:i w:val="0"/>
                      <w:kern w:val="0"/>
                      <w:szCs w:val="21"/>
                    </w:rPr>
                    <w:t>序号</w:t>
                  </w:r>
                </w:p>
              </w:tc>
              <w:tc>
                <w:tcPr>
                  <w:tcW w:w="637" w:type="pct"/>
                  <w:vAlign w:val="center"/>
                </w:tcPr>
                <w:p w14:paraId="622A3AC0">
                  <w:pPr>
                    <w:autoSpaceDE w:val="0"/>
                    <w:autoSpaceDN w:val="0"/>
                    <w:jc w:val="center"/>
                    <w:rPr>
                      <w:rFonts w:hint="default" w:ascii="Times New Roman" w:hAnsi="Times New Roman" w:eastAsia="宋体" w:cs="Times New Roman"/>
                      <w:b w:val="0"/>
                      <w:i w:val="0"/>
                      <w:kern w:val="0"/>
                      <w:szCs w:val="21"/>
                      <w:lang w:eastAsia="en-US"/>
                    </w:rPr>
                  </w:pPr>
                  <w:r>
                    <w:rPr>
                      <w:rFonts w:hint="eastAsia" w:ascii="Times New Roman" w:hAnsi="Times New Roman" w:eastAsia="宋体" w:cs="Times New Roman"/>
                      <w:b w:val="0"/>
                      <w:i w:val="0"/>
                      <w:kern w:val="0"/>
                      <w:szCs w:val="21"/>
                    </w:rPr>
                    <w:t>危险单元</w:t>
                  </w:r>
                </w:p>
              </w:tc>
              <w:tc>
                <w:tcPr>
                  <w:tcW w:w="579" w:type="pct"/>
                  <w:vAlign w:val="center"/>
                </w:tcPr>
                <w:p w14:paraId="7B84191A">
                  <w:pPr>
                    <w:autoSpaceDE w:val="0"/>
                    <w:autoSpaceDN w:val="0"/>
                    <w:jc w:val="center"/>
                    <w:rPr>
                      <w:rFonts w:hint="default" w:ascii="Times New Roman" w:hAnsi="Times New Roman" w:eastAsia="宋体" w:cs="Times New Roman"/>
                      <w:b w:val="0"/>
                      <w:i w:val="0"/>
                      <w:kern w:val="0"/>
                      <w:szCs w:val="21"/>
                      <w:lang w:eastAsia="en-US"/>
                    </w:rPr>
                  </w:pPr>
                  <w:r>
                    <w:rPr>
                      <w:rFonts w:hint="eastAsia" w:ascii="Times New Roman" w:hAnsi="Times New Roman" w:eastAsia="宋体" w:cs="Times New Roman"/>
                      <w:b w:val="0"/>
                      <w:i w:val="0"/>
                      <w:kern w:val="0"/>
                      <w:szCs w:val="21"/>
                    </w:rPr>
                    <w:t>风险源</w:t>
                  </w:r>
                </w:p>
              </w:tc>
              <w:tc>
                <w:tcPr>
                  <w:tcW w:w="676" w:type="pct"/>
                  <w:vAlign w:val="center"/>
                </w:tcPr>
                <w:p w14:paraId="6B7C2A56">
                  <w:pPr>
                    <w:autoSpaceDE w:val="0"/>
                    <w:autoSpaceDN w:val="0"/>
                    <w:jc w:val="center"/>
                    <w:rPr>
                      <w:rFonts w:hint="default" w:ascii="Times New Roman" w:hAnsi="Times New Roman" w:eastAsia="宋体" w:cs="Times New Roman"/>
                      <w:b w:val="0"/>
                      <w:i w:val="0"/>
                      <w:kern w:val="0"/>
                      <w:szCs w:val="21"/>
                      <w:lang w:eastAsia="en-US"/>
                    </w:rPr>
                  </w:pPr>
                  <w:r>
                    <w:rPr>
                      <w:rFonts w:hint="eastAsia" w:ascii="Times New Roman" w:hAnsi="Times New Roman" w:eastAsia="宋体" w:cs="Times New Roman"/>
                      <w:b w:val="0"/>
                      <w:i w:val="0"/>
                      <w:kern w:val="0"/>
                      <w:szCs w:val="21"/>
                    </w:rPr>
                    <w:t>主要危险物质</w:t>
                  </w:r>
                </w:p>
              </w:tc>
              <w:tc>
                <w:tcPr>
                  <w:tcW w:w="682" w:type="pct"/>
                  <w:vAlign w:val="center"/>
                </w:tcPr>
                <w:p w14:paraId="3E2009DF">
                  <w:pPr>
                    <w:autoSpaceDE w:val="0"/>
                    <w:autoSpaceDN w:val="0"/>
                    <w:jc w:val="center"/>
                    <w:rPr>
                      <w:rFonts w:hint="default" w:ascii="Times New Roman" w:hAnsi="Times New Roman" w:eastAsia="宋体" w:cs="Times New Roman"/>
                      <w:b w:val="0"/>
                      <w:i w:val="0"/>
                      <w:kern w:val="0"/>
                      <w:szCs w:val="21"/>
                      <w:lang w:eastAsia="en-US"/>
                    </w:rPr>
                  </w:pPr>
                  <w:r>
                    <w:rPr>
                      <w:rFonts w:hint="eastAsia" w:ascii="Times New Roman" w:hAnsi="Times New Roman" w:eastAsia="宋体" w:cs="Times New Roman"/>
                      <w:b w:val="0"/>
                      <w:i w:val="0"/>
                      <w:kern w:val="0"/>
                      <w:szCs w:val="21"/>
                    </w:rPr>
                    <w:t>环境风险类型</w:t>
                  </w:r>
                </w:p>
              </w:tc>
              <w:tc>
                <w:tcPr>
                  <w:tcW w:w="769" w:type="pct"/>
                  <w:vAlign w:val="center"/>
                </w:tcPr>
                <w:p w14:paraId="3F70C19E">
                  <w:pPr>
                    <w:autoSpaceDE w:val="0"/>
                    <w:autoSpaceDN w:val="0"/>
                    <w:jc w:val="center"/>
                    <w:rPr>
                      <w:rFonts w:hint="default" w:ascii="Times New Roman" w:hAnsi="Times New Roman" w:eastAsia="宋体" w:cs="Times New Roman"/>
                      <w:b w:val="0"/>
                      <w:i w:val="0"/>
                      <w:kern w:val="0"/>
                      <w:szCs w:val="21"/>
                      <w:lang w:eastAsia="en-US"/>
                    </w:rPr>
                  </w:pPr>
                  <w:r>
                    <w:rPr>
                      <w:rFonts w:hint="eastAsia" w:ascii="Times New Roman" w:hAnsi="Times New Roman" w:eastAsia="宋体" w:cs="Times New Roman"/>
                      <w:b w:val="0"/>
                      <w:i w:val="0"/>
                      <w:kern w:val="0"/>
                      <w:szCs w:val="21"/>
                    </w:rPr>
                    <w:t>环境影响途径</w:t>
                  </w:r>
                </w:p>
              </w:tc>
              <w:tc>
                <w:tcPr>
                  <w:tcW w:w="1190" w:type="pct"/>
                  <w:vAlign w:val="center"/>
                </w:tcPr>
                <w:p w14:paraId="6529516B">
                  <w:pPr>
                    <w:autoSpaceDE w:val="0"/>
                    <w:autoSpaceDN w:val="0"/>
                    <w:jc w:val="center"/>
                    <w:rPr>
                      <w:rFonts w:hint="default" w:ascii="Times New Roman" w:hAnsi="Times New Roman" w:eastAsia="宋体" w:cs="Times New Roman"/>
                      <w:b w:val="0"/>
                      <w:i w:val="0"/>
                      <w:kern w:val="0"/>
                      <w:szCs w:val="21"/>
                    </w:rPr>
                  </w:pPr>
                  <w:r>
                    <w:rPr>
                      <w:rFonts w:hint="eastAsia" w:ascii="Times New Roman" w:hAnsi="Times New Roman" w:eastAsia="宋体" w:cs="Times New Roman"/>
                      <w:b w:val="0"/>
                      <w:i w:val="0"/>
                      <w:kern w:val="0"/>
                      <w:szCs w:val="21"/>
                    </w:rPr>
                    <w:t>可能受影响的环境敏感目标</w:t>
                  </w:r>
                </w:p>
              </w:tc>
            </w:tr>
            <w:tr w14:paraId="6F5BC1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67" w:type="pct"/>
                  <w:vAlign w:val="center"/>
                </w:tcPr>
                <w:p w14:paraId="053C6A9A">
                  <w:pPr>
                    <w:autoSpaceDE w:val="0"/>
                    <w:autoSpaceDN w:val="0"/>
                    <w:jc w:val="center"/>
                    <w:rPr>
                      <w:rFonts w:eastAsia="Times New Roman"/>
                      <w:kern w:val="0"/>
                      <w:szCs w:val="21"/>
                    </w:rPr>
                  </w:pPr>
                  <w:r>
                    <w:rPr>
                      <w:rFonts w:eastAsia="Times New Roman"/>
                      <w:kern w:val="0"/>
                      <w:szCs w:val="21"/>
                    </w:rPr>
                    <w:t>1</w:t>
                  </w:r>
                </w:p>
              </w:tc>
              <w:tc>
                <w:tcPr>
                  <w:tcW w:w="637" w:type="pct"/>
                  <w:vAlign w:val="center"/>
                </w:tcPr>
                <w:p w14:paraId="340EFE6A">
                  <w:pPr>
                    <w:autoSpaceDE w:val="0"/>
                    <w:autoSpaceDN w:val="0"/>
                    <w:jc w:val="center"/>
                    <w:rPr>
                      <w:rFonts w:eastAsia="Times New Roman"/>
                      <w:kern w:val="0"/>
                      <w:szCs w:val="21"/>
                    </w:rPr>
                  </w:pPr>
                  <w:r>
                    <w:rPr>
                      <w:rFonts w:hint="eastAsia" w:ascii="宋体" w:hAnsi="宋体" w:eastAsia="宋体" w:cs="宋体"/>
                      <w:kern w:val="0"/>
                      <w:szCs w:val="21"/>
                    </w:rPr>
                    <w:t>升压站区</w:t>
                  </w:r>
                </w:p>
              </w:tc>
              <w:tc>
                <w:tcPr>
                  <w:tcW w:w="579" w:type="pct"/>
                  <w:vAlign w:val="center"/>
                </w:tcPr>
                <w:p w14:paraId="73044FEA">
                  <w:pPr>
                    <w:autoSpaceDE w:val="0"/>
                    <w:autoSpaceDN w:val="0"/>
                    <w:jc w:val="center"/>
                    <w:rPr>
                      <w:rFonts w:eastAsia="Times New Roman"/>
                      <w:kern w:val="0"/>
                      <w:szCs w:val="21"/>
                    </w:rPr>
                  </w:pPr>
                  <w:r>
                    <w:rPr>
                      <w:rFonts w:hint="eastAsia" w:ascii="宋体" w:hAnsi="宋体" w:eastAsia="宋体" w:cs="宋体"/>
                      <w:kern w:val="0"/>
                      <w:szCs w:val="21"/>
                    </w:rPr>
                    <w:t>主变压器</w:t>
                  </w:r>
                </w:p>
              </w:tc>
              <w:tc>
                <w:tcPr>
                  <w:tcW w:w="676" w:type="pct"/>
                  <w:vAlign w:val="center"/>
                </w:tcPr>
                <w:p w14:paraId="00770A4B">
                  <w:pPr>
                    <w:autoSpaceDE w:val="0"/>
                    <w:autoSpaceDN w:val="0"/>
                    <w:jc w:val="center"/>
                    <w:rPr>
                      <w:rFonts w:eastAsia="Times New Roman"/>
                      <w:kern w:val="0"/>
                      <w:szCs w:val="21"/>
                    </w:rPr>
                  </w:pPr>
                  <w:r>
                    <w:rPr>
                      <w:rFonts w:hint="eastAsia" w:ascii="宋体" w:hAnsi="宋体" w:eastAsia="宋体" w:cs="宋体"/>
                      <w:bCs/>
                      <w:kern w:val="0"/>
                      <w:szCs w:val="22"/>
                    </w:rPr>
                    <w:t>变压器油</w:t>
                  </w:r>
                </w:p>
              </w:tc>
              <w:tc>
                <w:tcPr>
                  <w:tcW w:w="682" w:type="pct"/>
                  <w:vAlign w:val="center"/>
                </w:tcPr>
                <w:p w14:paraId="31EC87EB">
                  <w:pPr>
                    <w:autoSpaceDE w:val="0"/>
                    <w:autoSpaceDN w:val="0"/>
                    <w:jc w:val="center"/>
                    <w:rPr>
                      <w:rFonts w:eastAsia="Times New Roman"/>
                      <w:kern w:val="0"/>
                      <w:szCs w:val="21"/>
                    </w:rPr>
                  </w:pPr>
                  <w:r>
                    <w:rPr>
                      <w:rFonts w:hint="eastAsia" w:ascii="宋体" w:hAnsi="宋体" w:eastAsia="宋体" w:cs="宋体"/>
                      <w:kern w:val="0"/>
                      <w:szCs w:val="21"/>
                    </w:rPr>
                    <w:t>泄漏</w:t>
                  </w:r>
                </w:p>
              </w:tc>
              <w:tc>
                <w:tcPr>
                  <w:tcW w:w="769" w:type="pct"/>
                  <w:vAlign w:val="center"/>
                </w:tcPr>
                <w:p w14:paraId="5542AB39">
                  <w:pPr>
                    <w:autoSpaceDE w:val="0"/>
                    <w:autoSpaceDN w:val="0"/>
                    <w:jc w:val="center"/>
                    <w:rPr>
                      <w:rFonts w:eastAsia="Times New Roman"/>
                      <w:kern w:val="0"/>
                      <w:szCs w:val="21"/>
                    </w:rPr>
                  </w:pPr>
                  <w:r>
                    <w:rPr>
                      <w:rFonts w:hint="eastAsia" w:ascii="宋体" w:hAnsi="宋体" w:eastAsia="宋体" w:cs="宋体"/>
                      <w:kern w:val="0"/>
                      <w:szCs w:val="21"/>
                    </w:rPr>
                    <w:t>地表漫流、垂直入渗</w:t>
                  </w:r>
                </w:p>
              </w:tc>
              <w:tc>
                <w:tcPr>
                  <w:tcW w:w="1190" w:type="pct"/>
                  <w:vAlign w:val="center"/>
                </w:tcPr>
                <w:p w14:paraId="3FD23126">
                  <w:pPr>
                    <w:autoSpaceDE w:val="0"/>
                    <w:autoSpaceDN w:val="0"/>
                    <w:jc w:val="center"/>
                    <w:rPr>
                      <w:rFonts w:eastAsia="Times New Roman"/>
                      <w:kern w:val="0"/>
                      <w:szCs w:val="21"/>
                    </w:rPr>
                  </w:pPr>
                  <w:r>
                    <w:rPr>
                      <w:rFonts w:hint="eastAsia" w:ascii="宋体" w:hAnsi="宋体" w:eastAsia="宋体" w:cs="宋体"/>
                      <w:kern w:val="0"/>
                      <w:szCs w:val="21"/>
                    </w:rPr>
                    <w:t>区域地下水、土壤</w:t>
                  </w:r>
                </w:p>
              </w:tc>
            </w:tr>
          </w:tbl>
          <w:p w14:paraId="5A7B096A">
            <w:pPr>
              <w:spacing w:line="360" w:lineRule="auto"/>
              <w:ind w:firstLine="482" w:firstLineChars="200"/>
              <w:rPr>
                <w:b/>
                <w:bCs/>
                <w:sz w:val="24"/>
              </w:rPr>
            </w:pPr>
            <w:r>
              <w:rPr>
                <w:rFonts w:hint="eastAsia" w:ascii="宋体" w:hAnsi="宋体"/>
                <w:b/>
                <w:bCs/>
                <w:sz w:val="24"/>
              </w:rPr>
              <w:t>（</w:t>
            </w:r>
            <w:r>
              <w:rPr>
                <w:b/>
                <w:bCs/>
                <w:sz w:val="24"/>
              </w:rPr>
              <w:t>5</w:t>
            </w:r>
            <w:r>
              <w:rPr>
                <w:rFonts w:hint="eastAsia"/>
                <w:b/>
                <w:bCs/>
                <w:sz w:val="24"/>
              </w:rPr>
              <w:t>）环境影响分析</w:t>
            </w:r>
          </w:p>
          <w:p w14:paraId="16806283">
            <w:pPr>
              <w:spacing w:line="360" w:lineRule="auto"/>
              <w:ind w:firstLine="480" w:firstLineChars="200"/>
              <w:rPr>
                <w:bCs/>
                <w:sz w:val="24"/>
              </w:rPr>
            </w:pPr>
            <w:r>
              <w:rPr>
                <w:rFonts w:hint="eastAsia"/>
                <w:bCs/>
                <w:sz w:val="24"/>
              </w:rPr>
              <w:t>本项目突发环境事件风险物质为</w:t>
            </w:r>
            <w:r>
              <w:rPr>
                <w:rFonts w:hint="eastAsia"/>
                <w:sz w:val="24"/>
              </w:rPr>
              <w:t>变压器油和储能电站电池电解液</w:t>
            </w:r>
            <w:r>
              <w:rPr>
                <w:rFonts w:hint="eastAsia"/>
                <w:bCs/>
                <w:sz w:val="24"/>
              </w:rPr>
              <w:t>，可能存在泄漏导致的地下水、土壤污染。</w:t>
            </w:r>
          </w:p>
          <w:p w14:paraId="4C3707F5">
            <w:pPr>
              <w:spacing w:line="360" w:lineRule="auto"/>
              <w:ind w:firstLine="482" w:firstLineChars="200"/>
              <w:rPr>
                <w:b/>
                <w:bCs/>
                <w:sz w:val="24"/>
              </w:rPr>
            </w:pPr>
            <w:r>
              <w:rPr>
                <w:rFonts w:hint="eastAsia" w:ascii="宋体" w:hAnsi="宋体"/>
                <w:b/>
                <w:bCs/>
                <w:sz w:val="24"/>
              </w:rPr>
              <w:t>（</w:t>
            </w:r>
            <w:r>
              <w:rPr>
                <w:b/>
                <w:bCs/>
                <w:sz w:val="24"/>
              </w:rPr>
              <w:t>6</w:t>
            </w:r>
            <w:r>
              <w:rPr>
                <w:rFonts w:hint="eastAsia"/>
                <w:b/>
                <w:bCs/>
                <w:sz w:val="24"/>
              </w:rPr>
              <w:t>）环境风险防范措施及应急要求</w:t>
            </w:r>
          </w:p>
          <w:p w14:paraId="51C72EC2">
            <w:pPr>
              <w:spacing w:line="360" w:lineRule="auto"/>
              <w:ind w:firstLine="480" w:firstLineChars="200"/>
              <w:rPr>
                <w:sz w:val="24"/>
                <w:szCs w:val="20"/>
              </w:rPr>
            </w:pPr>
            <w:r>
              <w:rPr>
                <w:bCs/>
                <w:sz w:val="24"/>
              </w:rPr>
              <w:t>1</w:t>
            </w:r>
            <w:r>
              <w:rPr>
                <w:rFonts w:hint="eastAsia"/>
                <w:bCs/>
                <w:sz w:val="24"/>
              </w:rPr>
              <w:t>）</w:t>
            </w:r>
            <w:r>
              <w:rPr>
                <w:rFonts w:hint="eastAsia"/>
                <w:sz w:val="24"/>
                <w:szCs w:val="20"/>
              </w:rPr>
              <w:t>变压器下方设有储油坑，当出现事故时，变压器油先进入主变正下方集油坑，然后通过排油管引入事故油池。站内事故油池、排油管等设置均为地下布设，上面有混凝土盖板，站区内设有雨污分流系统。事故油池与升压站内雨水收集系统相互独立运行，不会出现变压器油污染环境事故发生。</w:t>
            </w:r>
            <w:r>
              <w:rPr>
                <w:rFonts w:hint="eastAsia"/>
                <w:sz w:val="24"/>
              </w:rPr>
              <w:t>根据设计资料可知，项目变压器壳体内装有约</w:t>
            </w:r>
            <w:r>
              <w:rPr>
                <w:sz w:val="24"/>
              </w:rPr>
              <w:t>50t</w:t>
            </w:r>
            <w:r>
              <w:rPr>
                <w:rFonts w:hint="eastAsia"/>
                <w:sz w:val="24"/>
              </w:rPr>
              <w:t>变压器油，变压器油密度为</w:t>
            </w:r>
            <w:r>
              <w:rPr>
                <w:sz w:val="24"/>
              </w:rPr>
              <w:t>0.895t/m</w:t>
            </w:r>
            <w:r>
              <w:rPr>
                <w:sz w:val="24"/>
                <w:vertAlign w:val="superscript"/>
              </w:rPr>
              <w:t>3</w:t>
            </w:r>
            <w:r>
              <w:rPr>
                <w:rFonts w:hint="eastAsia"/>
                <w:sz w:val="24"/>
              </w:rPr>
              <w:t>，体积约为</w:t>
            </w:r>
            <w:r>
              <w:rPr>
                <w:sz w:val="24"/>
              </w:rPr>
              <w:t>44.75m</w:t>
            </w:r>
            <w:r>
              <w:rPr>
                <w:sz w:val="24"/>
                <w:vertAlign w:val="superscript"/>
              </w:rPr>
              <w:t>3</w:t>
            </w:r>
            <w:r>
              <w:rPr>
                <w:rFonts w:hint="eastAsia"/>
                <w:sz w:val="24"/>
                <w:szCs w:val="20"/>
              </w:rPr>
              <w:t>，本升压站事故油池容积为</w:t>
            </w:r>
            <w:r>
              <w:rPr>
                <w:sz w:val="24"/>
                <w:szCs w:val="20"/>
              </w:rPr>
              <w:t>95m</w:t>
            </w:r>
            <w:r>
              <w:rPr>
                <w:sz w:val="24"/>
                <w:szCs w:val="20"/>
                <w:vertAlign w:val="superscript"/>
              </w:rPr>
              <w:t>3</w:t>
            </w:r>
            <w:r>
              <w:rPr>
                <w:rFonts w:hint="eastAsia"/>
                <w:sz w:val="24"/>
                <w:szCs w:val="20"/>
              </w:rPr>
              <w:t>，大于最大设备油量（</w:t>
            </w:r>
            <w:r>
              <w:rPr>
                <w:sz w:val="24"/>
                <w:szCs w:val="20"/>
              </w:rPr>
              <w:t>44.75m</w:t>
            </w:r>
            <w:r>
              <w:rPr>
                <w:sz w:val="24"/>
                <w:szCs w:val="20"/>
                <w:vertAlign w:val="superscript"/>
              </w:rPr>
              <w:t>3</w:t>
            </w:r>
            <w:r>
              <w:rPr>
                <w:rFonts w:hint="eastAsia"/>
                <w:sz w:val="24"/>
                <w:szCs w:val="20"/>
              </w:rPr>
              <w:t>），事故油大部分回收利用，不能回收部分为危废，交由相应危废处理资质的单位处理。</w:t>
            </w:r>
          </w:p>
          <w:p w14:paraId="4027197D">
            <w:pPr>
              <w:spacing w:line="360" w:lineRule="auto"/>
              <w:ind w:firstLine="480" w:firstLineChars="200"/>
              <w:rPr>
                <w:sz w:val="24"/>
                <w:szCs w:val="20"/>
              </w:rPr>
            </w:pPr>
            <w:r>
              <w:rPr>
                <w:rFonts w:hint="eastAsia"/>
                <w:sz w:val="24"/>
                <w:szCs w:val="20"/>
              </w:rPr>
              <w:t>不能回收的部分为废油，产生量约为</w:t>
            </w:r>
            <w:r>
              <w:rPr>
                <w:sz w:val="24"/>
                <w:szCs w:val="20"/>
              </w:rPr>
              <w:t>0.05t</w:t>
            </w:r>
            <w:r>
              <w:rPr>
                <w:rFonts w:hint="eastAsia"/>
                <w:sz w:val="24"/>
                <w:szCs w:val="20"/>
              </w:rPr>
              <w:t>（事故油量的</w:t>
            </w:r>
            <w:r>
              <w:rPr>
                <w:sz w:val="24"/>
                <w:szCs w:val="20"/>
              </w:rPr>
              <w:t>0.1%</w:t>
            </w:r>
            <w:r>
              <w:rPr>
                <w:rFonts w:hint="eastAsia"/>
                <w:sz w:val="24"/>
                <w:szCs w:val="20"/>
              </w:rPr>
              <w:t>），属于《国家危险废物名录》（</w:t>
            </w:r>
            <w:r>
              <w:rPr>
                <w:sz w:val="24"/>
                <w:szCs w:val="20"/>
              </w:rPr>
              <w:t>2025</w:t>
            </w:r>
            <w:r>
              <w:rPr>
                <w:rFonts w:hint="eastAsia"/>
                <w:sz w:val="24"/>
                <w:szCs w:val="20"/>
              </w:rPr>
              <w:t>版）中</w:t>
            </w:r>
            <w:r>
              <w:rPr>
                <w:sz w:val="24"/>
                <w:szCs w:val="20"/>
              </w:rPr>
              <w:t>HW08</w:t>
            </w:r>
            <w:r>
              <w:rPr>
                <w:rFonts w:hint="eastAsia"/>
                <w:sz w:val="24"/>
                <w:szCs w:val="20"/>
              </w:rPr>
              <w:t>废矿物油与含矿物油废物类中的</w:t>
            </w:r>
            <w:r>
              <w:rPr>
                <w:sz w:val="24"/>
                <w:szCs w:val="20"/>
              </w:rPr>
              <w:t>900-220-08</w:t>
            </w:r>
            <w:r>
              <w:rPr>
                <w:rFonts w:hint="eastAsia"/>
                <w:sz w:val="24"/>
                <w:szCs w:val="20"/>
              </w:rPr>
              <w:t>号危险废物，交由有相应资质的单位处置，满足《输变电建设项目环境保护技术要求》（</w:t>
            </w:r>
            <w:r>
              <w:rPr>
                <w:sz w:val="24"/>
                <w:szCs w:val="20"/>
              </w:rPr>
              <w:t>HJ1113-2020</w:t>
            </w:r>
            <w:r>
              <w:rPr>
                <w:rFonts w:hint="eastAsia"/>
                <w:sz w:val="24"/>
                <w:szCs w:val="20"/>
              </w:rPr>
              <w:t>）</w:t>
            </w:r>
            <w:r>
              <w:rPr>
                <w:sz w:val="24"/>
                <w:szCs w:val="20"/>
              </w:rPr>
              <w:t>8.5</w:t>
            </w:r>
            <w:r>
              <w:rPr>
                <w:rFonts w:hint="eastAsia"/>
                <w:sz w:val="24"/>
                <w:szCs w:val="20"/>
              </w:rPr>
              <w:t>条要求。</w:t>
            </w:r>
          </w:p>
          <w:p w14:paraId="4FE40EB1">
            <w:pPr>
              <w:spacing w:line="360" w:lineRule="auto"/>
              <w:ind w:firstLine="480" w:firstLineChars="200"/>
              <w:rPr>
                <w:sz w:val="24"/>
                <w:szCs w:val="20"/>
              </w:rPr>
            </w:pPr>
            <w:r>
              <w:rPr>
                <w:bCs/>
                <w:sz w:val="24"/>
              </w:rPr>
              <w:t>2</w:t>
            </w:r>
            <w:r>
              <w:rPr>
                <w:rFonts w:hint="eastAsia"/>
                <w:bCs/>
                <w:sz w:val="24"/>
              </w:rPr>
              <w:t>）</w:t>
            </w:r>
            <w:r>
              <w:rPr>
                <w:rFonts w:hint="eastAsia"/>
                <w:sz w:val="24"/>
                <w:szCs w:val="20"/>
              </w:rPr>
              <w:t>磷酸铁锂电池采用标准尺寸集装箱予以保护，防止</w:t>
            </w:r>
            <w:r>
              <w:rPr>
                <w:rFonts w:hint="eastAsia"/>
                <w:sz w:val="24"/>
              </w:rPr>
              <w:t>储能电站电池电解液泄漏</w:t>
            </w:r>
            <w:r>
              <w:rPr>
                <w:rFonts w:hint="eastAsia"/>
                <w:sz w:val="24"/>
                <w:szCs w:val="20"/>
              </w:rPr>
              <w:t>污染环境。集装箱的主要用途是将电池、</w:t>
            </w:r>
            <w:r>
              <w:rPr>
                <w:sz w:val="24"/>
                <w:szCs w:val="20"/>
              </w:rPr>
              <w:t>BMS</w:t>
            </w:r>
            <w:r>
              <w:rPr>
                <w:rFonts w:hint="eastAsia"/>
                <w:sz w:val="24"/>
                <w:szCs w:val="20"/>
              </w:rPr>
              <w:t>、通讯监控、消防、智能辅助系统等设备有机的集成到</w:t>
            </w:r>
            <w:r>
              <w:rPr>
                <w:sz w:val="24"/>
                <w:szCs w:val="20"/>
              </w:rPr>
              <w:t>1</w:t>
            </w:r>
            <w:r>
              <w:rPr>
                <w:rFonts w:hint="eastAsia"/>
                <w:sz w:val="24"/>
                <w:szCs w:val="20"/>
              </w:rPr>
              <w:t>个标准的单元中，该标准单元拥有自己独立的供电系统、温度控制系统、隔热系统、阻燃系统、火灾报警及可燃气体探测系统、视频监控系统、安全逃生系统、应急系统、消防系统和防爆泄压系统等自动控制和安全保障系统，</w:t>
            </w:r>
            <w:r>
              <w:rPr>
                <w:rFonts w:hint="eastAsia"/>
                <w:sz w:val="24"/>
              </w:rPr>
              <w:t>配备二氧化碳灭火器。</w:t>
            </w:r>
            <w:r>
              <w:rPr>
                <w:rFonts w:hint="eastAsia"/>
                <w:sz w:val="24"/>
                <w:szCs w:val="20"/>
              </w:rPr>
              <w:t>为方便收集事故状态下渗流电解液，项目以电池簇为单位配置事故池，单个容量</w:t>
            </w:r>
            <w:r>
              <w:rPr>
                <w:sz w:val="24"/>
                <w:szCs w:val="20"/>
              </w:rPr>
              <w:t>1m</w:t>
            </w:r>
            <w:r>
              <w:rPr>
                <w:sz w:val="24"/>
                <w:szCs w:val="20"/>
                <w:vertAlign w:val="superscript"/>
              </w:rPr>
              <w:t>3</w:t>
            </w:r>
            <w:r>
              <w:rPr>
                <w:rFonts w:hint="eastAsia"/>
                <w:sz w:val="24"/>
                <w:szCs w:val="20"/>
              </w:rPr>
              <w:t>，共设置</w:t>
            </w:r>
            <w:r>
              <w:rPr>
                <w:sz w:val="24"/>
                <w:szCs w:val="20"/>
              </w:rPr>
              <w:t>9</w:t>
            </w:r>
            <w:r>
              <w:rPr>
                <w:rFonts w:hint="eastAsia"/>
                <w:sz w:val="24"/>
                <w:szCs w:val="20"/>
              </w:rPr>
              <w:t>个。废磷酸铁锂电池不属于危险废物范畴，因此，事故电解液参照一般工业固体废物的相关环境管理与污染防治要求，收集后由有资质的单位回收利用。</w:t>
            </w:r>
          </w:p>
          <w:p w14:paraId="23FB1D46">
            <w:pPr>
              <w:spacing w:line="360" w:lineRule="auto"/>
              <w:ind w:firstLine="480" w:firstLineChars="200"/>
              <w:rPr>
                <w:sz w:val="24"/>
                <w:szCs w:val="20"/>
              </w:rPr>
            </w:pPr>
            <w:r>
              <w:rPr>
                <w:rFonts w:hint="eastAsia" w:ascii="宋体" w:hAnsi="宋体"/>
                <w:sz w:val="24"/>
                <w:szCs w:val="20"/>
              </w:rPr>
              <w:t>③</w:t>
            </w:r>
            <w:r>
              <w:rPr>
                <w:rFonts w:hint="eastAsia"/>
                <w:sz w:val="24"/>
                <w:szCs w:val="20"/>
              </w:rPr>
              <w:t>危废暂存间重点防渗处理，混凝土硬化</w:t>
            </w:r>
            <w:r>
              <w:rPr>
                <w:sz w:val="24"/>
                <w:szCs w:val="20"/>
              </w:rPr>
              <w:t>+2mm</w:t>
            </w:r>
            <w:r>
              <w:rPr>
                <w:rFonts w:hint="eastAsia"/>
                <w:sz w:val="24"/>
                <w:szCs w:val="20"/>
              </w:rPr>
              <w:t>环氧树脂，具有有效防渗能力；设置禁止明火标志，并配置灭火器和火灾报警器。</w:t>
            </w:r>
          </w:p>
          <w:p w14:paraId="5C4E5952">
            <w:pPr>
              <w:spacing w:line="360" w:lineRule="auto"/>
              <w:ind w:firstLine="482" w:firstLineChars="200"/>
              <w:rPr>
                <w:b/>
                <w:bCs/>
                <w:sz w:val="24"/>
              </w:rPr>
            </w:pPr>
            <w:r>
              <w:rPr>
                <w:rFonts w:hint="eastAsia"/>
                <w:b/>
                <w:bCs/>
                <w:sz w:val="24"/>
              </w:rPr>
              <w:t>（</w:t>
            </w:r>
            <w:r>
              <w:rPr>
                <w:b/>
                <w:bCs/>
                <w:sz w:val="24"/>
              </w:rPr>
              <w:t>7</w:t>
            </w:r>
            <w:r>
              <w:rPr>
                <w:rFonts w:hint="eastAsia"/>
                <w:b/>
                <w:bCs/>
                <w:sz w:val="24"/>
              </w:rPr>
              <w:t>）分析结论</w:t>
            </w:r>
          </w:p>
          <w:p w14:paraId="63E8C52C">
            <w:pPr>
              <w:pStyle w:val="143"/>
            </w:pPr>
            <w:r>
              <w:rPr>
                <w:rFonts w:hint="eastAsia" w:ascii="宋体" w:hAnsi="宋体"/>
              </w:rPr>
              <w:t>表</w:t>
            </w:r>
            <w:r>
              <w:t>4-14</w:t>
            </w:r>
            <w:r>
              <w:rPr>
                <w:rFonts w:hint="eastAsia" w:ascii="宋体" w:hAnsi="宋体"/>
              </w:rPr>
              <w:t>建设项目环境风险简单分析内容表</w:t>
            </w:r>
          </w:p>
          <w:tbl>
            <w:tblPr>
              <w:tblStyle w:val="31"/>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78"/>
              <w:gridCol w:w="1991"/>
              <w:gridCol w:w="2275"/>
              <w:gridCol w:w="1264"/>
              <w:gridCol w:w="1801"/>
            </w:tblGrid>
            <w:tr w14:paraId="36D6899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2" w:type="pct"/>
                  <w:tcBorders>
                    <w:top w:val="single" w:color="auto" w:sz="4" w:space="0"/>
                    <w:left w:val="nil"/>
                    <w:bottom w:val="single" w:color="auto" w:sz="4" w:space="0"/>
                    <w:right w:val="single" w:color="auto" w:sz="4" w:space="0"/>
                  </w:tcBorders>
                  <w:vAlign w:val="center"/>
                </w:tcPr>
                <w:p w14:paraId="7F34F93E">
                  <w:pPr>
                    <w:pStyle w:val="149"/>
                  </w:pPr>
                  <w:r>
                    <w:rPr>
                      <w:rFonts w:hint="eastAsia"/>
                    </w:rPr>
                    <w:t>建设项目名称</w:t>
                  </w:r>
                </w:p>
              </w:tc>
              <w:tc>
                <w:tcPr>
                  <w:tcW w:w="4308" w:type="pct"/>
                  <w:gridSpan w:val="4"/>
                  <w:tcBorders>
                    <w:top w:val="single" w:color="auto" w:sz="4" w:space="0"/>
                    <w:left w:val="single" w:color="auto" w:sz="4" w:space="0"/>
                    <w:bottom w:val="single" w:color="auto" w:sz="4" w:space="0"/>
                    <w:right w:val="nil"/>
                  </w:tcBorders>
                  <w:vAlign w:val="center"/>
                </w:tcPr>
                <w:p w14:paraId="3265355D">
                  <w:pPr>
                    <w:pStyle w:val="149"/>
                  </w:pPr>
                  <w:r>
                    <w:rPr>
                      <w:rFonts w:hint="eastAsia"/>
                    </w:rPr>
                    <w:t>惠州欣城新能源有限公司200MW/400MWh独立储能电站新建项目</w:t>
                  </w:r>
                </w:p>
              </w:tc>
            </w:tr>
            <w:tr w14:paraId="504F93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2" w:type="pct"/>
                  <w:tcBorders>
                    <w:top w:val="single" w:color="auto" w:sz="4" w:space="0"/>
                    <w:left w:val="nil"/>
                    <w:bottom w:val="single" w:color="auto" w:sz="4" w:space="0"/>
                    <w:right w:val="single" w:color="auto" w:sz="4" w:space="0"/>
                  </w:tcBorders>
                  <w:vAlign w:val="center"/>
                </w:tcPr>
                <w:p w14:paraId="6C22A5EB">
                  <w:pPr>
                    <w:pStyle w:val="149"/>
                  </w:pPr>
                  <w:r>
                    <w:rPr>
                      <w:rFonts w:hint="eastAsia"/>
                    </w:rPr>
                    <w:t>建设地点</w:t>
                  </w:r>
                </w:p>
              </w:tc>
              <w:tc>
                <w:tcPr>
                  <w:tcW w:w="4308" w:type="pct"/>
                  <w:gridSpan w:val="4"/>
                  <w:tcBorders>
                    <w:top w:val="single" w:color="auto" w:sz="4" w:space="0"/>
                    <w:left w:val="single" w:color="auto" w:sz="4" w:space="0"/>
                    <w:bottom w:val="single" w:color="auto" w:sz="4" w:space="0"/>
                    <w:right w:val="nil"/>
                  </w:tcBorders>
                  <w:vAlign w:val="center"/>
                </w:tcPr>
                <w:p w14:paraId="2063788C">
                  <w:pPr>
                    <w:pStyle w:val="149"/>
                  </w:pPr>
                  <w:r>
                    <w:rPr>
                      <w:rFonts w:hint="eastAsia"/>
                    </w:rPr>
                    <w:t>广东省惠州市博罗县石湾镇智能装备产业园区内</w:t>
                  </w:r>
                </w:p>
              </w:tc>
            </w:tr>
            <w:tr w14:paraId="056FD2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2" w:type="pct"/>
                  <w:tcBorders>
                    <w:top w:val="single" w:color="auto" w:sz="4" w:space="0"/>
                    <w:left w:val="nil"/>
                    <w:bottom w:val="single" w:color="auto" w:sz="4" w:space="0"/>
                    <w:right w:val="single" w:color="auto" w:sz="4" w:space="0"/>
                  </w:tcBorders>
                  <w:vAlign w:val="center"/>
                </w:tcPr>
                <w:p w14:paraId="4F40D32C">
                  <w:pPr>
                    <w:pStyle w:val="149"/>
                  </w:pPr>
                  <w:r>
                    <w:rPr>
                      <w:rFonts w:hint="eastAsia"/>
                    </w:rPr>
                    <w:t>地理坐标</w:t>
                  </w:r>
                </w:p>
              </w:tc>
              <w:tc>
                <w:tcPr>
                  <w:tcW w:w="1170" w:type="pct"/>
                  <w:tcBorders>
                    <w:top w:val="single" w:color="auto" w:sz="4" w:space="0"/>
                    <w:left w:val="single" w:color="auto" w:sz="4" w:space="0"/>
                    <w:bottom w:val="single" w:color="auto" w:sz="4" w:space="0"/>
                    <w:right w:val="single" w:color="auto" w:sz="4" w:space="0"/>
                  </w:tcBorders>
                  <w:vAlign w:val="center"/>
                </w:tcPr>
                <w:p w14:paraId="00919E7B">
                  <w:pPr>
                    <w:pStyle w:val="149"/>
                  </w:pPr>
                  <w:r>
                    <w:rPr>
                      <w:rFonts w:hint="eastAsia"/>
                    </w:rPr>
                    <w:t>经度</w:t>
                  </w:r>
                </w:p>
              </w:tc>
              <w:tc>
                <w:tcPr>
                  <w:tcW w:w="1337" w:type="pct"/>
                  <w:tcBorders>
                    <w:top w:val="single" w:color="auto" w:sz="4" w:space="0"/>
                    <w:left w:val="single" w:color="auto" w:sz="4" w:space="0"/>
                    <w:bottom w:val="single" w:color="auto" w:sz="4" w:space="0"/>
                    <w:right w:val="single" w:color="auto" w:sz="4" w:space="0"/>
                  </w:tcBorders>
                  <w:vAlign w:val="center"/>
                </w:tcPr>
                <w:p w14:paraId="2ADC66E3">
                  <w:pPr>
                    <w:pStyle w:val="149"/>
                  </w:pPr>
                  <w:r>
                    <w:rPr>
                      <w:rFonts w:hint="eastAsia"/>
                    </w:rPr>
                    <w:t>113°56′58.666″</w:t>
                  </w:r>
                </w:p>
              </w:tc>
              <w:tc>
                <w:tcPr>
                  <w:tcW w:w="743" w:type="pct"/>
                  <w:tcBorders>
                    <w:top w:val="single" w:color="auto" w:sz="4" w:space="0"/>
                    <w:left w:val="single" w:color="auto" w:sz="4" w:space="0"/>
                    <w:bottom w:val="single" w:color="auto" w:sz="4" w:space="0"/>
                    <w:right w:val="single" w:color="auto" w:sz="4" w:space="0"/>
                  </w:tcBorders>
                  <w:vAlign w:val="center"/>
                </w:tcPr>
                <w:p w14:paraId="56E4C038">
                  <w:pPr>
                    <w:pStyle w:val="149"/>
                  </w:pPr>
                  <w:r>
                    <w:rPr>
                      <w:rFonts w:hint="eastAsia"/>
                    </w:rPr>
                    <w:t>纬度</w:t>
                  </w:r>
                </w:p>
              </w:tc>
              <w:tc>
                <w:tcPr>
                  <w:tcW w:w="1058" w:type="pct"/>
                  <w:tcBorders>
                    <w:top w:val="single" w:color="auto" w:sz="4" w:space="0"/>
                    <w:left w:val="single" w:color="auto" w:sz="4" w:space="0"/>
                    <w:bottom w:val="single" w:color="auto" w:sz="4" w:space="0"/>
                    <w:right w:val="nil"/>
                  </w:tcBorders>
                  <w:vAlign w:val="center"/>
                </w:tcPr>
                <w:p w14:paraId="2718EC85">
                  <w:pPr>
                    <w:pStyle w:val="149"/>
                  </w:pPr>
                  <w:r>
                    <w:t>23°9′53.643″</w:t>
                  </w:r>
                </w:p>
              </w:tc>
            </w:tr>
            <w:tr w14:paraId="2299CF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2" w:type="pct"/>
                  <w:tcBorders>
                    <w:top w:val="single" w:color="auto" w:sz="4" w:space="0"/>
                    <w:left w:val="nil"/>
                    <w:bottom w:val="single" w:color="auto" w:sz="4" w:space="0"/>
                    <w:right w:val="single" w:color="auto" w:sz="4" w:space="0"/>
                  </w:tcBorders>
                  <w:vAlign w:val="center"/>
                </w:tcPr>
                <w:p w14:paraId="33A1ED1C">
                  <w:pPr>
                    <w:pStyle w:val="149"/>
                  </w:pPr>
                  <w:r>
                    <w:rPr>
                      <w:rFonts w:hint="eastAsia"/>
                    </w:rPr>
                    <w:t>主要危险物质及分布</w:t>
                  </w:r>
                </w:p>
              </w:tc>
              <w:tc>
                <w:tcPr>
                  <w:tcW w:w="4308" w:type="pct"/>
                  <w:gridSpan w:val="4"/>
                  <w:tcBorders>
                    <w:top w:val="single" w:color="auto" w:sz="4" w:space="0"/>
                    <w:left w:val="single" w:color="auto" w:sz="4" w:space="0"/>
                    <w:bottom w:val="single" w:color="auto" w:sz="4" w:space="0"/>
                    <w:right w:val="nil"/>
                  </w:tcBorders>
                  <w:vAlign w:val="center"/>
                </w:tcPr>
                <w:p w14:paraId="686E7FBB">
                  <w:pPr>
                    <w:pStyle w:val="149"/>
                  </w:pPr>
                  <w:r>
                    <w:rPr>
                      <w:rFonts w:hint="eastAsia"/>
                    </w:rPr>
                    <w:t>主变压器中的变压器油、磷酸铁锂电池电解液泄露</w:t>
                  </w:r>
                </w:p>
              </w:tc>
            </w:tr>
            <w:tr w14:paraId="282700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2" w:type="pct"/>
                  <w:tcBorders>
                    <w:top w:val="single" w:color="auto" w:sz="4" w:space="0"/>
                    <w:left w:val="nil"/>
                    <w:bottom w:val="single" w:color="auto" w:sz="4" w:space="0"/>
                    <w:right w:val="single" w:color="auto" w:sz="4" w:space="0"/>
                  </w:tcBorders>
                  <w:vAlign w:val="center"/>
                </w:tcPr>
                <w:p w14:paraId="34498569">
                  <w:pPr>
                    <w:pStyle w:val="149"/>
                  </w:pPr>
                  <w:r>
                    <w:rPr>
                      <w:rFonts w:hint="eastAsia"/>
                    </w:rPr>
                    <w:t>环境影响途径及危害后果</w:t>
                  </w:r>
                </w:p>
              </w:tc>
              <w:tc>
                <w:tcPr>
                  <w:tcW w:w="4308" w:type="pct"/>
                  <w:gridSpan w:val="4"/>
                  <w:tcBorders>
                    <w:top w:val="single" w:color="auto" w:sz="4" w:space="0"/>
                    <w:left w:val="single" w:color="auto" w:sz="4" w:space="0"/>
                    <w:bottom w:val="single" w:color="auto" w:sz="4" w:space="0"/>
                    <w:right w:val="nil"/>
                  </w:tcBorders>
                  <w:vAlign w:val="center"/>
                </w:tcPr>
                <w:p w14:paraId="3DCC29F9">
                  <w:pPr>
                    <w:pStyle w:val="149"/>
                  </w:pPr>
                  <w:r>
                    <w:rPr>
                      <w:rFonts w:hint="eastAsia"/>
                    </w:rPr>
                    <w:t>变压器油或废铅酸电电解液泄露，可能随雨水管网到外环境影响水体及土壤环境。</w:t>
                  </w:r>
                </w:p>
              </w:tc>
            </w:tr>
            <w:tr w14:paraId="2DB7C4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2" w:type="pct"/>
                  <w:tcBorders>
                    <w:top w:val="single" w:color="auto" w:sz="4" w:space="0"/>
                    <w:left w:val="nil"/>
                    <w:bottom w:val="single" w:color="auto" w:sz="4" w:space="0"/>
                    <w:right w:val="single" w:color="auto" w:sz="4" w:space="0"/>
                  </w:tcBorders>
                  <w:vAlign w:val="center"/>
                </w:tcPr>
                <w:p w14:paraId="33723370">
                  <w:pPr>
                    <w:pStyle w:val="149"/>
                  </w:pPr>
                  <w:r>
                    <w:rPr>
                      <w:rFonts w:hint="eastAsia"/>
                    </w:rPr>
                    <w:t>风险防范措施要求</w:t>
                  </w:r>
                </w:p>
              </w:tc>
              <w:tc>
                <w:tcPr>
                  <w:tcW w:w="4308" w:type="pct"/>
                  <w:gridSpan w:val="4"/>
                  <w:tcBorders>
                    <w:top w:val="single" w:color="auto" w:sz="4" w:space="0"/>
                    <w:left w:val="single" w:color="auto" w:sz="4" w:space="0"/>
                    <w:bottom w:val="single" w:color="auto" w:sz="4" w:space="0"/>
                    <w:right w:val="nil"/>
                  </w:tcBorders>
                  <w:vAlign w:val="center"/>
                </w:tcPr>
                <w:p w14:paraId="60E4CB4D">
                  <w:pPr>
                    <w:pStyle w:val="149"/>
                    <w:jc w:val="both"/>
                  </w:pPr>
                  <w:r>
                    <w:rPr>
                      <w:rFonts w:hint="eastAsia"/>
                    </w:rPr>
                    <w:t>变压器下方设有储油坑，当出现事故时，变压器油先进入主变正下方集油坑，然后通过排油管引入事故油池。站内事故油池、排油管等设置均为地下布设，上面有混凝土盖板，站区内设有雨污分流系统。事故油池与项目内雨水收集系统相互独立运行，不会出现变压器油污染环境事故发生；</w:t>
                  </w:r>
                </w:p>
                <w:p w14:paraId="3018849A">
                  <w:pPr>
                    <w:pStyle w:val="149"/>
                    <w:jc w:val="both"/>
                  </w:pPr>
                  <w:r>
                    <w:rPr>
                      <w:rFonts w:hint="eastAsia"/>
                    </w:rPr>
                    <w:t>磷酸铁锂电池采用标准尺寸集装箱予以保护，防止储能电站电池电解液泄漏污染环境。集装箱的主要用途是将电池、</w:t>
                  </w:r>
                  <w:r>
                    <w:t>BMS</w:t>
                  </w:r>
                  <w:r>
                    <w:rPr>
                      <w:rFonts w:hint="eastAsia"/>
                    </w:rPr>
                    <w:t>、通讯监控、消防、智能辅助系统等设备有机的集成到</w:t>
                  </w:r>
                  <w:r>
                    <w:t>1</w:t>
                  </w:r>
                  <w:r>
                    <w:rPr>
                      <w:rFonts w:hint="eastAsia"/>
                    </w:rPr>
                    <w:t>个标准的单元中，该标准单元拥有自己独立的供电系统、温度控制系统、隔热系统、阻燃系统、火灾报警及可燃气体探测系统、视频监控系统、安全逃生系统、应急系统、消防系统和防爆泄压系统等自动控制和安全保障系统，配备二氧化碳灭火器。</w:t>
                  </w:r>
                </w:p>
              </w:tc>
            </w:tr>
          </w:tbl>
          <w:p w14:paraId="752E30F8">
            <w:pPr>
              <w:pStyle w:val="2"/>
              <w:rPr>
                <w:color w:val="auto"/>
              </w:rPr>
            </w:pPr>
          </w:p>
        </w:tc>
      </w:tr>
      <w:tr w14:paraId="5B3B55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46" w:hRule="atLeast"/>
          <w:jc w:val="center"/>
        </w:trPr>
        <w:tc>
          <w:tcPr>
            <w:tcW w:w="137" w:type="pct"/>
            <w:tcMar>
              <w:left w:w="28" w:type="dxa"/>
              <w:right w:w="28" w:type="dxa"/>
            </w:tcMar>
            <w:vAlign w:val="center"/>
          </w:tcPr>
          <w:p w14:paraId="4476E297">
            <w:pPr>
              <w:pStyle w:val="29"/>
              <w:ind w:firstLine="0" w:firstLineChars="0"/>
            </w:pPr>
            <w:r>
              <w:rPr>
                <w:rFonts w:hint="eastAsia"/>
              </w:rPr>
              <w:t>选址选线环境合理性分析</w:t>
            </w:r>
          </w:p>
        </w:tc>
        <w:tc>
          <w:tcPr>
            <w:tcW w:w="4863" w:type="pct"/>
          </w:tcPr>
          <w:p w14:paraId="6586DBAC">
            <w:pPr>
              <w:spacing w:before="120" w:beforeLines="50" w:line="360" w:lineRule="auto"/>
              <w:ind w:firstLine="482" w:firstLineChars="200"/>
              <w:rPr>
                <w:b/>
                <w:bCs/>
                <w:sz w:val="24"/>
              </w:rPr>
            </w:pPr>
            <w:r>
              <w:rPr>
                <w:b/>
                <w:bCs/>
                <w:sz w:val="24"/>
              </w:rPr>
              <w:t>1</w:t>
            </w:r>
            <w:r>
              <w:rPr>
                <w:rFonts w:hint="eastAsia"/>
                <w:b/>
                <w:bCs/>
                <w:sz w:val="24"/>
              </w:rPr>
              <w:t>、与《输变电建设项目环境保护技术要求》符合性分析</w:t>
            </w:r>
          </w:p>
          <w:p w14:paraId="52D7A313">
            <w:pPr>
              <w:spacing w:line="360" w:lineRule="auto"/>
              <w:ind w:firstLine="465"/>
              <w:rPr>
                <w:rFonts w:eastAsia="黑体"/>
                <w:szCs w:val="21"/>
              </w:rPr>
            </w:pPr>
            <w:r>
              <w:rPr>
                <w:rFonts w:hint="eastAsia"/>
                <w:sz w:val="24"/>
              </w:rPr>
              <w:t>根据《输变电建设项目环境保护技术要求》（</w:t>
            </w:r>
            <w:r>
              <w:rPr>
                <w:sz w:val="24"/>
              </w:rPr>
              <w:t>HJ1113-2020</w:t>
            </w:r>
            <w:r>
              <w:rPr>
                <w:rFonts w:hint="eastAsia"/>
                <w:sz w:val="24"/>
              </w:rPr>
              <w:t>），项目选址选线建设应符合以下要求：</w:t>
            </w:r>
          </w:p>
          <w:p w14:paraId="6B449D37">
            <w:pPr>
              <w:pStyle w:val="132"/>
              <w:rPr>
                <w:b/>
              </w:rPr>
            </w:pPr>
            <w:r>
              <w:rPr>
                <w:rFonts w:hint="eastAsia"/>
                <w:b/>
              </w:rPr>
              <w:t>表</w:t>
            </w:r>
            <w:r>
              <w:rPr>
                <w:b/>
              </w:rPr>
              <w:t>4-15</w:t>
            </w:r>
            <w:r>
              <w:rPr>
                <w:rFonts w:hint="eastAsia"/>
                <w:b/>
              </w:rPr>
              <w:t>与《输变电建设项目环境保护技术要求》符合性对照表</w:t>
            </w:r>
          </w:p>
          <w:tbl>
            <w:tblPr>
              <w:tblStyle w:val="150"/>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75"/>
              <w:gridCol w:w="2561"/>
              <w:gridCol w:w="1070"/>
            </w:tblGrid>
            <w:tr w14:paraId="0E4178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65" w:type="pct"/>
                  <w:vAlign w:val="center"/>
                </w:tcPr>
                <w:p w14:paraId="37C7B518">
                  <w:pPr>
                    <w:pStyle w:val="149"/>
                    <w:rPr>
                      <w:rFonts w:hint="default" w:ascii="Times New Roman" w:hAnsi="Times New Roman" w:eastAsia="宋体" w:cs="Times New Roman"/>
                      <w:b/>
                      <w:i w:val="0"/>
                    </w:rPr>
                  </w:pPr>
                  <w:bookmarkStart w:id="65" w:name="OLE_LINK60"/>
                  <w:r>
                    <w:rPr>
                      <w:rFonts w:hint="eastAsia" w:ascii="Times New Roman" w:hAnsi="Times New Roman" w:eastAsia="宋体" w:cs="Times New Roman"/>
                      <w:b/>
                      <w:i w:val="0"/>
                    </w:rPr>
                    <w:t>《输变电建设项目环境保护技术要求》</w:t>
                  </w:r>
                </w:p>
              </w:tc>
              <w:tc>
                <w:tcPr>
                  <w:tcW w:w="1505" w:type="pct"/>
                  <w:vAlign w:val="center"/>
                </w:tcPr>
                <w:p w14:paraId="7A82B685">
                  <w:pPr>
                    <w:pStyle w:val="149"/>
                    <w:rPr>
                      <w:rFonts w:hint="default" w:ascii="Times New Roman" w:hAnsi="Times New Roman" w:eastAsia="宋体" w:cs="Times New Roman"/>
                      <w:b/>
                      <w:i w:val="0"/>
                    </w:rPr>
                  </w:pPr>
                  <w:r>
                    <w:rPr>
                      <w:rFonts w:hint="eastAsia" w:ascii="Times New Roman" w:hAnsi="Times New Roman" w:eastAsia="宋体" w:cs="Times New Roman"/>
                      <w:b/>
                      <w:i w:val="0"/>
                    </w:rPr>
                    <w:t>项目实际建设情况</w:t>
                  </w:r>
                </w:p>
              </w:tc>
              <w:tc>
                <w:tcPr>
                  <w:tcW w:w="629" w:type="pct"/>
                  <w:vAlign w:val="center"/>
                </w:tcPr>
                <w:p w14:paraId="2D758833">
                  <w:pPr>
                    <w:pStyle w:val="149"/>
                    <w:rPr>
                      <w:rFonts w:hint="default" w:ascii="Times New Roman" w:hAnsi="Times New Roman" w:eastAsia="宋体" w:cs="Times New Roman"/>
                      <w:b/>
                      <w:i w:val="0"/>
                    </w:rPr>
                  </w:pPr>
                  <w:r>
                    <w:rPr>
                      <w:rFonts w:hint="eastAsia" w:ascii="Times New Roman" w:hAnsi="Times New Roman" w:eastAsia="宋体" w:cs="Times New Roman"/>
                      <w:b/>
                      <w:i w:val="0"/>
                    </w:rPr>
                    <w:t>符合性</w:t>
                  </w:r>
                </w:p>
              </w:tc>
            </w:tr>
            <w:tr w14:paraId="60E2F9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65" w:type="pct"/>
                  <w:vAlign w:val="center"/>
                </w:tcPr>
                <w:p w14:paraId="5EB6FE4E">
                  <w:pPr>
                    <w:pStyle w:val="149"/>
                    <w:rPr>
                      <w:rFonts w:eastAsia="Times New Roman"/>
                    </w:rPr>
                  </w:pPr>
                  <w:r>
                    <w:rPr>
                      <w:rFonts w:eastAsia="Times New Roman"/>
                    </w:rPr>
                    <w:t>5.1</w:t>
                  </w:r>
                  <w:r>
                    <w:rPr>
                      <w:rFonts w:hint="eastAsia" w:eastAsia="宋体"/>
                    </w:rPr>
                    <w:t>工程选址选线应符合规划环境影响评价文件的要求。</w:t>
                  </w:r>
                </w:p>
              </w:tc>
              <w:tc>
                <w:tcPr>
                  <w:tcW w:w="1505" w:type="pct"/>
                  <w:vAlign w:val="center"/>
                </w:tcPr>
                <w:p w14:paraId="06331A32">
                  <w:pPr>
                    <w:pStyle w:val="149"/>
                    <w:jc w:val="both"/>
                    <w:rPr>
                      <w:rFonts w:eastAsia="Times New Roman"/>
                    </w:rPr>
                  </w:pPr>
                  <w:r>
                    <w:rPr>
                      <w:rFonts w:hint="eastAsia" w:eastAsia="宋体"/>
                    </w:rPr>
                    <w:t>项目储能电站选址不涉及生态保护红线、自然保护区等环境敏感区。</w:t>
                  </w:r>
                </w:p>
              </w:tc>
              <w:tc>
                <w:tcPr>
                  <w:tcW w:w="629" w:type="pct"/>
                  <w:vAlign w:val="center"/>
                </w:tcPr>
                <w:p w14:paraId="6F77B082">
                  <w:pPr>
                    <w:pStyle w:val="149"/>
                    <w:rPr>
                      <w:rFonts w:eastAsia="Times New Roman"/>
                      <w:kern w:val="0"/>
                      <w:lang w:bidi="ar"/>
                    </w:rPr>
                  </w:pPr>
                  <w:r>
                    <w:rPr>
                      <w:rFonts w:hint="eastAsia" w:eastAsia="宋体"/>
                      <w:kern w:val="0"/>
                      <w:lang w:bidi="ar"/>
                    </w:rPr>
                    <w:t>符合</w:t>
                  </w:r>
                </w:p>
              </w:tc>
            </w:tr>
            <w:tr w14:paraId="33B25E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65" w:type="pct"/>
                  <w:vAlign w:val="center"/>
                </w:tcPr>
                <w:p w14:paraId="33D7EE0F">
                  <w:pPr>
                    <w:pStyle w:val="149"/>
                    <w:jc w:val="both"/>
                    <w:rPr>
                      <w:rFonts w:eastAsia="Times New Roman"/>
                    </w:rPr>
                  </w:pPr>
                  <w:r>
                    <w:rPr>
                      <w:rFonts w:eastAsia="Times New Roman"/>
                    </w:rPr>
                    <w:t>5.2</w:t>
                  </w:r>
                  <w:r>
                    <w:rPr>
                      <w:rFonts w:hint="eastAsia" w:eastAsia="宋体"/>
                    </w:rPr>
                    <w:t>输变电建设项目选址选线应符合生态保护红线管控要求，避让自然保护区、饮用水水源保护区等环境敏感区。确实因自然条件等因素限制无法避让自然保护区实验区、饮用水水源二级保护区等环境敏感区的输电线路，应在满足相关法律法规及管理要求的前提下对</w:t>
                  </w:r>
                  <w:r>
                    <w:rPr>
                      <w:rFonts w:hint="eastAsia" w:eastAsia="宋体"/>
                      <w:kern w:val="0"/>
                      <w:lang w:bidi="ar"/>
                    </w:rPr>
                    <w:t>线路方案进行唯一性论证，并采取无害化方式通过。</w:t>
                  </w:r>
                </w:p>
              </w:tc>
              <w:tc>
                <w:tcPr>
                  <w:tcW w:w="1505" w:type="pct"/>
                  <w:vAlign w:val="center"/>
                </w:tcPr>
                <w:p w14:paraId="684CD3D1">
                  <w:pPr>
                    <w:pStyle w:val="149"/>
                    <w:jc w:val="both"/>
                    <w:rPr>
                      <w:rFonts w:eastAsia="Times New Roman"/>
                    </w:rPr>
                  </w:pPr>
                  <w:r>
                    <w:rPr>
                      <w:rFonts w:hint="eastAsia" w:eastAsia="宋体"/>
                    </w:rPr>
                    <w:t>项目储能电站周边</w:t>
                  </w:r>
                  <w:r>
                    <w:rPr>
                      <w:rFonts w:eastAsia="Times New Roman"/>
                    </w:rPr>
                    <w:t>500</w:t>
                  </w:r>
                  <w:r>
                    <w:rPr>
                      <w:rFonts w:hint="eastAsia" w:eastAsia="宋体"/>
                    </w:rPr>
                    <w:t>米范围内均无自然保护区、饮用水源保护区等环境敏感区，进出线走廊规划不会进入上述环境敏感区。</w:t>
                  </w:r>
                </w:p>
              </w:tc>
              <w:tc>
                <w:tcPr>
                  <w:tcW w:w="629" w:type="pct"/>
                  <w:vAlign w:val="center"/>
                </w:tcPr>
                <w:p w14:paraId="13150F7D">
                  <w:pPr>
                    <w:pStyle w:val="149"/>
                    <w:rPr>
                      <w:rFonts w:eastAsia="Times New Roman"/>
                    </w:rPr>
                  </w:pPr>
                  <w:r>
                    <w:rPr>
                      <w:rFonts w:hint="eastAsia" w:eastAsia="宋体"/>
                      <w:kern w:val="0"/>
                      <w:lang w:bidi="ar"/>
                    </w:rPr>
                    <w:t>符合</w:t>
                  </w:r>
                </w:p>
              </w:tc>
            </w:tr>
            <w:tr w14:paraId="3708D1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65" w:type="pct"/>
                  <w:vAlign w:val="center"/>
                </w:tcPr>
                <w:p w14:paraId="2903CFFB">
                  <w:pPr>
                    <w:pStyle w:val="149"/>
                    <w:jc w:val="both"/>
                    <w:rPr>
                      <w:rFonts w:eastAsia="Times New Roman"/>
                    </w:rPr>
                  </w:pPr>
                  <w:r>
                    <w:rPr>
                      <w:rFonts w:eastAsia="TimesNewRomanPSMT"/>
                      <w:kern w:val="0"/>
                      <w:lang w:bidi="ar"/>
                    </w:rPr>
                    <w:t>5.3</w:t>
                  </w:r>
                  <w:r>
                    <w:rPr>
                      <w:rFonts w:hint="eastAsia" w:eastAsia="宋体"/>
                      <w:kern w:val="0"/>
                      <w:lang w:bidi="ar"/>
                    </w:rPr>
                    <w:t>变电工程在选址时应按终期规模综合考虑进出线走廊规划，避免进出线进入自然保护区、饮用水水源保护区等环境敏感区。</w:t>
                  </w:r>
                </w:p>
              </w:tc>
              <w:tc>
                <w:tcPr>
                  <w:tcW w:w="1505" w:type="pct"/>
                  <w:vAlign w:val="center"/>
                </w:tcPr>
                <w:p w14:paraId="1A4C4DBE">
                  <w:pPr>
                    <w:pStyle w:val="149"/>
                    <w:jc w:val="both"/>
                    <w:rPr>
                      <w:rFonts w:eastAsia="Times New Roman"/>
                    </w:rPr>
                  </w:pPr>
                  <w:r>
                    <w:rPr>
                      <w:rFonts w:hint="eastAsia" w:eastAsia="宋体"/>
                    </w:rPr>
                    <w:t>项目储能电站不涉及自然保护区、饮用水水源保护区等环境敏感区。</w:t>
                  </w:r>
                </w:p>
              </w:tc>
              <w:tc>
                <w:tcPr>
                  <w:tcW w:w="629" w:type="pct"/>
                  <w:vAlign w:val="center"/>
                </w:tcPr>
                <w:p w14:paraId="5FA9D949">
                  <w:pPr>
                    <w:pStyle w:val="149"/>
                    <w:rPr>
                      <w:rFonts w:eastAsia="Times New Roman"/>
                    </w:rPr>
                  </w:pPr>
                  <w:r>
                    <w:rPr>
                      <w:rFonts w:hint="eastAsia" w:eastAsia="宋体"/>
                      <w:kern w:val="0"/>
                      <w:lang w:bidi="ar"/>
                    </w:rPr>
                    <w:t>符合</w:t>
                  </w:r>
                </w:p>
              </w:tc>
            </w:tr>
            <w:tr w14:paraId="449679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65" w:type="pct"/>
                  <w:vAlign w:val="center"/>
                </w:tcPr>
                <w:p w14:paraId="1C8E952F">
                  <w:pPr>
                    <w:pStyle w:val="149"/>
                    <w:jc w:val="both"/>
                    <w:rPr>
                      <w:rFonts w:eastAsia="Times New Roman"/>
                    </w:rPr>
                  </w:pPr>
                  <w:r>
                    <w:rPr>
                      <w:rFonts w:eastAsia="Times New Roman"/>
                    </w:rPr>
                    <w:t>5.4</w:t>
                  </w:r>
                  <w:r>
                    <w:rPr>
                      <w:rFonts w:hint="eastAsia" w:eastAsia="宋体"/>
                    </w:rPr>
                    <w:t>户外变电工程及规划架空进出线选址选线时，应关注以居住、医疗卫生、文化教育、科研行政办公等为主要功能的区域，采取综合措施，减少电磁和声环境影响。</w:t>
                  </w:r>
                </w:p>
              </w:tc>
              <w:tc>
                <w:tcPr>
                  <w:tcW w:w="1505" w:type="pct"/>
                  <w:vAlign w:val="center"/>
                </w:tcPr>
                <w:p w14:paraId="7C28E9A4">
                  <w:pPr>
                    <w:pStyle w:val="149"/>
                    <w:rPr>
                      <w:rFonts w:eastAsia="Times New Roman"/>
                    </w:rPr>
                  </w:pPr>
                  <w:r>
                    <w:rPr>
                      <w:rFonts w:hint="eastAsia" w:eastAsia="宋体"/>
                    </w:rPr>
                    <w:t>本工程为储能电站，站址布局合理，四周采用实体围墙，能够降低站区对周围电磁场和声环境的影响。</w:t>
                  </w:r>
                </w:p>
              </w:tc>
              <w:tc>
                <w:tcPr>
                  <w:tcW w:w="629" w:type="pct"/>
                  <w:vAlign w:val="center"/>
                </w:tcPr>
                <w:p w14:paraId="5B0F969D">
                  <w:pPr>
                    <w:pStyle w:val="149"/>
                    <w:rPr>
                      <w:rFonts w:eastAsia="Times New Roman"/>
                    </w:rPr>
                  </w:pPr>
                  <w:r>
                    <w:rPr>
                      <w:rFonts w:hint="eastAsia" w:eastAsia="宋体"/>
                      <w:kern w:val="0"/>
                      <w:lang w:bidi="ar"/>
                    </w:rPr>
                    <w:t>符合</w:t>
                  </w:r>
                </w:p>
              </w:tc>
            </w:tr>
            <w:tr w14:paraId="0368D3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65" w:type="pct"/>
                  <w:vAlign w:val="center"/>
                </w:tcPr>
                <w:p w14:paraId="237BA26B">
                  <w:pPr>
                    <w:pStyle w:val="149"/>
                    <w:jc w:val="both"/>
                    <w:rPr>
                      <w:rFonts w:eastAsia="Times New Roman"/>
                    </w:rPr>
                  </w:pPr>
                  <w:r>
                    <w:rPr>
                      <w:rFonts w:eastAsia="Times New Roman"/>
                    </w:rPr>
                    <w:t>5.5</w:t>
                  </w:r>
                  <w:r>
                    <w:rPr>
                      <w:rFonts w:hint="eastAsia" w:eastAsia="宋体"/>
                    </w:rPr>
                    <w:t>同一走廊内的多回输电线路，宜采取同塔多回架设、并行架设等形式，减少新开辟走廊，优化线路走廊间距，降低环境影响。</w:t>
                  </w:r>
                </w:p>
              </w:tc>
              <w:tc>
                <w:tcPr>
                  <w:tcW w:w="1505" w:type="pct"/>
                  <w:vAlign w:val="center"/>
                </w:tcPr>
                <w:p w14:paraId="45E52410">
                  <w:pPr>
                    <w:pStyle w:val="149"/>
                    <w:rPr>
                      <w:rFonts w:eastAsia="Times New Roman"/>
                    </w:rPr>
                  </w:pPr>
                  <w:r>
                    <w:rPr>
                      <w:rFonts w:hint="eastAsia" w:eastAsia="宋体"/>
                    </w:rPr>
                    <w:t>不涉及输电线路。</w:t>
                  </w:r>
                </w:p>
              </w:tc>
              <w:tc>
                <w:tcPr>
                  <w:tcW w:w="629" w:type="pct"/>
                  <w:vAlign w:val="center"/>
                </w:tcPr>
                <w:p w14:paraId="21727A8A">
                  <w:pPr>
                    <w:pStyle w:val="149"/>
                    <w:rPr>
                      <w:rFonts w:eastAsia="Times New Roman"/>
                    </w:rPr>
                  </w:pPr>
                  <w:r>
                    <w:rPr>
                      <w:rFonts w:hint="eastAsia" w:eastAsia="宋体"/>
                      <w:kern w:val="0"/>
                      <w:lang w:bidi="ar"/>
                    </w:rPr>
                    <w:t>符合</w:t>
                  </w:r>
                </w:p>
              </w:tc>
            </w:tr>
            <w:tr w14:paraId="6645F0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65" w:type="pct"/>
                  <w:vAlign w:val="center"/>
                </w:tcPr>
                <w:p w14:paraId="0CDDB0A7">
                  <w:pPr>
                    <w:pStyle w:val="149"/>
                    <w:jc w:val="both"/>
                    <w:rPr>
                      <w:rFonts w:eastAsia="Times New Roman"/>
                    </w:rPr>
                  </w:pPr>
                  <w:r>
                    <w:rPr>
                      <w:rFonts w:eastAsia="Times New Roman"/>
                    </w:rPr>
                    <w:t>5.6</w:t>
                  </w:r>
                  <w:r>
                    <w:rPr>
                      <w:rFonts w:hint="eastAsia" w:eastAsia="宋体"/>
                    </w:rPr>
                    <w:t>原则上避免在</w:t>
                  </w:r>
                  <w:r>
                    <w:rPr>
                      <w:rFonts w:eastAsia="Times New Roman"/>
                    </w:rPr>
                    <w:t>0</w:t>
                  </w:r>
                  <w:r>
                    <w:rPr>
                      <w:rFonts w:hint="eastAsia" w:eastAsia="宋体"/>
                    </w:rPr>
                    <w:t>类声环境功能区建设变电工程。</w:t>
                  </w:r>
                </w:p>
              </w:tc>
              <w:tc>
                <w:tcPr>
                  <w:tcW w:w="1505" w:type="pct"/>
                  <w:vAlign w:val="center"/>
                </w:tcPr>
                <w:p w14:paraId="69F9ECE3">
                  <w:pPr>
                    <w:pStyle w:val="149"/>
                    <w:jc w:val="both"/>
                    <w:rPr>
                      <w:rFonts w:eastAsia="Times New Roman"/>
                    </w:rPr>
                  </w:pPr>
                  <w:r>
                    <w:rPr>
                      <w:rFonts w:hint="eastAsia" w:eastAsia="宋体"/>
                    </w:rPr>
                    <w:t>项目储能电站选址、选线位于</w:t>
                  </w:r>
                  <w:r>
                    <w:rPr>
                      <w:rFonts w:eastAsia="Times New Roman"/>
                    </w:rPr>
                    <w:t>3</w:t>
                  </w:r>
                  <w:r>
                    <w:rPr>
                      <w:rFonts w:hint="eastAsia" w:eastAsia="宋体"/>
                    </w:rPr>
                    <w:t>类声功能区，不涉及</w:t>
                  </w:r>
                  <w:r>
                    <w:rPr>
                      <w:rFonts w:eastAsia="Times New Roman"/>
                    </w:rPr>
                    <w:t>0</w:t>
                  </w:r>
                  <w:r>
                    <w:rPr>
                      <w:rFonts w:hint="eastAsia" w:eastAsia="宋体"/>
                    </w:rPr>
                    <w:t>类声功能区。</w:t>
                  </w:r>
                </w:p>
              </w:tc>
              <w:tc>
                <w:tcPr>
                  <w:tcW w:w="629" w:type="pct"/>
                  <w:vAlign w:val="center"/>
                </w:tcPr>
                <w:p w14:paraId="1E4CC61E">
                  <w:pPr>
                    <w:pStyle w:val="149"/>
                    <w:rPr>
                      <w:rFonts w:eastAsia="Times New Roman"/>
                      <w:kern w:val="0"/>
                      <w:lang w:bidi="ar"/>
                    </w:rPr>
                  </w:pPr>
                  <w:r>
                    <w:rPr>
                      <w:rFonts w:hint="eastAsia" w:eastAsia="宋体"/>
                      <w:kern w:val="0"/>
                      <w:lang w:bidi="ar"/>
                    </w:rPr>
                    <w:t>符合</w:t>
                  </w:r>
                </w:p>
              </w:tc>
            </w:tr>
            <w:tr w14:paraId="610CAC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65" w:type="pct"/>
                  <w:vAlign w:val="center"/>
                </w:tcPr>
                <w:p w14:paraId="312F999C">
                  <w:pPr>
                    <w:pStyle w:val="149"/>
                    <w:jc w:val="both"/>
                    <w:rPr>
                      <w:rFonts w:eastAsia="Times New Roman"/>
                    </w:rPr>
                  </w:pPr>
                  <w:r>
                    <w:rPr>
                      <w:rFonts w:eastAsia="Times New Roman"/>
                    </w:rPr>
                    <w:t>5.7</w:t>
                  </w:r>
                  <w:r>
                    <w:rPr>
                      <w:rFonts w:hint="eastAsia" w:eastAsia="宋体"/>
                    </w:rPr>
                    <w:t>变电工程选址时，应综合考虑减少土地占用、植被砍伐和弃土弃渣等，以减少对生态环境的不利影响。</w:t>
                  </w:r>
                </w:p>
              </w:tc>
              <w:tc>
                <w:tcPr>
                  <w:tcW w:w="1505" w:type="pct"/>
                  <w:vAlign w:val="center"/>
                </w:tcPr>
                <w:p w14:paraId="7CE6E1D7">
                  <w:pPr>
                    <w:pStyle w:val="149"/>
                    <w:jc w:val="both"/>
                    <w:rPr>
                      <w:rFonts w:eastAsia="Times New Roman"/>
                    </w:rPr>
                  </w:pPr>
                  <w:r>
                    <w:rPr>
                      <w:rFonts w:hint="eastAsia" w:eastAsia="宋体"/>
                    </w:rPr>
                    <w:t>项目储能电站用地现状主要为待建设用地，不涉及珍稀保护植物；项目土石方量较小，可在本项目内回填平整，不外弃，不会对周边生态环境造成不利影响。</w:t>
                  </w:r>
                </w:p>
              </w:tc>
              <w:tc>
                <w:tcPr>
                  <w:tcW w:w="629" w:type="pct"/>
                  <w:vAlign w:val="center"/>
                </w:tcPr>
                <w:p w14:paraId="4D692BEE">
                  <w:pPr>
                    <w:pStyle w:val="149"/>
                    <w:rPr>
                      <w:rFonts w:eastAsia="Times New Roman"/>
                      <w:kern w:val="0"/>
                      <w:lang w:bidi="ar"/>
                    </w:rPr>
                  </w:pPr>
                  <w:r>
                    <w:rPr>
                      <w:rFonts w:hint="eastAsia" w:eastAsia="宋体"/>
                      <w:kern w:val="0"/>
                      <w:lang w:bidi="ar"/>
                    </w:rPr>
                    <w:t>符合</w:t>
                  </w:r>
                </w:p>
              </w:tc>
            </w:tr>
            <w:tr w14:paraId="07EC27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65" w:type="pct"/>
                  <w:vAlign w:val="center"/>
                </w:tcPr>
                <w:p w14:paraId="0DEBC62F">
                  <w:pPr>
                    <w:pStyle w:val="149"/>
                    <w:jc w:val="both"/>
                    <w:rPr>
                      <w:rFonts w:eastAsia="Times New Roman"/>
                    </w:rPr>
                  </w:pPr>
                  <w:r>
                    <w:rPr>
                      <w:rFonts w:eastAsia="TimesNewRomanPSMT"/>
                      <w:kern w:val="0"/>
                      <w:lang w:bidi="ar"/>
                    </w:rPr>
                    <w:t>5.8</w:t>
                  </w:r>
                  <w:r>
                    <w:rPr>
                      <w:rFonts w:hint="eastAsia" w:eastAsia="宋体"/>
                      <w:kern w:val="0"/>
                      <w:lang w:bidi="ar"/>
                    </w:rPr>
                    <w:t>输电线路宜避让集中林区，以减少林木砍伐，保护生态环境。</w:t>
                  </w:r>
                </w:p>
              </w:tc>
              <w:tc>
                <w:tcPr>
                  <w:tcW w:w="1505" w:type="pct"/>
                  <w:vAlign w:val="center"/>
                </w:tcPr>
                <w:p w14:paraId="09528A60">
                  <w:pPr>
                    <w:pStyle w:val="149"/>
                    <w:jc w:val="both"/>
                    <w:rPr>
                      <w:rFonts w:eastAsia="Times New Roman"/>
                    </w:rPr>
                  </w:pPr>
                  <w:r>
                    <w:rPr>
                      <w:rFonts w:hint="eastAsia" w:eastAsia="宋体"/>
                    </w:rPr>
                    <w:t>不涉及输电线路。</w:t>
                  </w:r>
                </w:p>
              </w:tc>
              <w:tc>
                <w:tcPr>
                  <w:tcW w:w="629" w:type="pct"/>
                  <w:vAlign w:val="center"/>
                </w:tcPr>
                <w:p w14:paraId="4E68A8DE">
                  <w:pPr>
                    <w:pStyle w:val="149"/>
                    <w:rPr>
                      <w:rFonts w:eastAsia="Times New Roman"/>
                      <w:kern w:val="0"/>
                      <w:lang w:bidi="ar"/>
                    </w:rPr>
                  </w:pPr>
                  <w:r>
                    <w:rPr>
                      <w:rFonts w:hint="eastAsia" w:eastAsia="宋体"/>
                      <w:kern w:val="0"/>
                      <w:lang w:bidi="ar"/>
                    </w:rPr>
                    <w:t>符合</w:t>
                  </w:r>
                </w:p>
              </w:tc>
            </w:tr>
            <w:tr w14:paraId="6D4766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65" w:type="pct"/>
                  <w:vAlign w:val="center"/>
                </w:tcPr>
                <w:p w14:paraId="0E45219D">
                  <w:pPr>
                    <w:pStyle w:val="149"/>
                    <w:jc w:val="both"/>
                    <w:rPr>
                      <w:rFonts w:eastAsia="TimesNewRomanPSMT"/>
                      <w:kern w:val="0"/>
                      <w:lang w:bidi="ar"/>
                    </w:rPr>
                  </w:pPr>
                  <w:r>
                    <w:rPr>
                      <w:rFonts w:eastAsia="TimesNewRomanPSMT"/>
                      <w:kern w:val="0"/>
                      <w:lang w:bidi="ar"/>
                    </w:rPr>
                    <w:t>5.9</w:t>
                  </w:r>
                  <w:r>
                    <w:rPr>
                      <w:rFonts w:hint="eastAsia" w:eastAsia="宋体"/>
                      <w:kern w:val="0"/>
                      <w:lang w:bidi="ar"/>
                    </w:rPr>
                    <w:t>进入自然保护区的输电线路，应按照</w:t>
                  </w:r>
                  <w:r>
                    <w:rPr>
                      <w:rFonts w:eastAsia="Times New Roman"/>
                      <w:kern w:val="0"/>
                      <w:lang w:bidi="ar"/>
                    </w:rPr>
                    <w:t>H</w:t>
                  </w:r>
                  <w:r>
                    <w:rPr>
                      <w:rFonts w:eastAsia="TimesNewRomanPSMT"/>
                      <w:kern w:val="0"/>
                      <w:lang w:bidi="ar"/>
                    </w:rPr>
                    <w:t>J19</w:t>
                  </w:r>
                  <w:r>
                    <w:rPr>
                      <w:rFonts w:hint="eastAsia" w:eastAsia="宋体"/>
                      <w:kern w:val="0"/>
                      <w:lang w:bidi="ar"/>
                    </w:rPr>
                    <w:t>的要求开展生态现状调查，避让保护对象的集中分布区。</w:t>
                  </w:r>
                </w:p>
              </w:tc>
              <w:tc>
                <w:tcPr>
                  <w:tcW w:w="1505" w:type="pct"/>
                  <w:vAlign w:val="center"/>
                </w:tcPr>
                <w:p w14:paraId="5A3C4094">
                  <w:pPr>
                    <w:pStyle w:val="149"/>
                    <w:jc w:val="both"/>
                    <w:rPr>
                      <w:rFonts w:eastAsia="Times New Roman"/>
                    </w:rPr>
                  </w:pPr>
                  <w:r>
                    <w:rPr>
                      <w:rFonts w:hint="eastAsia" w:eastAsia="宋体"/>
                    </w:rPr>
                    <w:t>项目储能电站选址不涉及生态保护红线、自然保护区等环境敏感区。</w:t>
                  </w:r>
                </w:p>
              </w:tc>
              <w:tc>
                <w:tcPr>
                  <w:tcW w:w="629" w:type="pct"/>
                  <w:vAlign w:val="center"/>
                </w:tcPr>
                <w:p w14:paraId="160AC182">
                  <w:pPr>
                    <w:pStyle w:val="149"/>
                    <w:rPr>
                      <w:rFonts w:eastAsia="Times New Roman"/>
                      <w:kern w:val="0"/>
                      <w:lang w:bidi="ar"/>
                    </w:rPr>
                  </w:pPr>
                  <w:r>
                    <w:rPr>
                      <w:rFonts w:hint="eastAsia" w:ascii="宋体" w:hAnsi="宋体" w:eastAsia="宋体" w:cs="宋体"/>
                      <w:kern w:val="0"/>
                      <w:lang w:bidi="ar"/>
                    </w:rPr>
                    <w:t>符合</w:t>
                  </w:r>
                </w:p>
              </w:tc>
            </w:tr>
            <w:bookmarkEnd w:id="65"/>
          </w:tbl>
          <w:p w14:paraId="5679EDF5">
            <w:pPr>
              <w:spacing w:before="120" w:beforeLines="50" w:line="360" w:lineRule="auto"/>
              <w:ind w:firstLine="482" w:firstLineChars="200"/>
              <w:rPr>
                <w:b/>
                <w:bCs/>
                <w:sz w:val="24"/>
              </w:rPr>
            </w:pPr>
            <w:r>
              <w:rPr>
                <w:b/>
                <w:bCs/>
                <w:sz w:val="24"/>
              </w:rPr>
              <w:t>2</w:t>
            </w:r>
            <w:r>
              <w:rPr>
                <w:rFonts w:hint="eastAsia"/>
                <w:b/>
                <w:bCs/>
                <w:sz w:val="24"/>
              </w:rPr>
              <w:t>、项目选址环境合理性分析</w:t>
            </w:r>
          </w:p>
          <w:p w14:paraId="77B63251">
            <w:pPr>
              <w:spacing w:line="360" w:lineRule="auto"/>
              <w:ind w:firstLine="480" w:firstLineChars="200"/>
              <w:rPr>
                <w:sz w:val="24"/>
              </w:rPr>
            </w:pPr>
            <w:r>
              <w:rPr>
                <w:rFonts w:hint="eastAsia"/>
                <w:bCs/>
                <w:sz w:val="24"/>
              </w:rPr>
              <w:t>项目</w:t>
            </w:r>
            <w:r>
              <w:rPr>
                <w:rFonts w:hint="eastAsia"/>
                <w:sz w:val="24"/>
              </w:rPr>
              <w:t>站址具有下列特点：</w:t>
            </w:r>
          </w:p>
          <w:p w14:paraId="0BE67181">
            <w:pPr>
              <w:spacing w:line="360" w:lineRule="auto"/>
              <w:ind w:firstLine="480" w:firstLineChars="200"/>
              <w:rPr>
                <w:sz w:val="24"/>
              </w:rPr>
            </w:pPr>
            <w:r>
              <w:rPr>
                <w:rFonts w:hint="eastAsia"/>
                <w:sz w:val="24"/>
              </w:rPr>
              <w:t>①项</w:t>
            </w:r>
            <w:r>
              <w:rPr>
                <w:rFonts w:hint="eastAsia"/>
                <w:bCs/>
                <w:sz w:val="24"/>
              </w:rPr>
              <w:t>目储能电站</w:t>
            </w:r>
            <w:r>
              <w:rPr>
                <w:rFonts w:hint="eastAsia"/>
                <w:sz w:val="24"/>
              </w:rPr>
              <w:t>站址所在区域地势平坦、场地稳定、无淹没史、无不良地质现象、不会受洪水及区域性暴雨洪灾的侵袭；②站址靠近园区道路，交通运输方便；③站址靠近负荷中心，减小了电力损耗；④</w:t>
            </w:r>
            <w:r>
              <w:rPr>
                <w:rFonts w:hint="eastAsia"/>
                <w:bCs/>
                <w:sz w:val="24"/>
              </w:rPr>
              <w:t>储能电站</w:t>
            </w:r>
            <w:r>
              <w:rPr>
                <w:rFonts w:hint="eastAsia"/>
                <w:sz w:val="24"/>
              </w:rPr>
              <w:t>评价范围无保护目标较少，减小了对保护目标的电磁环境和声环境影响；⑤</w:t>
            </w:r>
            <w:r>
              <w:rPr>
                <w:rFonts w:hint="eastAsia"/>
                <w:bCs/>
                <w:sz w:val="24"/>
              </w:rPr>
              <w:t>储能电站</w:t>
            </w:r>
            <w:r>
              <w:rPr>
                <w:rFonts w:hint="eastAsia"/>
                <w:sz w:val="24"/>
              </w:rPr>
              <w:t>评价范围内不涉及自然保护区、风景名胜区、生活饮用水源保护区、森林公园、水土流失重点治理区等特殊生态敏感目标。</w:t>
            </w:r>
          </w:p>
          <w:p w14:paraId="7EB3E869">
            <w:pPr>
              <w:spacing w:line="360" w:lineRule="auto"/>
              <w:ind w:firstLine="480" w:firstLineChars="200"/>
            </w:pPr>
            <w:r>
              <w:rPr>
                <w:rFonts w:hint="eastAsia"/>
                <w:sz w:val="24"/>
              </w:rPr>
              <w:t>综上，本工程储能电站选址是合理的。</w:t>
            </w:r>
          </w:p>
        </w:tc>
      </w:tr>
    </w:tbl>
    <w:p w14:paraId="5C38D11E">
      <w:pPr>
        <w:adjustRightInd w:val="0"/>
        <w:snapToGrid w:val="0"/>
        <w:spacing w:line="360" w:lineRule="auto"/>
        <w:rPr>
          <w:b/>
          <w:kern w:val="0"/>
          <w:sz w:val="28"/>
          <w:szCs w:val="28"/>
        </w:rPr>
        <w:sectPr>
          <w:pgSz w:w="11905" w:h="16838"/>
          <w:pgMar w:top="1701" w:right="1531" w:bottom="1701" w:left="1531" w:header="851" w:footer="1077" w:gutter="0"/>
          <w:cols w:space="720" w:num="1"/>
          <w:docGrid w:linePitch="312" w:charSpace="0"/>
        </w:sectPr>
      </w:pPr>
    </w:p>
    <w:bookmarkEnd w:id="10"/>
    <w:p w14:paraId="578F4753">
      <w:pPr>
        <w:pStyle w:val="27"/>
        <w:jc w:val="center"/>
        <w:outlineLvl w:val="0"/>
        <w:rPr>
          <w:rFonts w:ascii="Times New Roman" w:hAnsi="Times New Roman" w:eastAsia="黑体"/>
          <w:snapToGrid w:val="0"/>
          <w:sz w:val="30"/>
          <w:szCs w:val="30"/>
        </w:rPr>
      </w:pPr>
      <w:r>
        <w:rPr>
          <w:rFonts w:hint="eastAsia" w:ascii="Times New Roman" w:hAnsi="Times New Roman" w:eastAsia="黑体"/>
          <w:snapToGrid w:val="0"/>
          <w:sz w:val="30"/>
          <w:szCs w:val="30"/>
        </w:rPr>
        <w:t>五、主要生态环境保护措施</w:t>
      </w:r>
    </w:p>
    <w:tbl>
      <w:tblPr>
        <w:tblStyle w:val="31"/>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16"/>
        <w:gridCol w:w="8361"/>
      </w:tblGrid>
      <w:tr w14:paraId="2CCF77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343" w:type="pct"/>
            <w:tcMar>
              <w:left w:w="28" w:type="dxa"/>
              <w:right w:w="28" w:type="dxa"/>
            </w:tcMar>
            <w:vAlign w:val="center"/>
          </w:tcPr>
          <w:p w14:paraId="1D3D1B64">
            <w:pPr>
              <w:pStyle w:val="27"/>
              <w:adjustRightInd w:val="0"/>
              <w:snapToGrid w:val="0"/>
              <w:spacing w:before="0" w:beforeAutospacing="0" w:after="0" w:afterAutospacing="0"/>
              <w:jc w:val="center"/>
              <w:rPr>
                <w:rFonts w:ascii="Times New Roman" w:hAnsi="Times New Roman"/>
                <w:kern w:val="2"/>
                <w:szCs w:val="24"/>
              </w:rPr>
            </w:pPr>
            <w:r>
              <w:rPr>
                <w:rFonts w:hint="eastAsia" w:ascii="Times New Roman" w:hAnsi="Times New Roman"/>
                <w:kern w:val="2"/>
                <w:szCs w:val="24"/>
              </w:rPr>
              <w:t>施工期生态环境保护措施</w:t>
            </w:r>
          </w:p>
        </w:tc>
        <w:tc>
          <w:tcPr>
            <w:tcW w:w="4656" w:type="pct"/>
            <w:vAlign w:val="center"/>
          </w:tcPr>
          <w:p w14:paraId="1DC17813">
            <w:pPr>
              <w:spacing w:before="120" w:beforeLines="50" w:line="360" w:lineRule="auto"/>
              <w:ind w:firstLine="482" w:firstLineChars="200"/>
              <w:rPr>
                <w:b/>
                <w:bCs/>
                <w:sz w:val="24"/>
              </w:rPr>
            </w:pPr>
            <w:r>
              <w:rPr>
                <w:rFonts w:hint="eastAsia"/>
                <w:b/>
                <w:bCs/>
                <w:sz w:val="24"/>
              </w:rPr>
              <w:t>1、声环境防治措施</w:t>
            </w:r>
          </w:p>
          <w:p w14:paraId="34AD73AF">
            <w:pPr>
              <w:spacing w:line="360" w:lineRule="auto"/>
              <w:ind w:firstLine="480" w:firstLineChars="200"/>
              <w:rPr>
                <w:sz w:val="24"/>
              </w:rPr>
            </w:pPr>
            <w:r>
              <w:rPr>
                <w:rFonts w:hint="eastAsia"/>
                <w:sz w:val="24"/>
              </w:rPr>
              <w:t>根据《中华人民共和国噪声污染防治法》（</w:t>
            </w:r>
            <w:r>
              <w:rPr>
                <w:sz w:val="24"/>
              </w:rPr>
              <w:t>2021</w:t>
            </w:r>
            <w:r>
              <w:rPr>
                <w:rFonts w:hint="eastAsia"/>
                <w:sz w:val="24"/>
              </w:rPr>
              <w:t>年）、《建筑工程施工现场管理规定》和广东省噪声污染的相关规定等，本工程在施工过程中可采取以下噪声防治措施：</w:t>
            </w:r>
          </w:p>
          <w:p w14:paraId="1B570946">
            <w:pPr>
              <w:spacing w:line="360" w:lineRule="auto"/>
              <w:ind w:firstLine="480" w:firstLineChars="200"/>
              <w:rPr>
                <w:sz w:val="24"/>
              </w:rPr>
            </w:pPr>
            <w:r>
              <w:rPr>
                <w:rFonts w:hint="eastAsia"/>
                <w:sz w:val="24"/>
              </w:rPr>
              <w:t>（</w:t>
            </w:r>
            <w:r>
              <w:rPr>
                <w:sz w:val="24"/>
              </w:rPr>
              <w:t>1</w:t>
            </w:r>
            <w:r>
              <w:rPr>
                <w:rFonts w:hint="eastAsia"/>
                <w:sz w:val="24"/>
              </w:rPr>
              <w:t>）根据本项目施工方案，在施工前先沿站址红线处修建围栏，高</w:t>
            </w:r>
            <w:r>
              <w:rPr>
                <w:sz w:val="24"/>
              </w:rPr>
              <w:t>2.5m</w:t>
            </w:r>
            <w:r>
              <w:rPr>
                <w:rFonts w:hint="eastAsia"/>
                <w:sz w:val="24"/>
              </w:rPr>
              <w:t>，对施工期噪声将由一定减缓作用。</w:t>
            </w:r>
          </w:p>
          <w:p w14:paraId="427DAFD7">
            <w:pPr>
              <w:pStyle w:val="10"/>
              <w:rPr>
                <w:szCs w:val="24"/>
              </w:rPr>
            </w:pPr>
            <w:r>
              <w:rPr>
                <w:rFonts w:hint="eastAsia"/>
                <w:szCs w:val="24"/>
              </w:rPr>
              <w:t>（</w:t>
            </w:r>
            <w:r>
              <w:rPr>
                <w:szCs w:val="24"/>
              </w:rPr>
              <w:t>2</w:t>
            </w:r>
            <w:r>
              <w:rPr>
                <w:rFonts w:hint="eastAsia"/>
                <w:szCs w:val="24"/>
              </w:rPr>
              <w:t>）根据项目总平面布置，本项目产噪较大的土建施工主要集中在主变和配电楼处，距场界亦有一定距离，故土建施工期到达场界处的噪声亦因距离会产生一定衰减。</w:t>
            </w:r>
          </w:p>
          <w:p w14:paraId="75671215">
            <w:pPr>
              <w:pStyle w:val="10"/>
              <w:rPr>
                <w:szCs w:val="24"/>
              </w:rPr>
            </w:pPr>
            <w:r>
              <w:rPr>
                <w:rFonts w:hint="eastAsia"/>
                <w:szCs w:val="24"/>
              </w:rPr>
              <w:t>（</w:t>
            </w:r>
            <w:r>
              <w:rPr>
                <w:szCs w:val="24"/>
              </w:rPr>
              <w:t>3</w:t>
            </w:r>
            <w:r>
              <w:rPr>
                <w:rFonts w:hint="eastAsia"/>
                <w:szCs w:val="24"/>
              </w:rPr>
              <w:t>）优先使用低噪声施工工艺和设备。</w:t>
            </w:r>
          </w:p>
          <w:p w14:paraId="5B206276">
            <w:pPr>
              <w:spacing w:line="360" w:lineRule="auto"/>
              <w:ind w:firstLine="480" w:firstLineChars="200"/>
              <w:rPr>
                <w:sz w:val="24"/>
              </w:rPr>
            </w:pPr>
            <w:r>
              <w:rPr>
                <w:rFonts w:hint="eastAsia"/>
                <w:sz w:val="24"/>
              </w:rPr>
              <w:t>（</w:t>
            </w:r>
            <w:r>
              <w:rPr>
                <w:sz w:val="24"/>
              </w:rPr>
              <w:t>4</w:t>
            </w:r>
            <w:r>
              <w:rPr>
                <w:rFonts w:hint="eastAsia"/>
                <w:sz w:val="24"/>
              </w:rPr>
              <w:t>）根据施工期声环境影响预测结果，夜间噪声超过</w:t>
            </w:r>
            <w:r>
              <w:rPr>
                <w:sz w:val="24"/>
              </w:rPr>
              <w:t>50dB</w:t>
            </w:r>
            <w:r>
              <w:rPr>
                <w:rFonts w:hint="eastAsia"/>
                <w:sz w:val="24"/>
              </w:rPr>
              <w:t>（</w:t>
            </w:r>
            <w:r>
              <w:rPr>
                <w:sz w:val="24"/>
              </w:rPr>
              <w:t>A</w:t>
            </w:r>
            <w:r>
              <w:rPr>
                <w:rFonts w:hint="eastAsia"/>
                <w:sz w:val="24"/>
              </w:rPr>
              <w:t>），禁止本项目在夜间（</w:t>
            </w:r>
            <w:r>
              <w:rPr>
                <w:sz w:val="24"/>
              </w:rPr>
              <w:t>22:00</w:t>
            </w:r>
            <w:r>
              <w:rPr>
                <w:rFonts w:hint="eastAsia"/>
                <w:sz w:val="24"/>
              </w:rPr>
              <w:t>～次日</w:t>
            </w:r>
            <w:r>
              <w:rPr>
                <w:sz w:val="24"/>
              </w:rPr>
              <w:t>6:00</w:t>
            </w:r>
            <w:r>
              <w:rPr>
                <w:rFonts w:hint="eastAsia"/>
                <w:sz w:val="24"/>
              </w:rPr>
              <w:t>）进行产噪作业。确因工艺要求或者特殊需要确需进行夜间施工的，施工单位必须在施工作业前</w:t>
            </w:r>
            <w:r>
              <w:rPr>
                <w:sz w:val="24"/>
              </w:rPr>
              <w:t>3</w:t>
            </w:r>
            <w:r>
              <w:rPr>
                <w:rFonts w:hint="eastAsia"/>
                <w:sz w:val="24"/>
              </w:rPr>
              <w:t>个工作日，向区建设行政主管部门提出书面申请，申请材料包括申请书、项目开工手续、施工进度计划表、现场连续施工具体时间和工作量，噪声污染控制措施、商品混凝土供应商出具的商品混凝土供应量证明材料。经批准，应在批准的范围和时间内施工，并在施工现场进出口显着位置公示《夜间施工许可证》或其他方式告知周围声环境保护目标，明确施工现场噪声污染防治责任人，严禁采取捶打、敲击、金属切割、装卸钢管钢筋等易产生高噪声的作业方式。但应合理安排工期，缩短夜间施工时间。</w:t>
            </w:r>
          </w:p>
          <w:p w14:paraId="5272C765">
            <w:pPr>
              <w:spacing w:line="360" w:lineRule="auto"/>
              <w:ind w:firstLine="480" w:firstLineChars="200"/>
              <w:rPr>
                <w:sz w:val="24"/>
              </w:rPr>
            </w:pPr>
            <w:r>
              <w:rPr>
                <w:rFonts w:hint="eastAsia"/>
                <w:sz w:val="24"/>
              </w:rPr>
              <w:t>（</w:t>
            </w:r>
            <w:r>
              <w:rPr>
                <w:sz w:val="24"/>
              </w:rPr>
              <w:t>5</w:t>
            </w:r>
            <w:r>
              <w:rPr>
                <w:rFonts w:hint="eastAsia"/>
                <w:sz w:val="24"/>
              </w:rPr>
              <w:t>）施工单位应加强现场管理，加强对设备的维护、养护，闲置设备应立即关闭；尽可能采用外加工材料，减少现场加工的工作量。</w:t>
            </w:r>
          </w:p>
          <w:p w14:paraId="342F2F00">
            <w:pPr>
              <w:spacing w:line="360" w:lineRule="auto"/>
              <w:ind w:firstLine="480" w:firstLineChars="200"/>
              <w:rPr>
                <w:sz w:val="24"/>
              </w:rPr>
            </w:pPr>
            <w:r>
              <w:rPr>
                <w:rFonts w:hint="eastAsia"/>
                <w:sz w:val="24"/>
              </w:rPr>
              <w:t>（</w:t>
            </w:r>
            <w:r>
              <w:rPr>
                <w:sz w:val="24"/>
              </w:rPr>
              <w:t>6</w:t>
            </w:r>
            <w:r>
              <w:rPr>
                <w:rFonts w:hint="eastAsia"/>
                <w:sz w:val="24"/>
              </w:rPr>
              <w:t>）施工交通噪声防治措施</w:t>
            </w:r>
          </w:p>
          <w:p w14:paraId="0A410335">
            <w:pPr>
              <w:spacing w:line="360" w:lineRule="auto"/>
              <w:ind w:firstLine="480" w:firstLineChars="200"/>
              <w:rPr>
                <w:sz w:val="24"/>
              </w:rPr>
            </w:pPr>
            <w:r>
              <w:rPr>
                <w:rFonts w:hint="eastAsia" w:ascii="Cambria Math" w:hAnsi="Cambria Math" w:cs="Cambria Math"/>
                <w:sz w:val="24"/>
              </w:rPr>
              <w:t>①</w:t>
            </w:r>
            <w:r>
              <w:rPr>
                <w:rFonts w:hint="eastAsia"/>
                <w:sz w:val="24"/>
              </w:rPr>
              <w:t>在施工工作面铺设草袋等，以减少车辆与路面摩擦产生噪声；</w:t>
            </w:r>
          </w:p>
          <w:p w14:paraId="2FAB943E">
            <w:pPr>
              <w:spacing w:line="360" w:lineRule="auto"/>
              <w:ind w:firstLine="480" w:firstLineChars="200"/>
              <w:rPr>
                <w:sz w:val="24"/>
              </w:rPr>
            </w:pPr>
            <w:r>
              <w:rPr>
                <w:rFonts w:hint="eastAsia" w:ascii="Cambria Math" w:hAnsi="Cambria Math" w:cs="Cambria Math"/>
                <w:sz w:val="24"/>
              </w:rPr>
              <w:t>②</w:t>
            </w:r>
            <w:r>
              <w:rPr>
                <w:rFonts w:hint="eastAsia"/>
                <w:sz w:val="24"/>
              </w:rPr>
              <w:t>合理安排运输路线和时间，建筑材料运输车辆临近保护目标时低速行驶、禁止鸣笛；加强与周围居民沟通，防止扰民纠纷。</w:t>
            </w:r>
          </w:p>
          <w:p w14:paraId="2BBD247F">
            <w:pPr>
              <w:spacing w:line="360" w:lineRule="auto"/>
              <w:ind w:firstLine="480" w:firstLineChars="200"/>
              <w:rPr>
                <w:sz w:val="24"/>
              </w:rPr>
            </w:pPr>
            <w:r>
              <w:rPr>
                <w:rFonts w:hint="eastAsia" w:ascii="Cambria Math" w:hAnsi="Cambria Math" w:cs="Cambria Math"/>
                <w:sz w:val="24"/>
              </w:rPr>
              <w:t>③</w:t>
            </w:r>
            <w:r>
              <w:rPr>
                <w:rFonts w:hint="eastAsia"/>
                <w:sz w:val="24"/>
              </w:rPr>
              <w:t>加强车辆管理，对运输车辆定期维修、养护。</w:t>
            </w:r>
          </w:p>
          <w:p w14:paraId="22E4B81E">
            <w:pPr>
              <w:spacing w:line="360" w:lineRule="auto"/>
              <w:ind w:firstLine="480" w:firstLineChars="200"/>
              <w:rPr>
                <w:sz w:val="24"/>
              </w:rPr>
            </w:pPr>
            <w:r>
              <w:rPr>
                <w:rFonts w:hint="eastAsia"/>
                <w:sz w:val="24"/>
              </w:rPr>
              <w:t>本项目施工期在采取上述治理及控制措施后，各类机械设备的施工噪声能从影响程度、影响时间及影响强度等方面得以一定程度的削减。施工期间，建设方可委托有资质的监测单位对施工场界噪声进行跟踪监测并及时调整施工内容和施工量，确保施工噪声能满足《建筑施工场界环境噪声排放标准》（</w:t>
            </w:r>
            <w:r>
              <w:rPr>
                <w:sz w:val="24"/>
              </w:rPr>
              <w:t>GB12523-2011</w:t>
            </w:r>
            <w:r>
              <w:rPr>
                <w:rFonts w:hint="eastAsia"/>
                <w:sz w:val="24"/>
              </w:rPr>
              <w:t>）的要求，噪声属无残留污染，施工结束噪声污染也随之结束，周围声环境即可恢复至现状水平。</w:t>
            </w:r>
          </w:p>
          <w:p w14:paraId="65B3E665">
            <w:pPr>
              <w:spacing w:line="360" w:lineRule="auto"/>
              <w:ind w:firstLine="482" w:firstLineChars="200"/>
              <w:rPr>
                <w:b/>
                <w:bCs/>
                <w:sz w:val="24"/>
              </w:rPr>
            </w:pPr>
            <w:r>
              <w:rPr>
                <w:b/>
                <w:bCs/>
                <w:sz w:val="24"/>
              </w:rPr>
              <w:t>2</w:t>
            </w:r>
            <w:r>
              <w:rPr>
                <w:rFonts w:hint="eastAsia"/>
                <w:b/>
                <w:bCs/>
                <w:sz w:val="24"/>
              </w:rPr>
              <w:t>、大气环境保护措施</w:t>
            </w:r>
          </w:p>
          <w:p w14:paraId="552CC18C">
            <w:pPr>
              <w:pStyle w:val="128"/>
              <w:spacing w:line="360" w:lineRule="auto"/>
              <w:ind w:firstLine="480"/>
              <w:rPr>
                <w:sz w:val="24"/>
              </w:rPr>
            </w:pPr>
            <w:r>
              <w:rPr>
                <w:rFonts w:hint="eastAsia"/>
                <w:sz w:val="24"/>
              </w:rPr>
              <w:t>施工单位应严格按照《中华人民共和国大气污染防治法》、《惠州市</w:t>
            </w:r>
            <w:r>
              <w:rPr>
                <w:rFonts w:hint="eastAsia"/>
                <w:kern w:val="0"/>
                <w:sz w:val="24"/>
              </w:rPr>
              <w:t>扬尘污染防治防治条例</w:t>
            </w:r>
            <w:r>
              <w:rPr>
                <w:rFonts w:hint="eastAsia"/>
                <w:sz w:val="24"/>
              </w:rPr>
              <w:t>》等相关要求，做到文明施工、清洁施工，做好扬尘防治工作：</w:t>
            </w:r>
          </w:p>
          <w:p w14:paraId="5C790269">
            <w:pPr>
              <w:pStyle w:val="128"/>
              <w:spacing w:line="360" w:lineRule="auto"/>
              <w:ind w:firstLine="480"/>
              <w:rPr>
                <w:sz w:val="24"/>
              </w:rPr>
            </w:pPr>
            <w:r>
              <w:rPr>
                <w:rFonts w:hint="eastAsia"/>
                <w:sz w:val="24"/>
              </w:rPr>
              <w:t>（</w:t>
            </w:r>
            <w:r>
              <w:rPr>
                <w:sz w:val="24"/>
              </w:rPr>
              <w:t>1</w:t>
            </w:r>
            <w:r>
              <w:rPr>
                <w:rFonts w:hint="eastAsia"/>
                <w:sz w:val="24"/>
              </w:rPr>
              <w:t>）施工场地扬尘防治措施</w:t>
            </w:r>
          </w:p>
          <w:p w14:paraId="050BB316">
            <w:pPr>
              <w:pStyle w:val="128"/>
              <w:spacing w:line="360" w:lineRule="auto"/>
              <w:ind w:firstLine="480"/>
              <w:rPr>
                <w:sz w:val="24"/>
              </w:rPr>
            </w:pPr>
            <w:r>
              <w:rPr>
                <w:rFonts w:hint="eastAsia" w:ascii="宋体" w:hAnsi="宋体" w:cs="宋体"/>
                <w:sz w:val="24"/>
              </w:rPr>
              <w:t>①</w:t>
            </w:r>
            <w:r>
              <w:rPr>
                <w:sz w:val="24"/>
              </w:rPr>
              <w:t>装运土方时控制土方低于车厢挡板，减少途中撒落，对施工现场抛洒的砂石、水泥等物料应及时清扫，砂石堆、施工道路应定时洒水抑尘。施工单位每日上午、下午及物料集中运输时，针对施工道路、临时堆场，各洒水2次，配置一名专员，承担施工现场的清洁环卫工作。</w:t>
            </w:r>
          </w:p>
          <w:p w14:paraId="3C3BEE75">
            <w:pPr>
              <w:pStyle w:val="128"/>
              <w:spacing w:line="360" w:lineRule="auto"/>
              <w:ind w:firstLine="480"/>
              <w:rPr>
                <w:sz w:val="24"/>
              </w:rPr>
            </w:pPr>
            <w:r>
              <w:rPr>
                <w:rFonts w:hint="eastAsia" w:ascii="宋体" w:hAnsi="宋体" w:cs="宋体"/>
                <w:sz w:val="24"/>
              </w:rPr>
              <w:t>②</w:t>
            </w:r>
            <w:r>
              <w:rPr>
                <w:sz w:val="24"/>
              </w:rPr>
              <w:t>施工现场土方开挖后应尽快回填，不能及时回填的裸露场地，应采取洒水、覆盖等防尘措施。在场地内堆放作回填作用的土方应集中堆放，同时，在土方未干化之前，经表面整平压实后，采取覆盖措施，并定时洒水维持湿润施工前须制定控制工地扬尘方案，施工期间接受城管部门的监督检查，采取有效防尘措施。工程完毕后及时清理施工场地。</w:t>
            </w:r>
          </w:p>
          <w:p w14:paraId="0363A3A8">
            <w:pPr>
              <w:pStyle w:val="128"/>
              <w:spacing w:line="360" w:lineRule="auto"/>
              <w:ind w:firstLine="480"/>
              <w:rPr>
                <w:sz w:val="24"/>
              </w:rPr>
            </w:pPr>
            <w:r>
              <w:rPr>
                <w:rFonts w:hint="eastAsia" w:ascii="宋体" w:hAnsi="宋体" w:cs="宋体"/>
                <w:sz w:val="24"/>
              </w:rPr>
              <w:t>③</w:t>
            </w:r>
            <w:r>
              <w:rPr>
                <w:sz w:val="24"/>
              </w:rPr>
              <w:t>施工过程中使用水泥、石灰、砂石、涂料、铺装材料等易产生扬尘的建筑材料，应采取密闭存储，如设围挡、防尘布苫盖或者专门的存储间。</w:t>
            </w:r>
          </w:p>
          <w:p w14:paraId="38BDA859">
            <w:pPr>
              <w:pStyle w:val="128"/>
              <w:spacing w:line="360" w:lineRule="auto"/>
              <w:ind w:firstLine="480"/>
              <w:rPr>
                <w:sz w:val="24"/>
              </w:rPr>
            </w:pPr>
            <w:r>
              <w:rPr>
                <w:rFonts w:hint="eastAsia" w:ascii="宋体" w:hAnsi="宋体" w:cs="宋体"/>
                <w:sz w:val="24"/>
              </w:rPr>
              <w:t>④</w:t>
            </w:r>
            <w:r>
              <w:rPr>
                <w:sz w:val="24"/>
              </w:rPr>
              <w:t>施工现场四周设置不低于2.5m围挡，封闭施工，围挡低端设置防溢座，围挡之间以及围挡与防溢座之间无缝隙；外脚手架应当设置悬挂密目式安全网封闭，并保持严密整洁。围挡上设置喷雾降尘设备。</w:t>
            </w:r>
          </w:p>
          <w:p w14:paraId="65EE6006">
            <w:pPr>
              <w:pStyle w:val="128"/>
              <w:spacing w:line="360" w:lineRule="auto"/>
              <w:ind w:firstLine="480"/>
              <w:rPr>
                <w:sz w:val="24"/>
              </w:rPr>
            </w:pPr>
            <w:r>
              <w:rPr>
                <w:rFonts w:hint="eastAsia" w:ascii="宋体" w:hAnsi="宋体" w:cs="宋体"/>
                <w:sz w:val="24"/>
              </w:rPr>
              <w:t>⑤</w:t>
            </w:r>
            <w:r>
              <w:rPr>
                <w:sz w:val="24"/>
              </w:rPr>
              <w:t>施工车辆在进入施工场地后，需减速行驶，以减少施工场地扬尘的产生。所有进行建筑渣土及其他散装物料运输的车辆，实行密闭运输。对施工场地出入口进行硬化或铺设钢板。</w:t>
            </w:r>
          </w:p>
          <w:p w14:paraId="068FDB26">
            <w:pPr>
              <w:pStyle w:val="128"/>
              <w:spacing w:line="360" w:lineRule="auto"/>
              <w:ind w:firstLine="480"/>
              <w:rPr>
                <w:sz w:val="24"/>
              </w:rPr>
            </w:pPr>
            <w:r>
              <w:rPr>
                <w:rFonts w:hint="eastAsia" w:ascii="宋体" w:hAnsi="宋体" w:cs="宋体"/>
                <w:sz w:val="24"/>
              </w:rPr>
              <w:t>⑥</w:t>
            </w:r>
            <w:r>
              <w:rPr>
                <w:sz w:val="24"/>
              </w:rPr>
              <w:t>落实</w:t>
            </w:r>
            <w:r>
              <w:rPr>
                <w:rFonts w:hint="eastAsia"/>
                <w:sz w:val="24"/>
              </w:rPr>
              <w:t>“</w:t>
            </w:r>
            <w:r>
              <w:rPr>
                <w:sz w:val="24"/>
              </w:rPr>
              <w:t>一硬四有”，做到“六必须</w:t>
            </w:r>
            <w:r>
              <w:rPr>
                <w:rFonts w:hint="eastAsia"/>
                <w:sz w:val="24"/>
              </w:rPr>
              <w:t>”</w:t>
            </w:r>
            <w:r>
              <w:rPr>
                <w:sz w:val="24"/>
              </w:rPr>
              <w:t>（必须围挡作业、必须硬化道路、必须设置冲洗设施、必须及时洒水作业、必须落实保洁人员、必须定时清扫施工现场）、</w:t>
            </w:r>
            <w:r>
              <w:rPr>
                <w:rFonts w:hint="eastAsia"/>
                <w:sz w:val="24"/>
              </w:rPr>
              <w:t>“</w:t>
            </w:r>
            <w:r>
              <w:rPr>
                <w:sz w:val="24"/>
              </w:rPr>
              <w:t>六不准</w:t>
            </w:r>
            <w:r>
              <w:rPr>
                <w:rFonts w:hint="eastAsia"/>
                <w:sz w:val="24"/>
              </w:rPr>
              <w:t>”</w:t>
            </w:r>
            <w:r>
              <w:rPr>
                <w:sz w:val="24"/>
              </w:rPr>
              <w:t>（不准车辆带泥出门、不准运碴车辆冒顶装载、不准高空抛洒建筑垃圾、不准现场搅拌混凝土、不准场地积水、不准现场焚烧废弃物）。</w:t>
            </w:r>
          </w:p>
          <w:p w14:paraId="6FE778A5">
            <w:pPr>
              <w:pStyle w:val="128"/>
              <w:spacing w:line="360" w:lineRule="auto"/>
              <w:ind w:firstLine="480"/>
              <w:rPr>
                <w:sz w:val="24"/>
              </w:rPr>
            </w:pPr>
            <w:r>
              <w:rPr>
                <w:rFonts w:hint="eastAsia" w:ascii="宋体" w:hAnsi="宋体" w:cs="宋体"/>
                <w:sz w:val="24"/>
              </w:rPr>
              <w:t>⑦</w:t>
            </w:r>
            <w:r>
              <w:rPr>
                <w:sz w:val="24"/>
              </w:rPr>
              <w:t>在物料、渣土、垃圾运输车辆的出口内侧设置洗车平台，车辆驶离工地前，应在洗车平台清洗轮胎及车身，不得带泥上路。</w:t>
            </w:r>
          </w:p>
          <w:p w14:paraId="0791EE83">
            <w:pPr>
              <w:pStyle w:val="128"/>
              <w:spacing w:line="360" w:lineRule="auto"/>
              <w:ind w:firstLine="480"/>
              <w:rPr>
                <w:sz w:val="24"/>
              </w:rPr>
            </w:pPr>
            <w:r>
              <w:rPr>
                <w:rFonts w:hint="eastAsia" w:ascii="宋体" w:hAnsi="宋体" w:cs="宋体"/>
                <w:sz w:val="24"/>
              </w:rPr>
              <w:t>⑧</w:t>
            </w:r>
            <w:r>
              <w:rPr>
                <w:sz w:val="24"/>
              </w:rPr>
              <w:t>应尽可能采用密闭车斗，并保证物料不遗撒外漏。若无密闭车斗，物料、垃圾、渣土的装载高度不得超过车辆槽帮上沿，车斗应用苫布遮盖严实。苫布边缘至少要遮住槽帮上沿以下15cm，保证物料、渣土、垃圾等不露出。</w:t>
            </w:r>
          </w:p>
          <w:p w14:paraId="517C88F4">
            <w:pPr>
              <w:pStyle w:val="128"/>
              <w:spacing w:line="360" w:lineRule="auto"/>
              <w:ind w:firstLine="480"/>
              <w:rPr>
                <w:sz w:val="24"/>
              </w:rPr>
            </w:pPr>
            <w:r>
              <w:rPr>
                <w:rFonts w:hint="eastAsia" w:ascii="宋体" w:hAnsi="宋体" w:cs="宋体"/>
                <w:sz w:val="24"/>
              </w:rPr>
              <w:t>⑨</w:t>
            </w:r>
            <w:r>
              <w:rPr>
                <w:sz w:val="24"/>
              </w:rPr>
              <w:t>制定合理的施工计划，缩短施工周期，减少施工范围，减轻施工扬尘。</w:t>
            </w:r>
          </w:p>
          <w:p w14:paraId="4DFC135D">
            <w:pPr>
              <w:pStyle w:val="128"/>
              <w:spacing w:line="360" w:lineRule="auto"/>
              <w:ind w:firstLine="480"/>
              <w:rPr>
                <w:sz w:val="24"/>
              </w:rPr>
            </w:pPr>
            <w:r>
              <w:rPr>
                <w:rFonts w:hint="eastAsia" w:ascii="宋体" w:hAnsi="宋体" w:cs="宋体"/>
                <w:sz w:val="24"/>
              </w:rPr>
              <w:t>⑩</w:t>
            </w:r>
            <w:r>
              <w:rPr>
                <w:sz w:val="24"/>
              </w:rPr>
              <w:t>当风力出现4级或以上时应停止施工。在气象部门发布建筑施工扬尘污染天气预警期间，应当停止土石方挖掘、建筑拆除等作业。</w:t>
            </w:r>
          </w:p>
          <w:p w14:paraId="678A412D">
            <w:pPr>
              <w:pStyle w:val="128"/>
              <w:spacing w:line="360" w:lineRule="auto"/>
              <w:ind w:firstLine="480"/>
              <w:rPr>
                <w:sz w:val="24"/>
              </w:rPr>
            </w:pPr>
            <w:r>
              <w:rPr>
                <w:sz w:val="24"/>
              </w:rPr>
              <w:t>（2）</w:t>
            </w:r>
            <w:r>
              <w:rPr>
                <w:rFonts w:hint="eastAsia"/>
                <w:sz w:val="24"/>
              </w:rPr>
              <w:t>“</w:t>
            </w:r>
            <w:r>
              <w:rPr>
                <w:sz w:val="24"/>
              </w:rPr>
              <w:t>六个100%</w:t>
            </w:r>
            <w:r>
              <w:rPr>
                <w:rFonts w:hint="eastAsia"/>
                <w:sz w:val="24"/>
              </w:rPr>
              <w:t>”</w:t>
            </w:r>
            <w:r>
              <w:rPr>
                <w:sz w:val="24"/>
              </w:rPr>
              <w:t>措施</w:t>
            </w:r>
          </w:p>
          <w:p w14:paraId="7EEBDF4B">
            <w:pPr>
              <w:pStyle w:val="128"/>
              <w:spacing w:line="360" w:lineRule="auto"/>
              <w:ind w:firstLine="480"/>
              <w:rPr>
                <w:sz w:val="24"/>
              </w:rPr>
            </w:pPr>
            <w:r>
              <w:rPr>
                <w:sz w:val="24"/>
              </w:rPr>
              <w:t>施工工地严格落实</w:t>
            </w:r>
            <w:r>
              <w:rPr>
                <w:rFonts w:hint="eastAsia"/>
                <w:sz w:val="24"/>
              </w:rPr>
              <w:t>“</w:t>
            </w:r>
            <w:r>
              <w:rPr>
                <w:sz w:val="24"/>
              </w:rPr>
              <w:t>六个100%</w:t>
            </w:r>
            <w:r>
              <w:rPr>
                <w:rFonts w:hint="eastAsia"/>
                <w:sz w:val="24"/>
              </w:rPr>
              <w:t>”</w:t>
            </w:r>
            <w:r>
              <w:rPr>
                <w:sz w:val="24"/>
              </w:rPr>
              <w:t>措施（即施工现场100%围蔽、工地砂土100%覆盖、工地路面100%硬地化、拆除工程100%洒水压尘、出工地车辆100%冲净车轮车身、暂不开发的场地100%绿化），场地每天洒水6次以上。施工现场渣土运输车辆实行“一不准进，三不准出”管理（即</w:t>
            </w:r>
            <w:r>
              <w:rPr>
                <w:rFonts w:hint="eastAsia"/>
                <w:sz w:val="24"/>
              </w:rPr>
              <w:t>“</w:t>
            </w:r>
            <w:r>
              <w:rPr>
                <w:sz w:val="24"/>
              </w:rPr>
              <w:t>无证车辆不准进</w:t>
            </w:r>
            <w:r>
              <w:rPr>
                <w:rFonts w:hint="eastAsia"/>
                <w:sz w:val="24"/>
              </w:rPr>
              <w:t>”</w:t>
            </w:r>
            <w:r>
              <w:rPr>
                <w:sz w:val="24"/>
              </w:rPr>
              <w:t>和</w:t>
            </w:r>
            <w:r>
              <w:rPr>
                <w:rFonts w:hint="eastAsia"/>
                <w:sz w:val="24"/>
              </w:rPr>
              <w:t>“</w:t>
            </w:r>
            <w:r>
              <w:rPr>
                <w:sz w:val="24"/>
              </w:rPr>
              <w:t>未冲洗干净车辆不准出、不密闭车辆不准出、超装车辆不准出</w:t>
            </w:r>
            <w:r>
              <w:rPr>
                <w:rFonts w:hint="eastAsia"/>
                <w:sz w:val="24"/>
              </w:rPr>
              <w:t>”</w:t>
            </w:r>
            <w:r>
              <w:rPr>
                <w:sz w:val="24"/>
              </w:rPr>
              <w:t>）。</w:t>
            </w:r>
          </w:p>
          <w:p w14:paraId="7D0BAAFF">
            <w:pPr>
              <w:pStyle w:val="128"/>
              <w:spacing w:line="360" w:lineRule="auto"/>
              <w:ind w:firstLine="480"/>
              <w:rPr>
                <w:sz w:val="24"/>
              </w:rPr>
            </w:pPr>
            <w:r>
              <w:rPr>
                <w:sz w:val="24"/>
              </w:rPr>
              <w:t>通过采取上述措施后，</w:t>
            </w:r>
            <w:r>
              <w:rPr>
                <w:sz w:val="24"/>
                <w:lang w:val="zh-CN"/>
              </w:rPr>
              <w:t>确保</w:t>
            </w:r>
            <w:r>
              <w:rPr>
                <w:sz w:val="24"/>
              </w:rPr>
              <w:t>施工扬尘满足广东省《大气污染物排放限值》（DB44/27-2001）中的无组织排放监控浓度限值，有效地控制施工期扬尘影响的范围及程度。项目对大气环境影响较小，施工期影响可接受。</w:t>
            </w:r>
          </w:p>
          <w:p w14:paraId="49B8740B">
            <w:pPr>
              <w:pStyle w:val="128"/>
              <w:spacing w:line="360" w:lineRule="auto"/>
              <w:ind w:firstLine="480"/>
              <w:rPr>
                <w:kern w:val="0"/>
                <w:sz w:val="24"/>
              </w:rPr>
            </w:pPr>
            <w:r>
              <w:rPr>
                <w:kern w:val="0"/>
                <w:sz w:val="24"/>
              </w:rPr>
              <w:t>（3）燃油废气的消减与控制</w:t>
            </w:r>
          </w:p>
          <w:p w14:paraId="5C99313E">
            <w:pPr>
              <w:pStyle w:val="128"/>
              <w:spacing w:line="360" w:lineRule="auto"/>
              <w:ind w:firstLine="480"/>
              <w:rPr>
                <w:kern w:val="0"/>
                <w:sz w:val="24"/>
              </w:rPr>
            </w:pPr>
            <w:r>
              <w:rPr>
                <w:kern w:val="0"/>
                <w:sz w:val="24"/>
              </w:rPr>
              <w:t>施工期间，运输车辆大部分使用汽（柴）油作燃料，尾气产生量与污染物含量相对较高，为了减轻尾气对周围环境影响，应采取：</w:t>
            </w:r>
          </w:p>
          <w:p w14:paraId="522C23EC">
            <w:pPr>
              <w:pStyle w:val="128"/>
              <w:spacing w:line="360" w:lineRule="auto"/>
              <w:ind w:firstLine="480"/>
              <w:rPr>
                <w:kern w:val="0"/>
                <w:sz w:val="24"/>
              </w:rPr>
            </w:pPr>
            <w:r>
              <w:rPr>
                <w:kern w:val="0"/>
                <w:sz w:val="24"/>
              </w:rPr>
              <w:t>A、购置车辆尽可能选用尾气排放达到国家规定的排放标准；</w:t>
            </w:r>
          </w:p>
          <w:p w14:paraId="13FC5052">
            <w:pPr>
              <w:pStyle w:val="128"/>
              <w:spacing w:line="360" w:lineRule="auto"/>
              <w:ind w:firstLine="480"/>
              <w:rPr>
                <w:kern w:val="0"/>
                <w:sz w:val="24"/>
              </w:rPr>
            </w:pPr>
            <w:r>
              <w:rPr>
                <w:kern w:val="0"/>
                <w:sz w:val="24"/>
              </w:rPr>
              <w:t>B、运输线路尽量不穿越人群集中居住区。</w:t>
            </w:r>
          </w:p>
          <w:p w14:paraId="61C77FA0">
            <w:pPr>
              <w:pStyle w:val="128"/>
              <w:spacing w:line="360" w:lineRule="auto"/>
              <w:ind w:firstLine="480"/>
              <w:rPr>
                <w:kern w:val="0"/>
                <w:sz w:val="24"/>
              </w:rPr>
            </w:pPr>
            <w:r>
              <w:rPr>
                <w:kern w:val="0"/>
                <w:sz w:val="24"/>
              </w:rPr>
              <w:t>C、不在施工现场设置沥青搅拌站，沥青在专业搅拌站制成成品后，由专门运输车运至现场，立即铺设。</w:t>
            </w:r>
          </w:p>
          <w:p w14:paraId="4621352D">
            <w:pPr>
              <w:pStyle w:val="128"/>
              <w:spacing w:line="360" w:lineRule="auto"/>
              <w:ind w:firstLine="480"/>
              <w:rPr>
                <w:kern w:val="0"/>
                <w:sz w:val="24"/>
              </w:rPr>
            </w:pPr>
            <w:r>
              <w:rPr>
                <w:kern w:val="0"/>
                <w:sz w:val="24"/>
              </w:rPr>
              <w:t>本工程施工期采取以上环保措施后，可以有效地控制施工期扬尘影响的范围及程度。而且施工扬尘造成的污染是短期的、局部的，施工期结束后即消失，施工扬尘对周边环境影响较小。</w:t>
            </w:r>
          </w:p>
          <w:p w14:paraId="1F333B74">
            <w:pPr>
              <w:spacing w:line="360" w:lineRule="auto"/>
              <w:ind w:firstLine="482" w:firstLineChars="200"/>
              <w:rPr>
                <w:b/>
                <w:bCs/>
                <w:kern w:val="0"/>
                <w:sz w:val="24"/>
              </w:rPr>
            </w:pPr>
            <w:r>
              <w:rPr>
                <w:b/>
                <w:bCs/>
                <w:kern w:val="0"/>
                <w:sz w:val="24"/>
              </w:rPr>
              <w:t>3</w:t>
            </w:r>
            <w:r>
              <w:rPr>
                <w:rFonts w:hint="eastAsia"/>
                <w:b/>
                <w:bCs/>
                <w:kern w:val="0"/>
                <w:sz w:val="24"/>
              </w:rPr>
              <w:t>、地表水环境保护措施</w:t>
            </w:r>
          </w:p>
          <w:p w14:paraId="6EA2EC5D">
            <w:pPr>
              <w:spacing w:line="360" w:lineRule="auto"/>
              <w:ind w:firstLine="480"/>
              <w:rPr>
                <w:sz w:val="24"/>
              </w:rPr>
            </w:pPr>
            <w:r>
              <w:rPr>
                <w:sz w:val="24"/>
              </w:rPr>
              <w:t>施工期废水主要来自施工人员的施工废水和生活污水。施工废水抽排到沉淀池，经沉淀后循环使用，不外排；</w:t>
            </w:r>
          </w:p>
          <w:p w14:paraId="031C1EC6">
            <w:pPr>
              <w:spacing w:line="360" w:lineRule="auto"/>
              <w:ind w:firstLine="480" w:firstLineChars="200"/>
              <w:rPr>
                <w:sz w:val="24"/>
              </w:rPr>
            </w:pPr>
            <w:r>
              <w:rPr>
                <w:sz w:val="24"/>
              </w:rPr>
              <w:t>项目施工期人员不在施工场地内食宿，施工人员的食宿依托附近出租房解决，生活污水经三级化粪池预处理达到广东省《水污染物排放限值》(DB44/26-2001)第二时段三级标准后排</w:t>
            </w:r>
            <w:r>
              <w:rPr>
                <w:rFonts w:hint="eastAsia"/>
                <w:sz w:val="24"/>
              </w:rPr>
              <w:t>入市政污水管网，排入博罗县石湾镇大牛垒生活污水处理厂处理后达标排放。</w:t>
            </w:r>
          </w:p>
          <w:p w14:paraId="53A50D84">
            <w:pPr>
              <w:spacing w:line="360" w:lineRule="auto"/>
              <w:ind w:firstLine="480"/>
              <w:rPr>
                <w:sz w:val="24"/>
              </w:rPr>
            </w:pPr>
            <w:r>
              <w:rPr>
                <w:rFonts w:hint="eastAsia"/>
                <w:sz w:val="24"/>
              </w:rPr>
              <w:t>施工期生活污水，不直接排放至环境，对水环境影响较小。</w:t>
            </w:r>
          </w:p>
          <w:p w14:paraId="07161BD0">
            <w:pPr>
              <w:spacing w:line="360" w:lineRule="auto"/>
              <w:ind w:firstLine="482" w:firstLineChars="200"/>
              <w:rPr>
                <w:b/>
                <w:bCs/>
                <w:kern w:val="0"/>
                <w:sz w:val="24"/>
              </w:rPr>
            </w:pPr>
            <w:r>
              <w:rPr>
                <w:b/>
                <w:bCs/>
                <w:kern w:val="0"/>
                <w:sz w:val="24"/>
              </w:rPr>
              <w:t>4</w:t>
            </w:r>
            <w:r>
              <w:rPr>
                <w:rFonts w:hint="eastAsia"/>
                <w:b/>
                <w:bCs/>
                <w:kern w:val="0"/>
                <w:sz w:val="24"/>
              </w:rPr>
              <w:t>、固体废弃物环境保护措施</w:t>
            </w:r>
          </w:p>
          <w:p w14:paraId="2821B767">
            <w:pPr>
              <w:spacing w:line="360" w:lineRule="auto"/>
              <w:ind w:firstLine="480" w:firstLineChars="200"/>
              <w:rPr>
                <w:sz w:val="24"/>
              </w:rPr>
            </w:pPr>
            <w:r>
              <w:rPr>
                <w:rFonts w:hint="eastAsia"/>
                <w:sz w:val="24"/>
              </w:rPr>
              <w:t>施工期产生固废主要为项目施工余方、施工人员的生活垃圾和拆除的固废。</w:t>
            </w:r>
          </w:p>
          <w:p w14:paraId="2464F093">
            <w:pPr>
              <w:spacing w:line="360" w:lineRule="auto"/>
              <w:ind w:firstLine="480" w:firstLineChars="200"/>
              <w:rPr>
                <w:sz w:val="24"/>
              </w:rPr>
            </w:pPr>
            <w:r>
              <w:rPr>
                <w:rFonts w:hint="eastAsia"/>
                <w:sz w:val="24"/>
              </w:rPr>
              <w:t>项目施工总挖方量为</w:t>
            </w:r>
            <w:r>
              <w:rPr>
                <w:sz w:val="24"/>
              </w:rPr>
              <w:t>0.46</w:t>
            </w:r>
            <w:r>
              <w:rPr>
                <w:rFonts w:hint="eastAsia"/>
                <w:sz w:val="24"/>
              </w:rPr>
              <w:t>万</w:t>
            </w:r>
            <w:r>
              <w:rPr>
                <w:sz w:val="24"/>
              </w:rPr>
              <w:t>m</w:t>
            </w:r>
            <w:r>
              <w:rPr>
                <w:sz w:val="24"/>
                <w:vertAlign w:val="superscript"/>
              </w:rPr>
              <w:t>3</w:t>
            </w:r>
            <w:r>
              <w:rPr>
                <w:rFonts w:hint="eastAsia"/>
                <w:sz w:val="24"/>
              </w:rPr>
              <w:t>，总填方量为</w:t>
            </w:r>
            <w:r>
              <w:rPr>
                <w:sz w:val="24"/>
              </w:rPr>
              <w:t>1.22</w:t>
            </w:r>
            <w:r>
              <w:rPr>
                <w:rFonts w:hint="eastAsia"/>
                <w:sz w:val="24"/>
              </w:rPr>
              <w:t>万</w:t>
            </w:r>
            <w:r>
              <w:rPr>
                <w:sz w:val="24"/>
              </w:rPr>
              <w:t>m</w:t>
            </w:r>
            <w:r>
              <w:rPr>
                <w:sz w:val="24"/>
                <w:vertAlign w:val="superscript"/>
              </w:rPr>
              <w:t>3</w:t>
            </w:r>
            <w:r>
              <w:rPr>
                <w:rFonts w:hint="eastAsia"/>
                <w:sz w:val="24"/>
              </w:rPr>
              <w:t>，借方</w:t>
            </w:r>
            <w:r>
              <w:rPr>
                <w:sz w:val="24"/>
              </w:rPr>
              <w:t>0.76</w:t>
            </w:r>
            <w:r>
              <w:rPr>
                <w:rFonts w:hint="eastAsia"/>
                <w:sz w:val="24"/>
              </w:rPr>
              <w:t>万</w:t>
            </w:r>
            <w:r>
              <w:rPr>
                <w:sz w:val="24"/>
              </w:rPr>
              <w:t>m</w:t>
            </w:r>
            <w:r>
              <w:rPr>
                <w:sz w:val="24"/>
                <w:vertAlign w:val="superscript"/>
              </w:rPr>
              <w:t>3</w:t>
            </w:r>
            <w:r>
              <w:rPr>
                <w:rFonts w:hint="eastAsia"/>
                <w:sz w:val="24"/>
              </w:rPr>
              <w:t>，弃方量</w:t>
            </w:r>
            <w:r>
              <w:rPr>
                <w:sz w:val="24"/>
              </w:rPr>
              <w:t>0m</w:t>
            </w:r>
            <w:r>
              <w:rPr>
                <w:sz w:val="24"/>
                <w:vertAlign w:val="superscript"/>
              </w:rPr>
              <w:t>3</w:t>
            </w:r>
            <w:r>
              <w:rPr>
                <w:rFonts w:hint="eastAsia"/>
                <w:sz w:val="24"/>
              </w:rPr>
              <w:t>。</w:t>
            </w:r>
          </w:p>
          <w:p w14:paraId="66D6EC30">
            <w:pPr>
              <w:spacing w:line="360" w:lineRule="auto"/>
              <w:ind w:firstLine="480"/>
              <w:rPr>
                <w:sz w:val="24"/>
              </w:rPr>
            </w:pPr>
            <w:r>
              <w:rPr>
                <w:rFonts w:hint="eastAsia"/>
                <w:sz w:val="24"/>
              </w:rPr>
              <w:t>项目平均每天安排施工人员约</w:t>
            </w:r>
            <w:r>
              <w:rPr>
                <w:sz w:val="24"/>
              </w:rPr>
              <w:t>30</w:t>
            </w:r>
            <w:r>
              <w:rPr>
                <w:rFonts w:hint="eastAsia"/>
                <w:sz w:val="24"/>
              </w:rPr>
              <w:t>人左右，生活垃圾产生量约</w:t>
            </w:r>
            <w:r>
              <w:rPr>
                <w:sz w:val="24"/>
              </w:rPr>
              <w:t>15kg/d</w:t>
            </w:r>
            <w:r>
              <w:rPr>
                <w:rFonts w:hint="eastAsia"/>
                <w:sz w:val="24"/>
              </w:rPr>
              <w:t>，在施工场地收集后由市政环卫统一清运。</w:t>
            </w:r>
          </w:p>
          <w:p w14:paraId="53D88A30">
            <w:pPr>
              <w:spacing w:line="360" w:lineRule="auto"/>
              <w:ind w:firstLine="482" w:firstLineChars="200"/>
              <w:rPr>
                <w:b/>
                <w:bCs/>
                <w:kern w:val="0"/>
                <w:sz w:val="24"/>
              </w:rPr>
            </w:pPr>
            <w:r>
              <w:rPr>
                <w:b/>
                <w:bCs/>
                <w:kern w:val="0"/>
                <w:sz w:val="24"/>
              </w:rPr>
              <w:t>5</w:t>
            </w:r>
            <w:r>
              <w:rPr>
                <w:rFonts w:hint="eastAsia"/>
                <w:b/>
                <w:bCs/>
                <w:kern w:val="0"/>
                <w:sz w:val="24"/>
              </w:rPr>
              <w:t>、生态环境保护措施</w:t>
            </w:r>
          </w:p>
          <w:p w14:paraId="6B84771B">
            <w:pPr>
              <w:pStyle w:val="109"/>
              <w:shd w:val="clear" w:color="auto" w:fill="auto"/>
              <w:ind w:firstLine="480"/>
            </w:pPr>
            <w:r>
              <w:rPr>
                <w:rFonts w:hint="eastAsia"/>
              </w:rPr>
              <w:t>由于本工程施工主要集中在用地红线内，且施工期打围作业，在采取堆土密目网覆盖、及时清运，雨天停止施工等措施，项目施工对生态环境影响较小。</w:t>
            </w:r>
          </w:p>
          <w:p w14:paraId="119FA537">
            <w:pPr>
              <w:spacing w:line="360" w:lineRule="auto"/>
              <w:ind w:firstLine="480" w:firstLineChars="200"/>
              <w:rPr>
                <w:kern w:val="0"/>
                <w:sz w:val="24"/>
              </w:rPr>
            </w:pPr>
            <w:r>
              <w:rPr>
                <w:rFonts w:hint="eastAsia"/>
                <w:kern w:val="0"/>
                <w:sz w:val="24"/>
              </w:rPr>
              <w:t>拟采取的生态防护和恢复措施：</w:t>
            </w:r>
          </w:p>
          <w:p w14:paraId="55E69FCE">
            <w:pPr>
              <w:snapToGrid w:val="0"/>
              <w:spacing w:line="360" w:lineRule="auto"/>
              <w:ind w:firstLine="480" w:firstLineChars="200"/>
              <w:rPr>
                <w:kern w:val="0"/>
                <w:sz w:val="24"/>
              </w:rPr>
            </w:pPr>
            <w:r>
              <w:rPr>
                <w:rFonts w:hint="eastAsia"/>
                <w:kern w:val="0"/>
                <w:sz w:val="24"/>
              </w:rPr>
              <w:t>（</w:t>
            </w:r>
            <w:r>
              <w:rPr>
                <w:kern w:val="0"/>
                <w:sz w:val="24"/>
              </w:rPr>
              <w:t>1</w:t>
            </w:r>
            <w:r>
              <w:rPr>
                <w:rFonts w:hint="eastAsia"/>
                <w:kern w:val="0"/>
                <w:sz w:val="24"/>
              </w:rPr>
              <w:t>）工程设计期</w:t>
            </w:r>
          </w:p>
          <w:p w14:paraId="434BAC1A">
            <w:pPr>
              <w:snapToGrid w:val="0"/>
              <w:spacing w:line="360" w:lineRule="auto"/>
              <w:ind w:firstLine="480" w:firstLineChars="200"/>
              <w:rPr>
                <w:kern w:val="0"/>
                <w:sz w:val="24"/>
              </w:rPr>
            </w:pPr>
            <w:r>
              <w:rPr>
                <w:rFonts w:hint="eastAsia"/>
                <w:kern w:val="0"/>
                <w:sz w:val="24"/>
              </w:rPr>
              <w:t>本工程施工临时占地主要采取施工场地围栏、防尘网遮盖等工程措施。</w:t>
            </w:r>
          </w:p>
          <w:p w14:paraId="6F881670">
            <w:pPr>
              <w:spacing w:line="360" w:lineRule="auto"/>
              <w:ind w:firstLine="480" w:firstLineChars="200"/>
              <w:rPr>
                <w:kern w:val="0"/>
                <w:sz w:val="24"/>
              </w:rPr>
            </w:pPr>
            <w:r>
              <w:rPr>
                <w:rFonts w:hint="eastAsia"/>
                <w:kern w:val="0"/>
                <w:sz w:val="24"/>
              </w:rPr>
              <w:t>（</w:t>
            </w:r>
            <w:r>
              <w:rPr>
                <w:kern w:val="0"/>
                <w:sz w:val="24"/>
              </w:rPr>
              <w:t>2</w:t>
            </w:r>
            <w:r>
              <w:rPr>
                <w:rFonts w:hint="eastAsia"/>
                <w:kern w:val="0"/>
                <w:sz w:val="24"/>
              </w:rPr>
              <w:t>）施工准备期</w:t>
            </w:r>
          </w:p>
          <w:p w14:paraId="2DB3CD2E">
            <w:pPr>
              <w:spacing w:line="360" w:lineRule="auto"/>
              <w:ind w:firstLine="480" w:firstLineChars="200"/>
              <w:rPr>
                <w:kern w:val="0"/>
                <w:sz w:val="24"/>
              </w:rPr>
            </w:pPr>
            <w:r>
              <w:rPr>
                <w:rFonts w:hint="eastAsia"/>
                <w:kern w:val="0"/>
                <w:sz w:val="24"/>
              </w:rPr>
              <w:t>施工前对施工人员广泛宣传动植物保护的法律法规与政策，增强他们对生态环境的保护意识，避免对植被进行随意破坏。</w:t>
            </w:r>
          </w:p>
          <w:p w14:paraId="4DB21075">
            <w:pPr>
              <w:spacing w:line="360" w:lineRule="auto"/>
              <w:ind w:firstLine="480" w:firstLineChars="200"/>
              <w:rPr>
                <w:kern w:val="0"/>
                <w:sz w:val="24"/>
              </w:rPr>
            </w:pPr>
            <w:r>
              <w:rPr>
                <w:rFonts w:hint="eastAsia"/>
                <w:kern w:val="0"/>
                <w:sz w:val="24"/>
              </w:rPr>
              <w:t>（</w:t>
            </w:r>
            <w:r>
              <w:rPr>
                <w:kern w:val="0"/>
                <w:sz w:val="24"/>
              </w:rPr>
              <w:t>3</w:t>
            </w:r>
            <w:r>
              <w:rPr>
                <w:rFonts w:hint="eastAsia"/>
                <w:kern w:val="0"/>
                <w:sz w:val="24"/>
              </w:rPr>
              <w:t>）施工期</w:t>
            </w:r>
          </w:p>
          <w:p w14:paraId="40FD19AF">
            <w:pPr>
              <w:spacing w:line="360" w:lineRule="auto"/>
              <w:ind w:firstLine="480" w:firstLineChars="200"/>
              <w:rPr>
                <w:kern w:val="0"/>
                <w:sz w:val="24"/>
              </w:rPr>
            </w:pPr>
            <w:r>
              <w:rPr>
                <w:rFonts w:hint="eastAsia"/>
                <w:kern w:val="0"/>
                <w:sz w:val="24"/>
              </w:rPr>
              <w:t>①严格控制施工作业带区域，尽量减少临时占地；合理安排施工方式，减少土地裸露时间。</w:t>
            </w:r>
          </w:p>
          <w:p w14:paraId="6D27F83A">
            <w:pPr>
              <w:pStyle w:val="125"/>
              <w:rPr>
                <w:color w:val="auto"/>
              </w:rPr>
            </w:pPr>
            <w:r>
              <w:rPr>
                <w:rFonts w:hint="eastAsia" w:ascii="Cambria Math" w:hAnsi="Cambria Math" w:cs="Cambria Math"/>
                <w:color w:val="auto"/>
              </w:rPr>
              <w:t>②</w:t>
            </w:r>
            <w:r>
              <w:rPr>
                <w:rFonts w:hint="eastAsia"/>
                <w:color w:val="auto"/>
              </w:rPr>
              <w:t>临时堆土场设置拦挡、遮盖措施，避免雨水冲刷造成水土流失。</w:t>
            </w:r>
          </w:p>
          <w:p w14:paraId="0A44C935">
            <w:pPr>
              <w:spacing w:line="360" w:lineRule="auto"/>
              <w:ind w:firstLine="480" w:firstLineChars="200"/>
              <w:rPr>
                <w:kern w:val="0"/>
                <w:sz w:val="24"/>
              </w:rPr>
            </w:pPr>
            <w:r>
              <w:rPr>
                <w:rFonts w:hint="eastAsia" w:ascii="Cambria Math" w:hAnsi="Cambria Math" w:cs="Cambria Math"/>
                <w:snapToGrid w:val="0"/>
                <w:sz w:val="24"/>
              </w:rPr>
              <w:t>③</w:t>
            </w:r>
            <w:r>
              <w:rPr>
                <w:rFonts w:hint="eastAsia"/>
                <w:kern w:val="0"/>
                <w:sz w:val="24"/>
              </w:rPr>
              <w:t>施工过程中对植被应加强保护、严格管理，严禁乱垦、乱挖、乱占和其他破坏植被的行为，对永久占地造成的植被破坏。</w:t>
            </w:r>
          </w:p>
          <w:p w14:paraId="32CDE1C8">
            <w:pPr>
              <w:spacing w:line="360" w:lineRule="auto"/>
              <w:ind w:firstLine="480" w:firstLineChars="200"/>
              <w:rPr>
                <w:kern w:val="0"/>
                <w:sz w:val="24"/>
              </w:rPr>
            </w:pPr>
            <w:r>
              <w:rPr>
                <w:rFonts w:hint="eastAsia"/>
                <w:kern w:val="0"/>
                <w:sz w:val="24"/>
              </w:rPr>
              <w:t>④基础开挖时，分层开挖，进行表土剥离，将表土和熟化土分开堆放，分层回填，以便施工结束后尽快恢复植被。</w:t>
            </w:r>
          </w:p>
          <w:p w14:paraId="2A3EBCF2">
            <w:pPr>
              <w:spacing w:line="360" w:lineRule="auto"/>
              <w:ind w:firstLine="480" w:firstLineChars="200"/>
              <w:rPr>
                <w:sz w:val="24"/>
              </w:rPr>
            </w:pPr>
            <w:r>
              <w:rPr>
                <w:rFonts w:hint="eastAsia"/>
                <w:snapToGrid w:val="0"/>
                <w:sz w:val="24"/>
              </w:rPr>
              <w:t>⑤</w:t>
            </w:r>
            <w:r>
              <w:rPr>
                <w:rFonts w:hint="eastAsia"/>
                <w:kern w:val="0"/>
                <w:sz w:val="24"/>
              </w:rPr>
              <w:t>施工结束后及时清理现场，做到</w:t>
            </w:r>
            <w:r>
              <w:rPr>
                <w:kern w:val="0"/>
                <w:sz w:val="24"/>
              </w:rPr>
              <w:t>“</w:t>
            </w:r>
            <w:r>
              <w:rPr>
                <w:rFonts w:hint="eastAsia"/>
                <w:kern w:val="0"/>
                <w:sz w:val="24"/>
              </w:rPr>
              <w:t>工完、料尽、场地清</w:t>
            </w:r>
            <w:r>
              <w:rPr>
                <w:kern w:val="0"/>
                <w:sz w:val="24"/>
              </w:rPr>
              <w:t>”</w:t>
            </w:r>
            <w:r>
              <w:rPr>
                <w:rFonts w:hint="eastAsia"/>
                <w:sz w:val="24"/>
              </w:rPr>
              <w:t>。</w:t>
            </w:r>
          </w:p>
          <w:p w14:paraId="7016F0B4">
            <w:pPr>
              <w:pStyle w:val="11"/>
              <w:numPr>
                <w:ilvl w:val="0"/>
                <w:numId w:val="0"/>
              </w:numPr>
              <w:spacing w:after="0" w:line="360" w:lineRule="auto"/>
              <w:ind w:firstLine="480" w:firstLineChars="200"/>
              <w:rPr>
                <w:color w:val="auto"/>
                <w:spacing w:val="-2"/>
              </w:rPr>
            </w:pPr>
            <w:r>
              <w:rPr>
                <w:rFonts w:hint="eastAsia"/>
                <w:snapToGrid w:val="0"/>
                <w:color w:val="auto"/>
              </w:rPr>
              <w:t>⑥生态补偿措施：</w:t>
            </w:r>
            <w:r>
              <w:rPr>
                <w:rFonts w:hint="eastAsia"/>
                <w:color w:val="auto"/>
              </w:rPr>
              <w:t>对于砍伐的树木在区域内其他地方实行“砍一种一”的补偿措施，种植植物为区域内现有植物，严禁引进外来物种</w:t>
            </w:r>
            <w:r>
              <w:rPr>
                <w:rFonts w:hint="eastAsia"/>
                <w:color w:val="auto"/>
                <w:spacing w:val="-2"/>
              </w:rPr>
              <w:t>。</w:t>
            </w:r>
          </w:p>
          <w:p w14:paraId="49A5DF07">
            <w:pPr>
              <w:pStyle w:val="11"/>
              <w:numPr>
                <w:ilvl w:val="0"/>
                <w:numId w:val="0"/>
              </w:numPr>
              <w:spacing w:after="0" w:line="360" w:lineRule="auto"/>
              <w:ind w:firstLine="480" w:firstLineChars="200"/>
              <w:rPr>
                <w:color w:val="auto"/>
              </w:rPr>
            </w:pPr>
            <w:r>
              <w:rPr>
                <w:rFonts w:hint="eastAsia"/>
                <w:snapToGrid w:val="0"/>
                <w:color w:val="auto"/>
                <w:szCs w:val="24"/>
              </w:rPr>
              <w:t>⑦</w:t>
            </w:r>
            <w:r>
              <w:rPr>
                <w:rFonts w:hint="eastAsia"/>
                <w:snapToGrid w:val="0"/>
                <w:color w:val="auto"/>
              </w:rPr>
              <w:t>材</w:t>
            </w:r>
            <w:r>
              <w:rPr>
                <w:rFonts w:hint="eastAsia"/>
                <w:color w:val="auto"/>
              </w:rPr>
              <w:t>料运输过程中，运输道路应充分利用现有公路。材料运至施工场地后，应合理布置堆放场地，减少对对植被的占压。</w:t>
            </w:r>
          </w:p>
        </w:tc>
      </w:tr>
      <w:tr w14:paraId="436152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3" w:type="pct"/>
            <w:tcMar>
              <w:left w:w="28" w:type="dxa"/>
              <w:right w:w="28" w:type="dxa"/>
            </w:tcMar>
            <w:vAlign w:val="center"/>
          </w:tcPr>
          <w:p w14:paraId="0DFBEBC0">
            <w:pPr>
              <w:pStyle w:val="29"/>
              <w:ind w:firstLine="0" w:firstLineChars="0"/>
              <w:jc w:val="center"/>
            </w:pPr>
            <w:r>
              <w:rPr>
                <w:rFonts w:hint="eastAsia"/>
              </w:rPr>
              <w:t>运营期生态保护措施</w:t>
            </w:r>
          </w:p>
        </w:tc>
        <w:tc>
          <w:tcPr>
            <w:tcW w:w="4656" w:type="pct"/>
            <w:vAlign w:val="center"/>
          </w:tcPr>
          <w:p w14:paraId="3B140E4A">
            <w:pPr>
              <w:spacing w:line="360" w:lineRule="auto"/>
              <w:ind w:firstLine="482" w:firstLineChars="200"/>
              <w:rPr>
                <w:b/>
                <w:bCs/>
                <w:sz w:val="24"/>
              </w:rPr>
            </w:pPr>
            <w:r>
              <w:rPr>
                <w:b/>
                <w:bCs/>
                <w:sz w:val="24"/>
              </w:rPr>
              <w:t>1</w:t>
            </w:r>
            <w:r>
              <w:rPr>
                <w:rFonts w:hint="eastAsia"/>
                <w:b/>
                <w:bCs/>
                <w:sz w:val="24"/>
              </w:rPr>
              <w:t>、生态保护措施</w:t>
            </w:r>
          </w:p>
          <w:p w14:paraId="5B1A8E2E">
            <w:pPr>
              <w:spacing w:line="360" w:lineRule="auto"/>
              <w:ind w:firstLine="480" w:firstLineChars="200"/>
              <w:rPr>
                <w:sz w:val="24"/>
              </w:rPr>
            </w:pPr>
            <w:r>
              <w:rPr>
                <w:rFonts w:hint="eastAsia"/>
                <w:sz w:val="24"/>
              </w:rPr>
              <w:t>项目本身运营期间对周边生态环境无影响。施工结束后，对施工临时占地损坏的植被进行恢复，恢复植被应当为当地物种。</w:t>
            </w:r>
          </w:p>
          <w:p w14:paraId="6538A735">
            <w:pPr>
              <w:spacing w:line="360" w:lineRule="auto"/>
              <w:ind w:firstLine="482" w:firstLineChars="200"/>
              <w:rPr>
                <w:b/>
                <w:bCs/>
                <w:sz w:val="24"/>
              </w:rPr>
            </w:pPr>
            <w:r>
              <w:rPr>
                <w:b/>
                <w:bCs/>
                <w:sz w:val="24"/>
              </w:rPr>
              <w:t>2</w:t>
            </w:r>
            <w:r>
              <w:rPr>
                <w:rFonts w:hint="eastAsia"/>
                <w:b/>
                <w:bCs/>
                <w:sz w:val="24"/>
              </w:rPr>
              <w:t>、电磁环境保护措施</w:t>
            </w:r>
          </w:p>
          <w:p w14:paraId="1DDC0DCC">
            <w:pPr>
              <w:spacing w:line="360" w:lineRule="auto"/>
              <w:ind w:firstLine="480" w:firstLineChars="200"/>
              <w:rPr>
                <w:sz w:val="24"/>
              </w:rPr>
            </w:pPr>
            <w:r>
              <w:rPr>
                <w:rFonts w:hint="eastAsia"/>
                <w:sz w:val="24"/>
              </w:rPr>
              <w:t>（</w:t>
            </w:r>
            <w:r>
              <w:rPr>
                <w:sz w:val="24"/>
              </w:rPr>
              <w:t>1</w:t>
            </w:r>
            <w:r>
              <w:rPr>
                <w:rFonts w:hint="eastAsia"/>
                <w:sz w:val="24"/>
              </w:rPr>
              <w:t>）站内平行跨导线相序排列避免同相布置，减少同相母线交叉与相同转角布置，降低工频电场强度和工频磁感应强度。</w:t>
            </w:r>
          </w:p>
          <w:p w14:paraId="55704AA0">
            <w:pPr>
              <w:spacing w:line="360" w:lineRule="auto"/>
              <w:ind w:firstLine="480" w:firstLineChars="200"/>
              <w:rPr>
                <w:sz w:val="24"/>
              </w:rPr>
            </w:pPr>
            <w:r>
              <w:rPr>
                <w:rFonts w:hint="eastAsia"/>
                <w:sz w:val="24"/>
              </w:rPr>
              <w:t>（</w:t>
            </w:r>
            <w:r>
              <w:rPr>
                <w:sz w:val="24"/>
              </w:rPr>
              <w:t>2</w:t>
            </w:r>
            <w:r>
              <w:rPr>
                <w:rFonts w:hint="eastAsia"/>
                <w:sz w:val="24"/>
              </w:rPr>
              <w:t>）配电装置采用</w:t>
            </w:r>
            <w:r>
              <w:rPr>
                <w:sz w:val="24"/>
              </w:rPr>
              <w:t>GIS</w:t>
            </w:r>
            <w:r>
              <w:rPr>
                <w:rFonts w:hint="eastAsia"/>
                <w:sz w:val="24"/>
              </w:rPr>
              <w:t>组合电器，将</w:t>
            </w:r>
            <w:r>
              <w:rPr>
                <w:sz w:val="24"/>
              </w:rPr>
              <w:t>35kV</w:t>
            </w:r>
            <w:r>
              <w:rPr>
                <w:rFonts w:hint="eastAsia"/>
                <w:sz w:val="24"/>
              </w:rPr>
              <w:t>开关、连线母线组合密封起来，可以大大减少占地，并且对工频电场、工频磁场有很好的屏蔽作用。</w:t>
            </w:r>
          </w:p>
          <w:p w14:paraId="2CE1ACEE">
            <w:pPr>
              <w:spacing w:line="360" w:lineRule="auto"/>
              <w:ind w:firstLine="480" w:firstLineChars="200"/>
              <w:rPr>
                <w:sz w:val="24"/>
              </w:rPr>
            </w:pPr>
            <w:r>
              <w:rPr>
                <w:rFonts w:hint="eastAsia"/>
                <w:sz w:val="24"/>
              </w:rPr>
              <w:t>（</w:t>
            </w:r>
            <w:r>
              <w:rPr>
                <w:sz w:val="24"/>
              </w:rPr>
              <w:t>3</w:t>
            </w:r>
            <w:r>
              <w:rPr>
                <w:rFonts w:hint="eastAsia"/>
                <w:sz w:val="24"/>
              </w:rPr>
              <w:t>）将升压站内电气设备接地，以减小工频电场、工频磁场对周边环境的影响。</w:t>
            </w:r>
          </w:p>
          <w:p w14:paraId="756AE65B">
            <w:pPr>
              <w:spacing w:line="360" w:lineRule="auto"/>
              <w:ind w:firstLine="482" w:firstLineChars="200"/>
              <w:rPr>
                <w:b/>
                <w:bCs/>
                <w:sz w:val="24"/>
              </w:rPr>
            </w:pPr>
            <w:r>
              <w:rPr>
                <w:rFonts w:hint="eastAsia"/>
                <w:b/>
                <w:bCs/>
                <w:sz w:val="24"/>
              </w:rPr>
              <w:t>3、声环境保护措施</w:t>
            </w:r>
          </w:p>
          <w:p w14:paraId="452B1ED8">
            <w:pPr>
              <w:spacing w:line="360" w:lineRule="auto"/>
              <w:ind w:firstLine="480" w:firstLineChars="200"/>
              <w:rPr>
                <w:sz w:val="24"/>
              </w:rPr>
            </w:pPr>
            <w:r>
              <w:rPr>
                <w:rFonts w:hint="eastAsia"/>
                <w:sz w:val="24"/>
              </w:rPr>
              <w:t>为了更好地降低建设项目对周围声环境的影响，建议在设计中应落实以下噪声防止措施，以降低对厂界外噪声的影响。</w:t>
            </w:r>
          </w:p>
          <w:p w14:paraId="61BC5DE9">
            <w:pPr>
              <w:spacing w:line="360" w:lineRule="auto"/>
              <w:ind w:firstLine="480" w:firstLineChars="200"/>
              <w:rPr>
                <w:sz w:val="24"/>
              </w:rPr>
            </w:pPr>
            <w:r>
              <w:rPr>
                <w:rFonts w:hint="eastAsia"/>
                <w:sz w:val="24"/>
              </w:rPr>
              <w:t>（</w:t>
            </w:r>
            <w:r>
              <w:rPr>
                <w:sz w:val="24"/>
              </w:rPr>
              <w:t>1</w:t>
            </w:r>
            <w:r>
              <w:rPr>
                <w:rFonts w:hint="eastAsia"/>
                <w:sz w:val="24"/>
              </w:rPr>
              <w:t>）在设备选型上首先选用符合国家噪声标准的设备加强设备的运行管理；</w:t>
            </w:r>
          </w:p>
          <w:p w14:paraId="4992BADA">
            <w:pPr>
              <w:spacing w:line="360" w:lineRule="auto"/>
              <w:ind w:firstLine="480" w:firstLineChars="200"/>
              <w:rPr>
                <w:sz w:val="24"/>
              </w:rPr>
            </w:pPr>
            <w:r>
              <w:rPr>
                <w:rFonts w:hint="eastAsia"/>
                <w:sz w:val="24"/>
              </w:rPr>
              <w:t>（</w:t>
            </w:r>
            <w:r>
              <w:rPr>
                <w:sz w:val="24"/>
              </w:rPr>
              <w:t>2</w:t>
            </w:r>
            <w:r>
              <w:rPr>
                <w:rFonts w:hint="eastAsia"/>
                <w:sz w:val="24"/>
              </w:rPr>
              <w:t>）储能电站周围种植绿植，减弱噪声传播效果；</w:t>
            </w:r>
          </w:p>
          <w:p w14:paraId="7234C6AD">
            <w:pPr>
              <w:spacing w:line="360" w:lineRule="auto"/>
              <w:ind w:firstLine="480" w:firstLineChars="200"/>
              <w:rPr>
                <w:sz w:val="24"/>
              </w:rPr>
            </w:pPr>
            <w:r>
              <w:rPr>
                <w:rFonts w:hint="eastAsia"/>
                <w:sz w:val="24"/>
              </w:rPr>
              <w:t>（</w:t>
            </w:r>
            <w:r>
              <w:rPr>
                <w:sz w:val="24"/>
              </w:rPr>
              <w:t>3</w:t>
            </w:r>
            <w:r>
              <w:rPr>
                <w:rFonts w:hint="eastAsia"/>
                <w:sz w:val="24"/>
              </w:rPr>
              <w:t>）在主变压器基础垫衬减振材料以达到减振降噪目的；</w:t>
            </w:r>
          </w:p>
          <w:p w14:paraId="1EFA47FB">
            <w:pPr>
              <w:spacing w:line="360" w:lineRule="auto"/>
              <w:ind w:firstLine="480" w:firstLineChars="200"/>
              <w:rPr>
                <w:sz w:val="24"/>
              </w:rPr>
            </w:pPr>
            <w:r>
              <w:rPr>
                <w:rFonts w:hint="eastAsia"/>
                <w:sz w:val="24"/>
              </w:rPr>
              <w:t>（</w:t>
            </w:r>
            <w:r>
              <w:rPr>
                <w:sz w:val="24"/>
              </w:rPr>
              <w:t>4</w:t>
            </w:r>
            <w:r>
              <w:rPr>
                <w:rFonts w:hint="eastAsia"/>
                <w:sz w:val="24"/>
              </w:rPr>
              <w:t>）储能电站合理布置电气总平面，主要噪声源远离厂界。</w:t>
            </w:r>
          </w:p>
          <w:p w14:paraId="7FD9F977">
            <w:pPr>
              <w:spacing w:line="360" w:lineRule="auto"/>
              <w:ind w:firstLine="482" w:firstLineChars="200"/>
              <w:rPr>
                <w:b/>
                <w:bCs/>
                <w:sz w:val="24"/>
              </w:rPr>
            </w:pPr>
            <w:r>
              <w:rPr>
                <w:b/>
                <w:bCs/>
                <w:sz w:val="24"/>
              </w:rPr>
              <w:t>4</w:t>
            </w:r>
            <w:r>
              <w:rPr>
                <w:rFonts w:hint="eastAsia"/>
                <w:b/>
                <w:bCs/>
                <w:sz w:val="24"/>
              </w:rPr>
              <w:t>、地表水环境保护措施</w:t>
            </w:r>
          </w:p>
          <w:p w14:paraId="6DE47789">
            <w:pPr>
              <w:spacing w:line="360" w:lineRule="auto"/>
              <w:ind w:firstLine="480" w:firstLineChars="200"/>
              <w:rPr>
                <w:sz w:val="24"/>
              </w:rPr>
            </w:pPr>
            <w:r>
              <w:rPr>
                <w:rFonts w:hint="eastAsia"/>
                <w:sz w:val="24"/>
              </w:rPr>
              <w:t>项目设置</w:t>
            </w:r>
            <w:r>
              <w:rPr>
                <w:sz w:val="24"/>
              </w:rPr>
              <w:t>10</w:t>
            </w:r>
            <w:r>
              <w:rPr>
                <w:rFonts w:hint="eastAsia"/>
                <w:sz w:val="24"/>
              </w:rPr>
              <w:t>名值守人员常驻站内。根据广东省《用水定额第</w:t>
            </w:r>
            <w:r>
              <w:rPr>
                <w:sz w:val="24"/>
              </w:rPr>
              <w:t>3</w:t>
            </w:r>
            <w:r>
              <w:rPr>
                <w:rFonts w:hint="eastAsia"/>
                <w:sz w:val="24"/>
              </w:rPr>
              <w:t>部分：生活》（</w:t>
            </w:r>
            <w:r>
              <w:rPr>
                <w:sz w:val="24"/>
              </w:rPr>
              <w:t>DB44/T1461.3-2021</w:t>
            </w:r>
            <w:r>
              <w:rPr>
                <w:rFonts w:hint="eastAsia"/>
                <w:sz w:val="24"/>
              </w:rPr>
              <w:t>），办公楼无食堂和浴室生活用水定额按先进值</w:t>
            </w:r>
            <w:r>
              <w:rPr>
                <w:sz w:val="24"/>
              </w:rPr>
              <w:t>10m</w:t>
            </w:r>
            <w:r>
              <w:rPr>
                <w:sz w:val="24"/>
                <w:vertAlign w:val="superscript"/>
              </w:rPr>
              <w:t>3</w:t>
            </w:r>
            <w:r>
              <w:rPr>
                <w:sz w:val="24"/>
              </w:rPr>
              <w:t>/</w:t>
            </w:r>
            <w:r>
              <w:rPr>
                <w:rFonts w:hint="eastAsia"/>
                <w:sz w:val="24"/>
              </w:rPr>
              <w:t>人</w:t>
            </w:r>
            <w:r>
              <w:rPr>
                <w:sz w:val="24"/>
              </w:rPr>
              <w:t>·a</w:t>
            </w:r>
            <w:r>
              <w:rPr>
                <w:rFonts w:hint="eastAsia"/>
                <w:sz w:val="24"/>
              </w:rPr>
              <w:t>计算。员工办公生活用水量为</w:t>
            </w:r>
            <w:r>
              <w:rPr>
                <w:sz w:val="24"/>
              </w:rPr>
              <w:t>80m</w:t>
            </w:r>
            <w:r>
              <w:rPr>
                <w:sz w:val="24"/>
                <w:vertAlign w:val="superscript"/>
              </w:rPr>
              <w:t>3</w:t>
            </w:r>
            <w:r>
              <w:rPr>
                <w:sz w:val="24"/>
              </w:rPr>
              <w:t>/a</w:t>
            </w:r>
            <w:r>
              <w:rPr>
                <w:rFonts w:hint="eastAsia"/>
                <w:sz w:val="24"/>
              </w:rPr>
              <w:t>，排污系数取</w:t>
            </w:r>
            <w:r>
              <w:rPr>
                <w:sz w:val="24"/>
              </w:rPr>
              <w:t>0.8</w:t>
            </w:r>
            <w:r>
              <w:rPr>
                <w:rFonts w:hint="eastAsia"/>
                <w:sz w:val="24"/>
              </w:rPr>
              <w:t>，则生活污水产生量为</w:t>
            </w:r>
            <w:r>
              <w:rPr>
                <w:sz w:val="24"/>
              </w:rPr>
              <w:t>80m</w:t>
            </w:r>
            <w:r>
              <w:rPr>
                <w:sz w:val="24"/>
                <w:vertAlign w:val="superscript"/>
              </w:rPr>
              <w:t>3</w:t>
            </w:r>
            <w:r>
              <w:rPr>
                <w:sz w:val="24"/>
              </w:rPr>
              <w:t>/a</w:t>
            </w:r>
            <w:r>
              <w:rPr>
                <w:rFonts w:hint="eastAsia"/>
                <w:sz w:val="24"/>
              </w:rPr>
              <w:t>。项目员工生活污水三级化粪池预处理后，排入博罗县石湾镇大牛垒生活污水处理厂处理后达标排放。</w:t>
            </w:r>
          </w:p>
          <w:p w14:paraId="40BAFBA9">
            <w:pPr>
              <w:spacing w:line="360" w:lineRule="auto"/>
              <w:ind w:firstLine="482" w:firstLineChars="200"/>
              <w:rPr>
                <w:b/>
                <w:bCs/>
                <w:sz w:val="24"/>
              </w:rPr>
            </w:pPr>
            <w:r>
              <w:rPr>
                <w:rFonts w:hint="eastAsia"/>
                <w:b/>
                <w:bCs/>
                <w:sz w:val="24"/>
              </w:rPr>
              <w:t>5、固体废物环境保护措施</w:t>
            </w:r>
          </w:p>
          <w:p w14:paraId="0EC2AE69">
            <w:pPr>
              <w:spacing w:line="360" w:lineRule="auto"/>
              <w:ind w:firstLine="470" w:firstLineChars="196"/>
              <w:rPr>
                <w:sz w:val="24"/>
              </w:rPr>
            </w:pPr>
            <w:r>
              <w:rPr>
                <w:rFonts w:hint="eastAsia"/>
                <w:sz w:val="24"/>
              </w:rPr>
              <w:t>营运期固废主要为废磷酸铁锂储能电池、废旧铅酸蓄电池和生活垃圾。废磷酸铁锂储能电池交由厂家回收处理，厂区内不设置暂存场所；生活垃圾集中收集后交由环卫部门妥善处理。厂内设危废品仓库，待铅酸蓄电池使用寿命结束后，更换的电池应暂存在危废品仓库，定期交由有危险废物处置资质的单位回收处置。铅酸蓄电池日常管理要求：</w:t>
            </w:r>
          </w:p>
          <w:p w14:paraId="3AE5672D">
            <w:pPr>
              <w:spacing w:line="360" w:lineRule="auto"/>
              <w:ind w:firstLine="470" w:firstLineChars="196"/>
              <w:rPr>
                <w:sz w:val="24"/>
              </w:rPr>
            </w:pPr>
            <w:r>
              <w:rPr>
                <w:rFonts w:hint="eastAsia"/>
                <w:sz w:val="24"/>
              </w:rPr>
              <w:t>a.废铅蓄电池应存放于耐腐蚀、具有防渗漏措施的托盘或容器中；</w:t>
            </w:r>
          </w:p>
          <w:p w14:paraId="45E8507C">
            <w:pPr>
              <w:spacing w:line="360" w:lineRule="auto"/>
              <w:ind w:firstLine="470" w:firstLineChars="196"/>
              <w:rPr>
                <w:sz w:val="24"/>
              </w:rPr>
            </w:pPr>
            <w:r>
              <w:rPr>
                <w:rFonts w:hint="eastAsia"/>
                <w:sz w:val="24"/>
              </w:rPr>
              <w:t>b.禁止将废铅蓄电池堆放在露天场地，避免废铅蓄电池遭受雨淋水浸；</w:t>
            </w:r>
          </w:p>
          <w:p w14:paraId="795E5D68">
            <w:pPr>
              <w:spacing w:line="360" w:lineRule="auto"/>
              <w:ind w:firstLine="470" w:firstLineChars="196"/>
              <w:rPr>
                <w:sz w:val="24"/>
              </w:rPr>
            </w:pPr>
            <w:r>
              <w:rPr>
                <w:rFonts w:hint="eastAsia"/>
                <w:sz w:val="24"/>
              </w:rPr>
              <w:t>c.应制定危险废物管理计划和管理台账，危险废物管理计划制定内容应包括单位基本信息、危险废物产生情况信息、危险废物转移情况信息，危险废物管理台账上须注明危险废物的名称、来源、数量、特性和包装容器的类别、入库日期、堆放区域、废物出库日期及接收单位名称，危险废物管理台账原则上应存档5年以上；</w:t>
            </w:r>
          </w:p>
          <w:p w14:paraId="6DFC761F">
            <w:pPr>
              <w:spacing w:line="360" w:lineRule="auto"/>
              <w:ind w:firstLine="470" w:firstLineChars="196"/>
              <w:rPr>
                <w:sz w:val="24"/>
              </w:rPr>
            </w:pPr>
            <w:r>
              <w:rPr>
                <w:rFonts w:hint="eastAsia"/>
                <w:sz w:val="24"/>
              </w:rPr>
              <w:t>d.必须定期对所贮存的危险废物包装容器及贮存设施进行检查，发现破损，应及时采取措施清理更换；</w:t>
            </w:r>
          </w:p>
          <w:p w14:paraId="1C717ADA">
            <w:pPr>
              <w:spacing w:line="360" w:lineRule="auto"/>
              <w:ind w:firstLine="470" w:firstLineChars="196"/>
              <w:rPr>
                <w:sz w:val="24"/>
              </w:rPr>
            </w:pPr>
            <w:r>
              <w:rPr>
                <w:rFonts w:hint="eastAsia"/>
                <w:sz w:val="24"/>
              </w:rPr>
              <w:t>e.危险废物暂存间必须按《环境保护图形标志-固体废物贮存（处置）场》（GB15562.2-1995）及其修改单的规定设置标志；f.盛装危险废物的贮存容器上必须粘贴《危险废物贮存污染控制标准》（GB18597-2023）附录A所示的标签。</w:t>
            </w:r>
          </w:p>
          <w:p w14:paraId="4D2C2CDA">
            <w:pPr>
              <w:spacing w:line="360" w:lineRule="auto"/>
              <w:ind w:firstLine="482" w:firstLineChars="200"/>
              <w:rPr>
                <w:b/>
                <w:bCs/>
                <w:sz w:val="24"/>
              </w:rPr>
            </w:pPr>
            <w:r>
              <w:rPr>
                <w:rFonts w:hint="eastAsia"/>
                <w:b/>
                <w:bCs/>
                <w:sz w:val="24"/>
              </w:rPr>
              <w:t>6、地下水和土壤环境保护措施</w:t>
            </w:r>
          </w:p>
          <w:p w14:paraId="5FE58E09">
            <w:pPr>
              <w:spacing w:line="360" w:lineRule="auto"/>
              <w:ind w:firstLine="480" w:firstLineChars="200"/>
              <w:rPr>
                <w:sz w:val="24"/>
              </w:rPr>
            </w:pPr>
            <w:r>
              <w:rPr>
                <w:rFonts w:hint="eastAsia"/>
                <w:sz w:val="24"/>
              </w:rPr>
              <w:t>变压器事故油先进入主变正下方集油坑，然后通过排油管引入事故油池。事故油大部分回收利用，不能回收部分为危废，交由相应危废处理资质的单位处理。事故状态下渗流电解液，项目以电池簇为单位配置事故池，单个容量</w:t>
            </w:r>
            <w:r>
              <w:rPr>
                <w:sz w:val="24"/>
              </w:rPr>
              <w:t>1m</w:t>
            </w:r>
            <w:r>
              <w:rPr>
                <w:sz w:val="24"/>
                <w:vertAlign w:val="superscript"/>
              </w:rPr>
              <w:t>3</w:t>
            </w:r>
            <w:r>
              <w:rPr>
                <w:rFonts w:hint="eastAsia"/>
                <w:sz w:val="24"/>
              </w:rPr>
              <w:t>，共设置</w:t>
            </w:r>
            <w:r>
              <w:rPr>
                <w:sz w:val="24"/>
              </w:rPr>
              <w:t>9</w:t>
            </w:r>
            <w:r>
              <w:rPr>
                <w:rFonts w:hint="eastAsia"/>
                <w:sz w:val="24"/>
              </w:rPr>
              <w:t>个，收集后由有资质的单位回收利用。</w:t>
            </w:r>
          </w:p>
          <w:p w14:paraId="1E2FD65E">
            <w:pPr>
              <w:spacing w:line="360" w:lineRule="auto"/>
              <w:ind w:firstLine="470" w:firstLineChars="196"/>
              <w:rPr>
                <w:sz w:val="24"/>
              </w:rPr>
            </w:pPr>
            <w:r>
              <w:rPr>
                <w:rFonts w:hint="eastAsia"/>
                <w:sz w:val="24"/>
              </w:rPr>
              <w:t>为了尽可能减小对地下水和土壤环境的影响，项目的地下水和土壤污染防治措施和对策应坚持“源头控制、分区防治、污染监控、应急响应”的原则。因此，项目可从以下几方面来加强地下水和土壤影响防治措施：</w:t>
            </w:r>
          </w:p>
          <w:p w14:paraId="7D641079">
            <w:pPr>
              <w:spacing w:line="360" w:lineRule="auto"/>
              <w:ind w:firstLine="470" w:firstLineChars="196"/>
              <w:rPr>
                <w:sz w:val="24"/>
              </w:rPr>
            </w:pPr>
            <w:r>
              <w:rPr>
                <w:rFonts w:hint="eastAsia"/>
                <w:sz w:val="24"/>
              </w:rPr>
              <w:t>（</w:t>
            </w:r>
            <w:r>
              <w:rPr>
                <w:sz w:val="24"/>
              </w:rPr>
              <w:t>1</w:t>
            </w:r>
            <w:r>
              <w:rPr>
                <w:rFonts w:hint="eastAsia"/>
                <w:sz w:val="24"/>
              </w:rPr>
              <w:t>）源头控制措施</w:t>
            </w:r>
          </w:p>
          <w:p w14:paraId="531B5D51">
            <w:pPr>
              <w:spacing w:line="360" w:lineRule="auto"/>
              <w:ind w:firstLine="470" w:firstLineChars="196"/>
              <w:rPr>
                <w:sz w:val="24"/>
              </w:rPr>
            </w:pPr>
            <w:r>
              <w:rPr>
                <w:rFonts w:hint="eastAsia"/>
                <w:sz w:val="24"/>
              </w:rPr>
              <w:t>①减少污染物的排放量；</w:t>
            </w:r>
          </w:p>
          <w:p w14:paraId="4040D368">
            <w:pPr>
              <w:spacing w:line="360" w:lineRule="auto"/>
              <w:ind w:firstLine="470" w:firstLineChars="196"/>
              <w:rPr>
                <w:sz w:val="24"/>
              </w:rPr>
            </w:pPr>
            <w:r>
              <w:rPr>
                <w:rFonts w:hint="eastAsia"/>
                <w:sz w:val="24"/>
              </w:rPr>
              <w:t>②项目应根据国家现行相关规范加强环境管理，采取防止和降低主变压器油跑、冒、滴、漏的措施。正常生产过程中应加强巡检及时处理污染物跑、冒、滴、漏，同时应加强对防渗工程的检查，若发现防渗密封材料老化或损坏，应及时维修更换。</w:t>
            </w:r>
          </w:p>
          <w:p w14:paraId="71DADA10">
            <w:pPr>
              <w:spacing w:line="360" w:lineRule="auto"/>
              <w:ind w:firstLine="470" w:firstLineChars="196"/>
              <w:rPr>
                <w:sz w:val="24"/>
              </w:rPr>
            </w:pPr>
            <w:r>
              <w:rPr>
                <w:rFonts w:hint="eastAsia"/>
                <w:sz w:val="24"/>
              </w:rPr>
              <w:t>（</w:t>
            </w:r>
            <w:r>
              <w:rPr>
                <w:sz w:val="24"/>
              </w:rPr>
              <w:t>2</w:t>
            </w:r>
            <w:r>
              <w:rPr>
                <w:rFonts w:hint="eastAsia"/>
                <w:sz w:val="24"/>
              </w:rPr>
              <w:t>）分区防治措施</w:t>
            </w:r>
          </w:p>
          <w:p w14:paraId="43107423">
            <w:pPr>
              <w:spacing w:line="360" w:lineRule="auto"/>
              <w:ind w:firstLine="470" w:firstLineChars="196"/>
              <w:rPr>
                <w:sz w:val="24"/>
              </w:rPr>
            </w:pPr>
            <w:r>
              <w:rPr>
                <w:rFonts w:hint="eastAsia"/>
                <w:sz w:val="24"/>
              </w:rPr>
              <w:t>将</w:t>
            </w:r>
            <w:r>
              <w:rPr>
                <w:rFonts w:hint="eastAsia"/>
                <w:bCs/>
                <w:sz w:val="24"/>
              </w:rPr>
              <w:t>储能电站</w:t>
            </w:r>
            <w:r>
              <w:rPr>
                <w:rFonts w:hint="eastAsia"/>
                <w:sz w:val="24"/>
              </w:rPr>
              <w:t>内功能单元所处位置划分为重点防渗区、一般防渗区以及简单防渗区三类。将集油坑、事故油池、危废暂存间和蓄电池室划为重点防渗区，</w:t>
            </w:r>
            <w:r>
              <w:rPr>
                <w:rFonts w:hint="eastAsia"/>
                <w:kern w:val="0"/>
                <w:sz w:val="24"/>
              </w:rPr>
              <w:t>采用</w:t>
            </w:r>
            <w:r>
              <w:rPr>
                <w:rFonts w:hint="eastAsia" w:ascii="宋体" w:hAnsi="宋体" w:cs="宋体"/>
                <w:kern w:val="0"/>
                <w:sz w:val="24"/>
              </w:rPr>
              <w:t>防渗混凝土抹平，并铺设</w:t>
            </w:r>
            <w:r>
              <w:rPr>
                <w:rFonts w:eastAsia="Times New Roman"/>
                <w:kern w:val="0"/>
                <w:sz w:val="24"/>
              </w:rPr>
              <w:t>2mmHDPE</w:t>
            </w:r>
            <w:r>
              <w:rPr>
                <w:rFonts w:hint="eastAsia"/>
                <w:kern w:val="0"/>
                <w:sz w:val="24"/>
              </w:rPr>
              <w:t>或</w:t>
            </w:r>
            <w:r>
              <w:rPr>
                <w:kern w:val="0"/>
                <w:sz w:val="24"/>
              </w:rPr>
              <w:t>2mm</w:t>
            </w:r>
            <w:r>
              <w:rPr>
                <w:rFonts w:hint="eastAsia"/>
                <w:kern w:val="0"/>
                <w:sz w:val="24"/>
              </w:rPr>
              <w:t>厚其它人工材料，导油管采用钢管并在预埋套管处使用密封材料，确保各单元防渗层达到等效黏土防渗层Mb≥6.0m、渗透系数K≤10</w:t>
            </w:r>
            <w:r>
              <w:rPr>
                <w:kern w:val="0"/>
                <w:sz w:val="24"/>
                <w:vertAlign w:val="superscript"/>
              </w:rPr>
              <w:t>-7</w:t>
            </w:r>
            <w:r>
              <w:rPr>
                <w:kern w:val="0"/>
                <w:sz w:val="24"/>
              </w:rPr>
              <w:t>cm/s</w:t>
            </w:r>
            <w:r>
              <w:rPr>
                <w:rFonts w:hint="eastAsia"/>
                <w:kern w:val="0"/>
                <w:sz w:val="24"/>
              </w:rPr>
              <w:t>的要求；将消防小室及砂池、</w:t>
            </w:r>
            <w:r>
              <w:rPr>
                <w:rFonts w:hint="eastAsia"/>
                <w:bCs/>
                <w:sz w:val="24"/>
              </w:rPr>
              <w:t>化粪池</w:t>
            </w:r>
            <w:r>
              <w:rPr>
                <w:rFonts w:hint="eastAsia"/>
                <w:kern w:val="0"/>
                <w:sz w:val="24"/>
              </w:rPr>
              <w:t>划为一般防渗区，采用防渗混凝土抹平，确保各单元防渗层达到等效黏土防渗层Mb≥1.5m、渗透系数K≤10</w:t>
            </w:r>
            <w:r>
              <w:rPr>
                <w:kern w:val="0"/>
                <w:sz w:val="24"/>
                <w:vertAlign w:val="superscript"/>
              </w:rPr>
              <w:t>-7</w:t>
            </w:r>
            <w:r>
              <w:rPr>
                <w:kern w:val="0"/>
                <w:sz w:val="24"/>
              </w:rPr>
              <w:t>cm/s</w:t>
            </w:r>
            <w:r>
              <w:rPr>
                <w:rFonts w:hint="eastAsia"/>
                <w:kern w:val="0"/>
                <w:sz w:val="24"/>
              </w:rPr>
              <w:t>的要求；将配电楼、辅助用房、消防泵房的地面和站内道路划为简单防渗区，采用混凝土硬化地面。</w:t>
            </w:r>
          </w:p>
          <w:p w14:paraId="69C46844">
            <w:pPr>
              <w:pStyle w:val="29"/>
            </w:pPr>
            <w:r>
              <w:rPr>
                <w:rFonts w:hint="eastAsia"/>
              </w:rPr>
              <w:t>通过采取以上防渗措施，项目的运行不会对地下水、土壤环境造成不良影响。</w:t>
            </w:r>
          </w:p>
          <w:p w14:paraId="5290BA52">
            <w:pPr>
              <w:spacing w:line="360" w:lineRule="auto"/>
              <w:ind w:firstLine="482" w:firstLineChars="200"/>
              <w:rPr>
                <w:b/>
                <w:bCs/>
                <w:sz w:val="24"/>
              </w:rPr>
            </w:pPr>
            <w:r>
              <w:rPr>
                <w:b/>
                <w:bCs/>
                <w:sz w:val="24"/>
                <w:szCs w:val="20"/>
              </w:rPr>
              <w:t>7</w:t>
            </w:r>
            <w:r>
              <w:rPr>
                <w:rFonts w:hint="eastAsia"/>
                <w:b/>
                <w:bCs/>
                <w:sz w:val="24"/>
                <w:szCs w:val="20"/>
              </w:rPr>
              <w:t>、</w:t>
            </w:r>
            <w:r>
              <w:rPr>
                <w:rFonts w:hint="eastAsia"/>
                <w:b/>
                <w:bCs/>
                <w:sz w:val="24"/>
              </w:rPr>
              <w:t>环境风险防范措施及应急要求</w:t>
            </w:r>
          </w:p>
          <w:p w14:paraId="4B5AAE89">
            <w:pPr>
              <w:spacing w:line="360" w:lineRule="auto"/>
              <w:ind w:firstLine="482" w:firstLineChars="200"/>
              <w:rPr>
                <w:b/>
                <w:bCs/>
                <w:sz w:val="24"/>
              </w:rPr>
            </w:pPr>
            <w:r>
              <w:rPr>
                <w:rFonts w:hint="eastAsia"/>
                <w:b/>
                <w:bCs/>
                <w:sz w:val="24"/>
              </w:rPr>
              <w:t>（</w:t>
            </w:r>
            <w:r>
              <w:rPr>
                <w:b/>
                <w:bCs/>
                <w:sz w:val="24"/>
              </w:rPr>
              <w:t>1</w:t>
            </w:r>
            <w:r>
              <w:rPr>
                <w:rFonts w:hint="eastAsia"/>
                <w:b/>
                <w:bCs/>
                <w:sz w:val="24"/>
              </w:rPr>
              <w:t>）环境风险防范措施</w:t>
            </w:r>
          </w:p>
          <w:p w14:paraId="0C179811">
            <w:pPr>
              <w:spacing w:line="360" w:lineRule="auto"/>
              <w:ind w:firstLine="480" w:firstLineChars="200"/>
              <w:rPr>
                <w:sz w:val="24"/>
                <w:szCs w:val="20"/>
              </w:rPr>
            </w:pPr>
            <w:r>
              <w:rPr>
                <w:bCs/>
                <w:sz w:val="24"/>
              </w:rPr>
              <w:t>1</w:t>
            </w:r>
            <w:r>
              <w:rPr>
                <w:rFonts w:hint="eastAsia"/>
                <w:bCs/>
                <w:sz w:val="24"/>
              </w:rPr>
              <w:t>）</w:t>
            </w:r>
            <w:r>
              <w:rPr>
                <w:rFonts w:hint="eastAsia"/>
                <w:sz w:val="24"/>
                <w:szCs w:val="20"/>
              </w:rPr>
              <w:t>变压器下方设有储油坑，当出现事故时，变压器油先进入主变正下方集油坑，然后通过排油管引入事故油池。站内事故油池、排油管等设置均为地下布设，上面有混凝土盖板，站区内设有雨污分流系统。事故油池与升压站内雨水收集系统相互独立运行，不会出现变压器油污染环境事故发生。本升压站事故油池容积为</w:t>
            </w:r>
            <w:r>
              <w:rPr>
                <w:sz w:val="24"/>
                <w:szCs w:val="20"/>
              </w:rPr>
              <w:t>95m</w:t>
            </w:r>
            <w:r>
              <w:rPr>
                <w:sz w:val="24"/>
                <w:szCs w:val="20"/>
                <w:vertAlign w:val="superscript"/>
              </w:rPr>
              <w:t>3</w:t>
            </w:r>
            <w:r>
              <w:rPr>
                <w:rFonts w:hint="eastAsia"/>
                <w:sz w:val="24"/>
                <w:szCs w:val="20"/>
              </w:rPr>
              <w:t>，大于最大设备油量（</w:t>
            </w:r>
            <w:r>
              <w:rPr>
                <w:sz w:val="24"/>
                <w:szCs w:val="20"/>
              </w:rPr>
              <w:t>44.75m</w:t>
            </w:r>
            <w:r>
              <w:rPr>
                <w:sz w:val="24"/>
                <w:szCs w:val="20"/>
                <w:vertAlign w:val="superscript"/>
              </w:rPr>
              <w:t>3</w:t>
            </w:r>
            <w:r>
              <w:rPr>
                <w:rFonts w:hint="eastAsia"/>
                <w:sz w:val="24"/>
                <w:szCs w:val="20"/>
              </w:rPr>
              <w:t>），事故油大部分回收利用，不能回收部分为危废，交由相应危废处理资质的单位处理。</w:t>
            </w:r>
          </w:p>
          <w:p w14:paraId="1F990E09">
            <w:pPr>
              <w:spacing w:line="360" w:lineRule="auto"/>
              <w:ind w:firstLine="480" w:firstLineChars="200"/>
              <w:rPr>
                <w:sz w:val="24"/>
                <w:szCs w:val="20"/>
              </w:rPr>
            </w:pPr>
            <w:r>
              <w:rPr>
                <w:rFonts w:hint="eastAsia"/>
                <w:sz w:val="24"/>
                <w:szCs w:val="20"/>
              </w:rPr>
              <w:t>不能回收的部分为废油，产生量约为</w:t>
            </w:r>
            <w:r>
              <w:rPr>
                <w:sz w:val="24"/>
                <w:szCs w:val="20"/>
              </w:rPr>
              <w:t>0.05t</w:t>
            </w:r>
            <w:r>
              <w:rPr>
                <w:rFonts w:hint="eastAsia"/>
                <w:sz w:val="24"/>
                <w:szCs w:val="20"/>
              </w:rPr>
              <w:t>（事故油量的</w:t>
            </w:r>
            <w:r>
              <w:rPr>
                <w:sz w:val="24"/>
                <w:szCs w:val="20"/>
              </w:rPr>
              <w:t>0.1%</w:t>
            </w:r>
            <w:r>
              <w:rPr>
                <w:rFonts w:hint="eastAsia"/>
                <w:sz w:val="24"/>
                <w:szCs w:val="20"/>
              </w:rPr>
              <w:t>），属于《国家危险废物名录》（</w:t>
            </w:r>
            <w:r>
              <w:rPr>
                <w:sz w:val="24"/>
                <w:szCs w:val="20"/>
              </w:rPr>
              <w:t>2025</w:t>
            </w:r>
            <w:r>
              <w:rPr>
                <w:rFonts w:hint="eastAsia"/>
                <w:sz w:val="24"/>
                <w:szCs w:val="20"/>
              </w:rPr>
              <w:t>版）中</w:t>
            </w:r>
            <w:r>
              <w:rPr>
                <w:sz w:val="24"/>
                <w:szCs w:val="20"/>
              </w:rPr>
              <w:t>HW08</w:t>
            </w:r>
            <w:r>
              <w:rPr>
                <w:rFonts w:hint="eastAsia"/>
                <w:sz w:val="24"/>
                <w:szCs w:val="20"/>
              </w:rPr>
              <w:t>废矿物油与含矿物油废物类中的</w:t>
            </w:r>
            <w:r>
              <w:rPr>
                <w:sz w:val="24"/>
                <w:szCs w:val="20"/>
              </w:rPr>
              <w:t>900-220-08</w:t>
            </w:r>
            <w:r>
              <w:rPr>
                <w:rFonts w:hint="eastAsia"/>
                <w:sz w:val="24"/>
                <w:szCs w:val="20"/>
              </w:rPr>
              <w:t>号危险废物，交由有相应资质的单位处置，满足《输变电建设项目环境保护技术要求》（</w:t>
            </w:r>
            <w:r>
              <w:rPr>
                <w:sz w:val="24"/>
                <w:szCs w:val="20"/>
              </w:rPr>
              <w:t>HJ1113-2020</w:t>
            </w:r>
            <w:r>
              <w:rPr>
                <w:rFonts w:hint="eastAsia"/>
                <w:sz w:val="24"/>
                <w:szCs w:val="20"/>
              </w:rPr>
              <w:t>）</w:t>
            </w:r>
            <w:r>
              <w:rPr>
                <w:sz w:val="24"/>
                <w:szCs w:val="20"/>
              </w:rPr>
              <w:t>8.5</w:t>
            </w:r>
            <w:r>
              <w:rPr>
                <w:rFonts w:hint="eastAsia"/>
                <w:sz w:val="24"/>
                <w:szCs w:val="20"/>
              </w:rPr>
              <w:t>条要求。</w:t>
            </w:r>
          </w:p>
          <w:p w14:paraId="1F34EB75">
            <w:pPr>
              <w:spacing w:line="360" w:lineRule="auto"/>
              <w:ind w:firstLine="480" w:firstLineChars="200"/>
              <w:rPr>
                <w:sz w:val="24"/>
                <w:szCs w:val="20"/>
              </w:rPr>
            </w:pPr>
            <w:r>
              <w:rPr>
                <w:bCs/>
                <w:sz w:val="24"/>
              </w:rPr>
              <w:t>2</w:t>
            </w:r>
            <w:r>
              <w:rPr>
                <w:rFonts w:hint="eastAsia"/>
                <w:bCs/>
                <w:sz w:val="24"/>
              </w:rPr>
              <w:t>）</w:t>
            </w:r>
            <w:r>
              <w:rPr>
                <w:rFonts w:hint="eastAsia"/>
                <w:sz w:val="24"/>
                <w:szCs w:val="20"/>
              </w:rPr>
              <w:t>磷酸铁锂电池采用标准尺寸集装箱予以保护，防止</w:t>
            </w:r>
            <w:r>
              <w:rPr>
                <w:rFonts w:hint="eastAsia"/>
                <w:sz w:val="24"/>
              </w:rPr>
              <w:t>储能电站电池电解液泄漏</w:t>
            </w:r>
            <w:r>
              <w:rPr>
                <w:rFonts w:hint="eastAsia"/>
                <w:sz w:val="24"/>
                <w:szCs w:val="20"/>
              </w:rPr>
              <w:t>污染环境。集装箱的主要用途是将电池、</w:t>
            </w:r>
            <w:r>
              <w:rPr>
                <w:sz w:val="24"/>
                <w:szCs w:val="20"/>
              </w:rPr>
              <w:t>BMS</w:t>
            </w:r>
            <w:r>
              <w:rPr>
                <w:rFonts w:hint="eastAsia"/>
                <w:sz w:val="24"/>
                <w:szCs w:val="20"/>
              </w:rPr>
              <w:t>、通讯监控、消防、智能辅助系统等设备有机的集成到</w:t>
            </w:r>
            <w:r>
              <w:rPr>
                <w:sz w:val="24"/>
                <w:szCs w:val="20"/>
              </w:rPr>
              <w:t>1</w:t>
            </w:r>
            <w:r>
              <w:rPr>
                <w:rFonts w:hint="eastAsia"/>
                <w:sz w:val="24"/>
                <w:szCs w:val="20"/>
              </w:rPr>
              <w:t>个标准的单元中，该标准单元拥有自己独立的供电系统、温度控制系统、隔热系统、阻燃系统、火灾报警及可燃气体探测系统、视频监控系统、安全逃生系统、应急系统、消防系统和防爆泄压系统等自动控制和安全保障系统，</w:t>
            </w:r>
            <w:r>
              <w:rPr>
                <w:rFonts w:hint="eastAsia"/>
                <w:sz w:val="24"/>
              </w:rPr>
              <w:t>配备二氧化碳灭火器。</w:t>
            </w:r>
            <w:r>
              <w:rPr>
                <w:rFonts w:hint="eastAsia"/>
                <w:sz w:val="24"/>
                <w:szCs w:val="20"/>
              </w:rPr>
              <w:t>为方便收集事故状态下渗流电解液，项目以电池簇为单位配置事故池，单个容量</w:t>
            </w:r>
            <w:r>
              <w:rPr>
                <w:sz w:val="24"/>
                <w:szCs w:val="20"/>
              </w:rPr>
              <w:t>1m</w:t>
            </w:r>
            <w:r>
              <w:rPr>
                <w:sz w:val="24"/>
                <w:szCs w:val="20"/>
                <w:vertAlign w:val="superscript"/>
              </w:rPr>
              <w:t>3</w:t>
            </w:r>
            <w:r>
              <w:rPr>
                <w:rFonts w:hint="eastAsia"/>
                <w:sz w:val="24"/>
                <w:szCs w:val="20"/>
              </w:rPr>
              <w:t>，共设置</w:t>
            </w:r>
            <w:r>
              <w:rPr>
                <w:sz w:val="24"/>
                <w:szCs w:val="20"/>
              </w:rPr>
              <w:t>9</w:t>
            </w:r>
            <w:r>
              <w:rPr>
                <w:rFonts w:hint="eastAsia"/>
                <w:sz w:val="24"/>
                <w:szCs w:val="20"/>
              </w:rPr>
              <w:t>个。废磷酸铁锂电池不属于危险废物范畴，因此，事故电解液参照一般工业固体废物的相关环境管理与污染防治要求，收集后由有资质的单位回收利用。</w:t>
            </w:r>
          </w:p>
          <w:p w14:paraId="546EB30B">
            <w:pPr>
              <w:spacing w:line="360" w:lineRule="auto"/>
              <w:ind w:firstLine="480" w:firstLineChars="200"/>
            </w:pPr>
            <w:r>
              <w:rPr>
                <w:bCs/>
                <w:sz w:val="24"/>
              </w:rPr>
              <w:t>3</w:t>
            </w:r>
            <w:r>
              <w:rPr>
                <w:rFonts w:hint="eastAsia"/>
                <w:bCs/>
                <w:sz w:val="24"/>
              </w:rPr>
              <w:t>）</w:t>
            </w:r>
            <w:r>
              <w:rPr>
                <w:rFonts w:hint="eastAsia"/>
                <w:sz w:val="24"/>
                <w:szCs w:val="20"/>
              </w:rPr>
              <w:t>危废暂存间重点防渗处理，混凝土硬化</w:t>
            </w:r>
            <w:r>
              <w:rPr>
                <w:sz w:val="24"/>
                <w:szCs w:val="20"/>
              </w:rPr>
              <w:t>+2mm</w:t>
            </w:r>
            <w:r>
              <w:rPr>
                <w:rFonts w:hint="eastAsia"/>
                <w:sz w:val="24"/>
                <w:szCs w:val="20"/>
              </w:rPr>
              <w:t>环氧树脂，具有有效防渗能力；设置禁止明火标志，并配置灭火器和火灾报警器。</w:t>
            </w:r>
          </w:p>
        </w:tc>
      </w:tr>
      <w:tr w14:paraId="031CFF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38" w:hRule="atLeast"/>
          <w:jc w:val="center"/>
        </w:trPr>
        <w:tc>
          <w:tcPr>
            <w:tcW w:w="343" w:type="pct"/>
            <w:tcMar>
              <w:left w:w="28" w:type="dxa"/>
              <w:right w:w="28" w:type="dxa"/>
            </w:tcMar>
            <w:vAlign w:val="center"/>
          </w:tcPr>
          <w:p w14:paraId="3A683D8D">
            <w:pPr>
              <w:pStyle w:val="29"/>
              <w:ind w:firstLine="0" w:firstLineChars="0"/>
            </w:pPr>
            <w:r>
              <w:rPr>
                <w:rFonts w:hint="eastAsia"/>
              </w:rPr>
              <w:t>其他</w:t>
            </w:r>
          </w:p>
        </w:tc>
        <w:tc>
          <w:tcPr>
            <w:tcW w:w="4656" w:type="pct"/>
            <w:vAlign w:val="center"/>
          </w:tcPr>
          <w:p w14:paraId="5AF7B3AC">
            <w:pPr>
              <w:pStyle w:val="94"/>
              <w:rPr>
                <w:rStyle w:val="47"/>
                <w:bCs w:val="0"/>
                <w:sz w:val="24"/>
                <w:szCs w:val="24"/>
              </w:rPr>
            </w:pPr>
            <w:bookmarkStart w:id="66" w:name="_Toc28197"/>
            <w:bookmarkStart w:id="67" w:name="_Toc9757"/>
            <w:bookmarkStart w:id="68" w:name="_Toc24053"/>
            <w:bookmarkStart w:id="69" w:name="_Toc11876"/>
            <w:bookmarkStart w:id="70" w:name="_Toc21391"/>
            <w:bookmarkStart w:id="71" w:name="_Toc15883"/>
            <w:bookmarkStart w:id="72" w:name="_Toc17578"/>
            <w:r>
              <w:rPr>
                <w:rStyle w:val="47"/>
                <w:rFonts w:hint="eastAsia" w:ascii="Times New Roman" w:hAnsi="Times New Roman"/>
                <w:bCs w:val="0"/>
                <w:sz w:val="24"/>
                <w:szCs w:val="24"/>
              </w:rPr>
              <w:t>1、</w:t>
            </w:r>
            <w:r>
              <w:rPr>
                <w:rStyle w:val="47"/>
                <w:rFonts w:hint="eastAsia"/>
                <w:bCs w:val="0"/>
                <w:sz w:val="24"/>
                <w:szCs w:val="24"/>
              </w:rPr>
              <w:t>环保管理</w:t>
            </w:r>
          </w:p>
          <w:bookmarkEnd w:id="66"/>
          <w:bookmarkEnd w:id="67"/>
          <w:bookmarkEnd w:id="68"/>
          <w:bookmarkEnd w:id="69"/>
          <w:bookmarkEnd w:id="70"/>
          <w:bookmarkEnd w:id="71"/>
          <w:bookmarkEnd w:id="72"/>
          <w:p w14:paraId="1879D9DA">
            <w:pPr>
              <w:spacing w:line="360" w:lineRule="auto"/>
              <w:ind w:firstLine="482" w:firstLineChars="200"/>
              <w:rPr>
                <w:b/>
                <w:sz w:val="24"/>
              </w:rPr>
            </w:pPr>
            <w:r>
              <w:rPr>
                <w:rFonts w:hint="eastAsia" w:ascii="宋体" w:hAnsi="宋体"/>
                <w:b/>
                <w:sz w:val="24"/>
              </w:rPr>
              <w:t>（</w:t>
            </w:r>
            <w:r>
              <w:rPr>
                <w:rFonts w:hint="eastAsia"/>
                <w:b/>
                <w:sz w:val="24"/>
              </w:rPr>
              <w:t>1</w:t>
            </w:r>
            <w:r>
              <w:rPr>
                <w:rFonts w:hint="eastAsia" w:ascii="宋体" w:hAnsi="宋体"/>
                <w:b/>
                <w:sz w:val="24"/>
              </w:rPr>
              <w:t>）施工期环境管理</w:t>
            </w:r>
          </w:p>
          <w:p w14:paraId="68781423">
            <w:pPr>
              <w:spacing w:line="360" w:lineRule="auto"/>
              <w:ind w:firstLine="480" w:firstLineChars="200"/>
              <w:rPr>
                <w:sz w:val="24"/>
              </w:rPr>
            </w:pPr>
            <w:r>
              <w:rPr>
                <w:rFonts w:hint="eastAsia" w:ascii="宋体" w:hAnsi="宋体"/>
                <w:sz w:val="24"/>
              </w:rPr>
              <w:t>本项目施工期采取的生态环境保护措施和大气、水、噪声、固废污染防治措施的责任主体为施工单位，建设单位具体负责监督，确保措施有效落实。建设单位需安排人员具体负责落实项目环境保护设计内容，监督施工期环保措施的实施，协调好各部门或团体之间其他的环保工作和处理施工中出现的环保问题。施工单位在施工期间应指派人员具体负责执行有关的环境保护对策措施，并接受生态环境管理部门对环保工作的监督和管理。</w:t>
            </w:r>
          </w:p>
          <w:p w14:paraId="6065E069">
            <w:pPr>
              <w:spacing w:line="360" w:lineRule="auto"/>
              <w:ind w:firstLine="482" w:firstLineChars="200"/>
              <w:rPr>
                <w:b/>
                <w:sz w:val="24"/>
              </w:rPr>
            </w:pPr>
            <w:r>
              <w:rPr>
                <w:rFonts w:hint="eastAsia" w:ascii="宋体" w:hAnsi="宋体"/>
                <w:b/>
                <w:sz w:val="24"/>
              </w:rPr>
              <w:t>（</w:t>
            </w:r>
            <w:r>
              <w:rPr>
                <w:rFonts w:hint="eastAsia"/>
                <w:b/>
                <w:sz w:val="24"/>
              </w:rPr>
              <w:t>2</w:t>
            </w:r>
            <w:r>
              <w:rPr>
                <w:rFonts w:hint="eastAsia" w:ascii="宋体" w:hAnsi="宋体"/>
                <w:b/>
                <w:sz w:val="24"/>
              </w:rPr>
              <w:t>）运营期环境管理</w:t>
            </w:r>
          </w:p>
          <w:p w14:paraId="6303FD54">
            <w:pPr>
              <w:spacing w:line="360" w:lineRule="auto"/>
              <w:ind w:firstLine="480" w:firstLineChars="200"/>
              <w:rPr>
                <w:sz w:val="24"/>
              </w:rPr>
            </w:pPr>
            <w:r>
              <w:rPr>
                <w:rFonts w:hint="eastAsia" w:ascii="宋体" w:hAnsi="宋体"/>
                <w:sz w:val="24"/>
              </w:rPr>
              <w:t>为了贯彻落实《建设项目环境保护管理条例》，加强工程的环境保护的领导和管理，建设单位应设有专职环境保护人员负责环境管理工作，从管理上保证环</w:t>
            </w:r>
            <w:r>
              <w:rPr>
                <w:rFonts w:ascii="宋体" w:hAnsi="宋体"/>
                <w:sz w:val="24"/>
              </w:rPr>
              <w:t>境保护措施的有效实施。具体工作内容包括：</w:t>
            </w:r>
          </w:p>
          <w:p w14:paraId="2D37B22B">
            <w:pPr>
              <w:pStyle w:val="155"/>
              <w:spacing w:line="360" w:lineRule="auto"/>
              <w:ind w:firstLine="480"/>
              <w:rPr>
                <w:sz w:val="24"/>
                <w:szCs w:val="24"/>
              </w:rPr>
            </w:pPr>
            <w:r>
              <w:rPr>
                <w:rFonts w:hint="eastAsia" w:ascii="宋体" w:hAnsi="宋体"/>
                <w:sz w:val="24"/>
                <w:szCs w:val="24"/>
              </w:rPr>
              <w:t>①</w:t>
            </w:r>
            <w:r>
              <w:rPr>
                <w:rFonts w:ascii="宋体" w:hAnsi="宋体"/>
                <w:sz w:val="24"/>
                <w:szCs w:val="24"/>
              </w:rPr>
              <w:t>贯彻执行国家环保有关法规、政策；</w:t>
            </w:r>
          </w:p>
          <w:p w14:paraId="23137366">
            <w:pPr>
              <w:spacing w:line="360" w:lineRule="auto"/>
              <w:ind w:firstLine="480" w:firstLineChars="200"/>
              <w:rPr>
                <w:sz w:val="24"/>
              </w:rPr>
            </w:pPr>
            <w:r>
              <w:rPr>
                <w:rFonts w:hint="eastAsia" w:ascii="宋体" w:hAnsi="宋体"/>
                <w:sz w:val="24"/>
              </w:rPr>
              <w:t>②</w:t>
            </w:r>
            <w:r>
              <w:rPr>
                <w:rFonts w:ascii="宋体" w:hAnsi="宋体"/>
                <w:sz w:val="24"/>
              </w:rPr>
              <w:t>收集环保有关的法规和制度，并认真做好研究；</w:t>
            </w:r>
          </w:p>
          <w:p w14:paraId="6E4BD27E">
            <w:pPr>
              <w:pStyle w:val="155"/>
              <w:spacing w:line="360" w:lineRule="auto"/>
              <w:ind w:firstLine="480"/>
              <w:rPr>
                <w:sz w:val="24"/>
                <w:szCs w:val="24"/>
              </w:rPr>
            </w:pPr>
            <w:r>
              <w:rPr>
                <w:rFonts w:hint="eastAsia" w:ascii="宋体" w:hAnsi="宋体"/>
                <w:sz w:val="24"/>
                <w:szCs w:val="24"/>
              </w:rPr>
              <w:t>③</w:t>
            </w:r>
            <w:r>
              <w:rPr>
                <w:rFonts w:ascii="宋体" w:hAnsi="宋体"/>
                <w:sz w:val="24"/>
                <w:szCs w:val="24"/>
              </w:rPr>
              <w:t>按《建设项目环境保护条例》要求开展项目环境影响评价工作；</w:t>
            </w:r>
          </w:p>
          <w:p w14:paraId="5F812F78">
            <w:pPr>
              <w:spacing w:line="360" w:lineRule="auto"/>
              <w:ind w:firstLine="480" w:firstLineChars="200"/>
              <w:rPr>
                <w:sz w:val="24"/>
              </w:rPr>
            </w:pPr>
            <w:r>
              <w:rPr>
                <w:rFonts w:hint="eastAsia" w:ascii="宋体" w:hAnsi="宋体"/>
                <w:sz w:val="24"/>
              </w:rPr>
              <w:t>④</w:t>
            </w:r>
            <w:r>
              <w:rPr>
                <w:rFonts w:ascii="宋体" w:hAnsi="宋体"/>
                <w:sz w:val="24"/>
              </w:rPr>
              <w:t>负责根据国家《建设项目竣工环境保护验收管理办法》，提出项目的环保验收工作方案；</w:t>
            </w:r>
          </w:p>
          <w:p w14:paraId="63B4D780">
            <w:pPr>
              <w:spacing w:line="360" w:lineRule="auto"/>
              <w:ind w:firstLine="480" w:firstLineChars="200"/>
              <w:rPr>
                <w:sz w:val="24"/>
              </w:rPr>
            </w:pPr>
            <w:r>
              <w:rPr>
                <w:rFonts w:hint="eastAsia" w:ascii="宋体" w:hAnsi="宋体"/>
                <w:sz w:val="24"/>
              </w:rPr>
              <w:t>⑤</w:t>
            </w:r>
            <w:r>
              <w:rPr>
                <w:rFonts w:ascii="宋体" w:hAnsi="宋体"/>
                <w:sz w:val="24"/>
              </w:rPr>
              <w:t>建立工频电场、工频磁感应强度、噪声监测、生态环境现状数据档案；</w:t>
            </w:r>
          </w:p>
          <w:p w14:paraId="4376E319">
            <w:pPr>
              <w:spacing w:line="360" w:lineRule="auto"/>
              <w:ind w:firstLine="480" w:firstLineChars="200"/>
              <w:rPr>
                <w:sz w:val="24"/>
              </w:rPr>
            </w:pPr>
            <w:r>
              <w:rPr>
                <w:rFonts w:hint="eastAsia" w:ascii="宋体" w:hAnsi="宋体"/>
                <w:sz w:val="24"/>
              </w:rPr>
              <w:t>⑥</w:t>
            </w:r>
            <w:r>
              <w:rPr>
                <w:rFonts w:ascii="宋体" w:hAnsi="宋体"/>
                <w:sz w:val="24"/>
              </w:rPr>
              <w:t>负责项目日常环境管理及与环保部门的沟通；</w:t>
            </w:r>
          </w:p>
          <w:p w14:paraId="64347067">
            <w:pPr>
              <w:spacing w:line="360" w:lineRule="auto"/>
              <w:ind w:firstLine="480" w:firstLineChars="200"/>
              <w:rPr>
                <w:sz w:val="24"/>
              </w:rPr>
            </w:pPr>
            <w:r>
              <w:rPr>
                <w:rFonts w:hint="eastAsia" w:ascii="宋体" w:hAnsi="宋体"/>
                <w:sz w:val="24"/>
              </w:rPr>
              <w:t>⑦</w:t>
            </w:r>
            <w:r>
              <w:rPr>
                <w:rFonts w:ascii="宋体" w:hAnsi="宋体"/>
                <w:sz w:val="24"/>
              </w:rPr>
              <w:t>检查污染防治设施运行情况，及时处理出现的问题，保证治理设施正常运行；</w:t>
            </w:r>
          </w:p>
          <w:p w14:paraId="3F1064BD">
            <w:pPr>
              <w:spacing w:line="360" w:lineRule="auto"/>
              <w:ind w:firstLine="480" w:firstLineChars="200"/>
              <w:rPr>
                <w:sz w:val="24"/>
              </w:rPr>
            </w:pPr>
            <w:r>
              <w:rPr>
                <w:rFonts w:hint="eastAsia" w:ascii="宋体" w:hAnsi="宋体"/>
                <w:sz w:val="24"/>
              </w:rPr>
              <w:t>⑧</w:t>
            </w:r>
            <w:r>
              <w:rPr>
                <w:rFonts w:ascii="宋体" w:hAnsi="宋体"/>
                <w:sz w:val="24"/>
              </w:rPr>
              <w:t>废变压器油等交由有危险废物处理资质的相关单位进行处置。</w:t>
            </w:r>
          </w:p>
          <w:p w14:paraId="1749EED8">
            <w:pPr>
              <w:pStyle w:val="94"/>
              <w:rPr>
                <w:rStyle w:val="47"/>
                <w:bCs w:val="0"/>
                <w:sz w:val="24"/>
                <w:szCs w:val="24"/>
              </w:rPr>
            </w:pPr>
            <w:bookmarkStart w:id="73" w:name="_Toc292"/>
            <w:bookmarkStart w:id="74" w:name="_Toc30942"/>
            <w:bookmarkStart w:id="75" w:name="_Toc13196"/>
            <w:bookmarkStart w:id="76" w:name="_Toc18323"/>
            <w:bookmarkStart w:id="77" w:name="_Toc22091"/>
            <w:bookmarkStart w:id="78" w:name="_Toc15080"/>
            <w:bookmarkStart w:id="79" w:name="_Toc6898"/>
            <w:r>
              <w:rPr>
                <w:rStyle w:val="47"/>
                <w:rFonts w:ascii="Times New Roman" w:hAnsi="Times New Roman"/>
                <w:bCs w:val="0"/>
                <w:sz w:val="24"/>
                <w:szCs w:val="24"/>
              </w:rPr>
              <w:t>2</w:t>
            </w:r>
            <w:r>
              <w:rPr>
                <w:rStyle w:val="47"/>
                <w:rFonts w:hint="eastAsia" w:ascii="Times New Roman" w:hAnsi="Times New Roman"/>
                <w:bCs w:val="0"/>
                <w:sz w:val="24"/>
                <w:szCs w:val="24"/>
              </w:rPr>
              <w:t>、</w:t>
            </w:r>
            <w:r>
              <w:rPr>
                <w:rStyle w:val="47"/>
                <w:rFonts w:hint="eastAsia"/>
                <w:bCs w:val="0"/>
                <w:sz w:val="24"/>
                <w:szCs w:val="24"/>
              </w:rPr>
              <w:t>监测计划</w:t>
            </w:r>
          </w:p>
          <w:bookmarkEnd w:id="73"/>
          <w:bookmarkEnd w:id="74"/>
          <w:bookmarkEnd w:id="75"/>
          <w:bookmarkEnd w:id="76"/>
          <w:bookmarkEnd w:id="77"/>
          <w:bookmarkEnd w:id="78"/>
          <w:bookmarkEnd w:id="79"/>
          <w:p w14:paraId="23004824">
            <w:pPr>
              <w:spacing w:line="360" w:lineRule="auto"/>
              <w:ind w:firstLine="480" w:firstLineChars="200"/>
              <w:rPr>
                <w:sz w:val="24"/>
              </w:rPr>
            </w:pPr>
            <w:r>
              <w:rPr>
                <w:rFonts w:hint="eastAsia"/>
                <w:sz w:val="24"/>
              </w:rPr>
              <w:t>在本工程竣工环境保护验收阶段、运营期等均应进行电磁环境监测，具体监测方案如下所述：</w:t>
            </w:r>
          </w:p>
          <w:p w14:paraId="6C84952C">
            <w:pPr>
              <w:pStyle w:val="132"/>
              <w:rPr>
                <w:b/>
              </w:rPr>
            </w:pPr>
            <w:r>
              <w:rPr>
                <w:rFonts w:hint="eastAsia"/>
                <w:b/>
              </w:rPr>
              <w:t>表</w:t>
            </w:r>
            <w:r>
              <w:rPr>
                <w:b/>
              </w:rPr>
              <w:t>5-1</w:t>
            </w:r>
            <w:r>
              <w:rPr>
                <w:rFonts w:hint="eastAsia"/>
                <w:b/>
              </w:rPr>
              <w:t>本工程监测方案一览表</w:t>
            </w:r>
          </w:p>
          <w:tbl>
            <w:tblPr>
              <w:tblStyle w:val="150"/>
              <w:tblW w:w="4995"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022"/>
              <w:gridCol w:w="1014"/>
              <w:gridCol w:w="1733"/>
              <w:gridCol w:w="1248"/>
              <w:gridCol w:w="3120"/>
            </w:tblGrid>
            <w:tr w14:paraId="3E4ECE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9" w:hRule="atLeast"/>
              </w:trPr>
              <w:tc>
                <w:tcPr>
                  <w:tcW w:w="628" w:type="pct"/>
                  <w:vAlign w:val="center"/>
                </w:tcPr>
                <w:p w14:paraId="6300C356">
                  <w:pPr>
                    <w:pStyle w:val="149"/>
                    <w:rPr>
                      <w:rFonts w:hint="default" w:ascii="Times New Roman" w:hAnsi="Times New Roman" w:eastAsia="宋体" w:cs="Times New Roman"/>
                      <w:b w:val="0"/>
                      <w:i w:val="0"/>
                    </w:rPr>
                  </w:pPr>
                  <w:r>
                    <w:rPr>
                      <w:rFonts w:hint="eastAsia" w:ascii="Times New Roman" w:hAnsi="Times New Roman" w:eastAsia="宋体" w:cs="Times New Roman"/>
                      <w:b w:val="0"/>
                      <w:i w:val="0"/>
                    </w:rPr>
                    <w:t>监测因子</w:t>
                  </w:r>
                </w:p>
              </w:tc>
              <w:tc>
                <w:tcPr>
                  <w:tcW w:w="623" w:type="pct"/>
                  <w:vAlign w:val="center"/>
                </w:tcPr>
                <w:p w14:paraId="15CCDDC1">
                  <w:pPr>
                    <w:pStyle w:val="149"/>
                    <w:rPr>
                      <w:rFonts w:hint="default" w:ascii="Times New Roman" w:hAnsi="Times New Roman" w:eastAsia="宋体" w:cs="Times New Roman"/>
                      <w:b w:val="0"/>
                      <w:i w:val="0"/>
                    </w:rPr>
                  </w:pPr>
                  <w:r>
                    <w:rPr>
                      <w:rFonts w:hint="eastAsia" w:ascii="Times New Roman" w:hAnsi="Times New Roman" w:eastAsia="宋体" w:cs="Times New Roman"/>
                      <w:b w:val="0"/>
                      <w:i w:val="0"/>
                    </w:rPr>
                    <w:t>监测时间</w:t>
                  </w:r>
                </w:p>
              </w:tc>
              <w:tc>
                <w:tcPr>
                  <w:tcW w:w="1065" w:type="pct"/>
                  <w:vAlign w:val="center"/>
                </w:tcPr>
                <w:p w14:paraId="2E88C9C1">
                  <w:pPr>
                    <w:pStyle w:val="149"/>
                    <w:rPr>
                      <w:rFonts w:hint="default" w:ascii="Times New Roman" w:hAnsi="Times New Roman" w:eastAsia="宋体" w:cs="Times New Roman"/>
                      <w:b w:val="0"/>
                      <w:i w:val="0"/>
                    </w:rPr>
                  </w:pPr>
                  <w:r>
                    <w:rPr>
                      <w:rFonts w:hint="eastAsia" w:ascii="Times New Roman" w:hAnsi="Times New Roman" w:eastAsia="宋体" w:cs="Times New Roman"/>
                      <w:b w:val="0"/>
                      <w:i w:val="0"/>
                    </w:rPr>
                    <w:t>监测频次</w:t>
                  </w:r>
                </w:p>
              </w:tc>
              <w:tc>
                <w:tcPr>
                  <w:tcW w:w="767" w:type="pct"/>
                  <w:vAlign w:val="center"/>
                </w:tcPr>
                <w:p w14:paraId="5F3EDC52">
                  <w:pPr>
                    <w:pStyle w:val="149"/>
                    <w:rPr>
                      <w:rFonts w:hint="default" w:ascii="Times New Roman" w:hAnsi="Times New Roman" w:eastAsia="宋体" w:cs="Times New Roman"/>
                      <w:b w:val="0"/>
                      <w:i w:val="0"/>
                    </w:rPr>
                  </w:pPr>
                  <w:r>
                    <w:rPr>
                      <w:rFonts w:hint="eastAsia" w:ascii="Times New Roman" w:hAnsi="Times New Roman" w:eastAsia="宋体" w:cs="Times New Roman"/>
                      <w:b w:val="0"/>
                      <w:i w:val="0"/>
                    </w:rPr>
                    <w:t>监测点位</w:t>
                  </w:r>
                </w:p>
              </w:tc>
              <w:tc>
                <w:tcPr>
                  <w:tcW w:w="1917" w:type="pct"/>
                  <w:vAlign w:val="center"/>
                </w:tcPr>
                <w:p w14:paraId="4E6A8150">
                  <w:pPr>
                    <w:pStyle w:val="149"/>
                    <w:rPr>
                      <w:rFonts w:hint="default" w:ascii="Times New Roman" w:hAnsi="Times New Roman" w:eastAsia="宋体" w:cs="Times New Roman"/>
                      <w:b w:val="0"/>
                      <w:i w:val="0"/>
                    </w:rPr>
                  </w:pPr>
                  <w:r>
                    <w:rPr>
                      <w:rFonts w:hint="eastAsia" w:ascii="Times New Roman" w:hAnsi="Times New Roman" w:eastAsia="宋体" w:cs="Times New Roman"/>
                      <w:b w:val="0"/>
                      <w:i w:val="0"/>
                    </w:rPr>
                    <w:t>执行标准</w:t>
                  </w:r>
                </w:p>
              </w:tc>
            </w:tr>
            <w:tr w14:paraId="316743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628" w:type="pct"/>
                  <w:vAlign w:val="center"/>
                </w:tcPr>
                <w:p w14:paraId="4901A0E6">
                  <w:pPr>
                    <w:pStyle w:val="149"/>
                    <w:jc w:val="both"/>
                    <w:rPr>
                      <w:rFonts w:eastAsia="Times New Roman"/>
                    </w:rPr>
                  </w:pPr>
                  <w:r>
                    <w:rPr>
                      <w:rFonts w:hint="eastAsia" w:ascii="宋体" w:hAnsi="宋体" w:eastAsia="宋体" w:cs="宋体"/>
                    </w:rPr>
                    <w:t>工频电场、工频磁场，等效连续</w:t>
                  </w:r>
                  <w:r>
                    <w:rPr>
                      <w:rFonts w:eastAsia="Times New Roman"/>
                    </w:rPr>
                    <w:t>A</w:t>
                  </w:r>
                  <w:r>
                    <w:rPr>
                      <w:rFonts w:hint="eastAsia" w:ascii="宋体" w:hAnsi="宋体" w:eastAsia="宋体" w:cs="宋体"/>
                    </w:rPr>
                    <w:t>声级</w:t>
                  </w:r>
                </w:p>
              </w:tc>
              <w:tc>
                <w:tcPr>
                  <w:tcW w:w="623" w:type="pct"/>
                  <w:vAlign w:val="center"/>
                </w:tcPr>
                <w:p w14:paraId="0AF70E9F">
                  <w:pPr>
                    <w:pStyle w:val="149"/>
                    <w:rPr>
                      <w:rFonts w:eastAsia="Times New Roman"/>
                    </w:rPr>
                  </w:pPr>
                  <w:r>
                    <w:rPr>
                      <w:rFonts w:hint="eastAsia" w:ascii="宋体" w:hAnsi="宋体" w:eastAsia="宋体" w:cs="宋体"/>
                    </w:rPr>
                    <w:t>竣工环境保护验收</w:t>
                  </w:r>
                </w:p>
              </w:tc>
              <w:tc>
                <w:tcPr>
                  <w:tcW w:w="1065" w:type="pct"/>
                  <w:vAlign w:val="center"/>
                </w:tcPr>
                <w:p w14:paraId="39FA5711">
                  <w:pPr>
                    <w:pStyle w:val="149"/>
                    <w:jc w:val="both"/>
                    <w:rPr>
                      <w:rFonts w:eastAsia="Times New Roman"/>
                    </w:rPr>
                  </w:pPr>
                  <w:r>
                    <w:rPr>
                      <w:rFonts w:hint="eastAsia" w:ascii="宋体" w:hAnsi="宋体" w:eastAsia="宋体" w:cs="宋体"/>
                    </w:rPr>
                    <w:t>竣工环保验收：工频电场和磁场各监测点位监测</w:t>
                  </w:r>
                  <w:r>
                    <w:rPr>
                      <w:rFonts w:eastAsia="Times New Roman"/>
                    </w:rPr>
                    <w:t>1</w:t>
                  </w:r>
                  <w:r>
                    <w:rPr>
                      <w:rFonts w:hint="eastAsia" w:ascii="宋体" w:hAnsi="宋体" w:eastAsia="宋体" w:cs="宋体"/>
                    </w:rPr>
                    <w:t>次；噪声各监测点位昼夜分别监测</w:t>
                  </w:r>
                  <w:r>
                    <w:rPr>
                      <w:rFonts w:eastAsia="Times New Roman"/>
                    </w:rPr>
                    <w:t>1</w:t>
                  </w:r>
                  <w:r>
                    <w:rPr>
                      <w:rFonts w:hint="eastAsia" w:ascii="宋体" w:hAnsi="宋体" w:eastAsia="宋体" w:cs="宋体"/>
                    </w:rPr>
                    <w:t>次。</w:t>
                  </w:r>
                </w:p>
              </w:tc>
              <w:tc>
                <w:tcPr>
                  <w:tcW w:w="767" w:type="pct"/>
                  <w:vAlign w:val="center"/>
                </w:tcPr>
                <w:p w14:paraId="06CAA4C8">
                  <w:pPr>
                    <w:pStyle w:val="149"/>
                    <w:rPr>
                      <w:rFonts w:eastAsia="Times New Roman"/>
                    </w:rPr>
                  </w:pPr>
                  <w:r>
                    <w:rPr>
                      <w:rFonts w:hint="eastAsia" w:ascii="宋体" w:hAnsi="宋体" w:eastAsia="宋体" w:cs="宋体"/>
                    </w:rPr>
                    <w:t>项目厂界四周</w:t>
                  </w:r>
                </w:p>
              </w:tc>
              <w:tc>
                <w:tcPr>
                  <w:tcW w:w="1917" w:type="pct"/>
                  <w:vAlign w:val="center"/>
                </w:tcPr>
                <w:p w14:paraId="5E23EF67">
                  <w:pPr>
                    <w:pStyle w:val="149"/>
                    <w:rPr>
                      <w:rFonts w:eastAsia="Times New Roman"/>
                    </w:rPr>
                  </w:pPr>
                  <w:r>
                    <w:rPr>
                      <w:rFonts w:hint="eastAsia" w:ascii="宋体" w:hAnsi="宋体" w:eastAsia="宋体" w:cs="宋体"/>
                    </w:rPr>
                    <w:t>《工业企业厂界环境噪声排放标准》（</w:t>
                  </w:r>
                  <w:r>
                    <w:rPr>
                      <w:rFonts w:eastAsia="Times New Roman"/>
                    </w:rPr>
                    <w:t>GB12348-2008</w:t>
                  </w:r>
                  <w:r>
                    <w:rPr>
                      <w:rFonts w:hint="eastAsia" w:ascii="宋体" w:hAnsi="宋体" w:eastAsia="宋体" w:cs="宋体"/>
                    </w:rPr>
                    <w:t>）、《交流输变电工程电磁环境监测方法（试行）》（</w:t>
                  </w:r>
                  <w:r>
                    <w:rPr>
                      <w:rFonts w:eastAsia="Times New Roman"/>
                    </w:rPr>
                    <w:t>HJ681-2013</w:t>
                  </w:r>
                  <w:r>
                    <w:rPr>
                      <w:rFonts w:hint="eastAsia" w:ascii="宋体" w:hAnsi="宋体" w:eastAsia="宋体" w:cs="宋体"/>
                    </w:rPr>
                    <w:t>）。</w:t>
                  </w:r>
                </w:p>
              </w:tc>
            </w:tr>
            <w:tr w14:paraId="551755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628" w:type="pct"/>
                  <w:vAlign w:val="center"/>
                </w:tcPr>
                <w:p w14:paraId="76376D76">
                  <w:pPr>
                    <w:pStyle w:val="149"/>
                    <w:jc w:val="both"/>
                    <w:rPr>
                      <w:rFonts w:eastAsia="Times New Roman"/>
                    </w:rPr>
                  </w:pPr>
                  <w:r>
                    <w:rPr>
                      <w:rFonts w:hint="eastAsia" w:ascii="宋体" w:hAnsi="宋体" w:eastAsia="宋体" w:cs="宋体"/>
                    </w:rPr>
                    <w:t>工频电场、工频磁场</w:t>
                  </w:r>
                </w:p>
              </w:tc>
              <w:tc>
                <w:tcPr>
                  <w:tcW w:w="623" w:type="pct"/>
                  <w:vMerge w:val="restart"/>
                  <w:vAlign w:val="center"/>
                </w:tcPr>
                <w:p w14:paraId="5549072D">
                  <w:pPr>
                    <w:pStyle w:val="149"/>
                    <w:rPr>
                      <w:rFonts w:eastAsia="Times New Roman"/>
                    </w:rPr>
                  </w:pPr>
                  <w:r>
                    <w:rPr>
                      <w:rFonts w:hint="eastAsia" w:ascii="宋体" w:hAnsi="宋体" w:eastAsia="宋体" w:cs="宋体"/>
                    </w:rPr>
                    <w:t>运营期</w:t>
                  </w:r>
                </w:p>
              </w:tc>
              <w:tc>
                <w:tcPr>
                  <w:tcW w:w="1065" w:type="pct"/>
                  <w:vAlign w:val="center"/>
                </w:tcPr>
                <w:p w14:paraId="58A1C6FC">
                  <w:pPr>
                    <w:pStyle w:val="149"/>
                    <w:rPr>
                      <w:rFonts w:eastAsia="Times New Roman"/>
                    </w:rPr>
                  </w:pPr>
                  <w:r>
                    <w:rPr>
                      <w:rFonts w:hint="eastAsia" w:ascii="宋体" w:hAnsi="宋体" w:eastAsia="Times New Roman"/>
                    </w:rPr>
                    <w:t>必要时监测</w:t>
                  </w:r>
                </w:p>
                <w:p w14:paraId="145429C9">
                  <w:pPr>
                    <w:pStyle w:val="149"/>
                    <w:rPr>
                      <w:rFonts w:eastAsia="Times New Roman"/>
                    </w:rPr>
                  </w:pPr>
                </w:p>
              </w:tc>
              <w:tc>
                <w:tcPr>
                  <w:tcW w:w="767" w:type="pct"/>
                  <w:vAlign w:val="center"/>
                </w:tcPr>
                <w:p w14:paraId="18448CF3">
                  <w:pPr>
                    <w:pStyle w:val="149"/>
                    <w:rPr>
                      <w:rFonts w:eastAsia="Times New Roman"/>
                    </w:rPr>
                  </w:pPr>
                  <w:r>
                    <w:rPr>
                      <w:rFonts w:hint="eastAsia" w:ascii="宋体" w:hAnsi="宋体" w:eastAsia="宋体" w:cs="宋体"/>
                    </w:rPr>
                    <w:t>项目厂界四周</w:t>
                  </w:r>
                </w:p>
              </w:tc>
              <w:tc>
                <w:tcPr>
                  <w:tcW w:w="1917" w:type="pct"/>
                  <w:vAlign w:val="center"/>
                </w:tcPr>
                <w:p w14:paraId="11B6771C">
                  <w:pPr>
                    <w:pStyle w:val="149"/>
                    <w:rPr>
                      <w:rFonts w:eastAsia="Times New Roman"/>
                    </w:rPr>
                  </w:pPr>
                  <w:r>
                    <w:rPr>
                      <w:rFonts w:hint="eastAsia" w:ascii="宋体" w:hAnsi="宋体" w:eastAsia="宋体" w:cs="宋体"/>
                    </w:rPr>
                    <w:t>《交流输变电工程电磁环境监测方法（试行）》（</w:t>
                  </w:r>
                  <w:r>
                    <w:rPr>
                      <w:rFonts w:eastAsia="Times New Roman"/>
                    </w:rPr>
                    <w:t>HJ681-2013</w:t>
                  </w:r>
                  <w:r>
                    <w:rPr>
                      <w:rFonts w:hint="eastAsia" w:ascii="宋体" w:hAnsi="宋体" w:eastAsia="宋体" w:cs="宋体"/>
                    </w:rPr>
                    <w:t>）。</w:t>
                  </w:r>
                </w:p>
              </w:tc>
            </w:tr>
            <w:tr w14:paraId="495E00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628" w:type="pct"/>
                  <w:vAlign w:val="center"/>
                </w:tcPr>
                <w:p w14:paraId="5D8A1E71">
                  <w:pPr>
                    <w:pStyle w:val="149"/>
                    <w:jc w:val="both"/>
                    <w:rPr>
                      <w:rFonts w:eastAsia="Times New Roman"/>
                    </w:rPr>
                  </w:pPr>
                  <w:r>
                    <w:rPr>
                      <w:rFonts w:hint="eastAsia" w:ascii="宋体" w:hAnsi="宋体" w:eastAsia="宋体" w:cs="宋体"/>
                    </w:rPr>
                    <w:t>等效连续</w:t>
                  </w:r>
                  <w:r>
                    <w:rPr>
                      <w:rFonts w:eastAsia="Times New Roman"/>
                    </w:rPr>
                    <w:t>A</w:t>
                  </w:r>
                  <w:r>
                    <w:rPr>
                      <w:rFonts w:hint="eastAsia" w:ascii="宋体" w:hAnsi="宋体" w:eastAsia="宋体" w:cs="宋体"/>
                    </w:rPr>
                    <w:t>声级</w:t>
                  </w:r>
                </w:p>
              </w:tc>
              <w:tc>
                <w:tcPr>
                  <w:tcW w:w="623" w:type="pct"/>
                  <w:vMerge w:val="continue"/>
                  <w:vAlign w:val="center"/>
                </w:tcPr>
                <w:p w14:paraId="07B14EB3">
                  <w:pPr>
                    <w:pStyle w:val="149"/>
                    <w:rPr>
                      <w:rFonts w:eastAsia="Times New Roman"/>
                    </w:rPr>
                  </w:pPr>
                </w:p>
              </w:tc>
              <w:tc>
                <w:tcPr>
                  <w:tcW w:w="1065" w:type="pct"/>
                  <w:vAlign w:val="center"/>
                </w:tcPr>
                <w:p w14:paraId="0729F2AE">
                  <w:pPr>
                    <w:pStyle w:val="149"/>
                    <w:rPr>
                      <w:rFonts w:eastAsia="Times New Roman"/>
                    </w:rPr>
                  </w:pPr>
                  <w:r>
                    <w:rPr>
                      <w:rFonts w:hint="eastAsia" w:ascii="宋体" w:hAnsi="宋体" w:eastAsia="Times New Roman"/>
                    </w:rPr>
                    <w:t>必要时监测</w:t>
                  </w:r>
                </w:p>
                <w:p w14:paraId="62077C3B">
                  <w:pPr>
                    <w:pStyle w:val="149"/>
                    <w:rPr>
                      <w:rFonts w:eastAsia="Times New Roman"/>
                    </w:rPr>
                  </w:pPr>
                </w:p>
              </w:tc>
              <w:tc>
                <w:tcPr>
                  <w:tcW w:w="767" w:type="pct"/>
                  <w:vAlign w:val="center"/>
                </w:tcPr>
                <w:p w14:paraId="36A1D326">
                  <w:pPr>
                    <w:pStyle w:val="149"/>
                    <w:jc w:val="both"/>
                    <w:rPr>
                      <w:rFonts w:eastAsia="Times New Roman"/>
                    </w:rPr>
                  </w:pPr>
                  <w:r>
                    <w:rPr>
                      <w:rFonts w:hint="eastAsia" w:ascii="宋体" w:hAnsi="宋体" w:eastAsia="宋体" w:cs="宋体"/>
                    </w:rPr>
                    <w:t>项目厂界四周</w:t>
                  </w:r>
                </w:p>
              </w:tc>
              <w:tc>
                <w:tcPr>
                  <w:tcW w:w="1917" w:type="pct"/>
                  <w:vAlign w:val="center"/>
                </w:tcPr>
                <w:p w14:paraId="1F7BC79C">
                  <w:pPr>
                    <w:pStyle w:val="149"/>
                    <w:jc w:val="both"/>
                    <w:rPr>
                      <w:rFonts w:eastAsia="Times New Roman"/>
                    </w:rPr>
                  </w:pPr>
                  <w:r>
                    <w:rPr>
                      <w:rFonts w:hint="eastAsia" w:ascii="宋体" w:hAnsi="宋体" w:eastAsia="宋体" w:cs="宋体"/>
                    </w:rPr>
                    <w:t>《工业企业厂界环境噪声排放标准》（</w:t>
                  </w:r>
                  <w:r>
                    <w:rPr>
                      <w:rFonts w:eastAsia="Times New Roman"/>
                    </w:rPr>
                    <w:t>GB12348-2008</w:t>
                  </w:r>
                  <w:r>
                    <w:rPr>
                      <w:rFonts w:hint="eastAsia" w:ascii="宋体" w:hAnsi="宋体" w:eastAsia="宋体" w:cs="宋体"/>
                    </w:rPr>
                    <w:t>）。</w:t>
                  </w:r>
                </w:p>
              </w:tc>
            </w:tr>
          </w:tbl>
          <w:p w14:paraId="3639A56D">
            <w:pPr>
              <w:spacing w:line="360" w:lineRule="auto"/>
              <w:ind w:firstLine="480" w:firstLineChars="200"/>
              <w:rPr>
                <w:sz w:val="24"/>
              </w:rPr>
            </w:pPr>
          </w:p>
        </w:tc>
      </w:tr>
      <w:tr w14:paraId="793A42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4" w:hRule="atLeast"/>
          <w:jc w:val="center"/>
        </w:trPr>
        <w:tc>
          <w:tcPr>
            <w:tcW w:w="343" w:type="pct"/>
            <w:tcMar>
              <w:left w:w="28" w:type="dxa"/>
              <w:right w:w="28" w:type="dxa"/>
            </w:tcMar>
            <w:vAlign w:val="center"/>
          </w:tcPr>
          <w:p w14:paraId="34BC78F0">
            <w:pPr>
              <w:pStyle w:val="29"/>
              <w:ind w:firstLine="0" w:firstLineChars="0"/>
              <w:jc w:val="center"/>
            </w:pPr>
            <w:r>
              <w:rPr>
                <w:rFonts w:hint="eastAsia"/>
              </w:rPr>
              <w:t>环保投资</w:t>
            </w:r>
          </w:p>
        </w:tc>
        <w:tc>
          <w:tcPr>
            <w:tcW w:w="4656" w:type="pct"/>
            <w:vAlign w:val="center"/>
          </w:tcPr>
          <w:p w14:paraId="7B192403">
            <w:pPr>
              <w:pStyle w:val="10"/>
            </w:pPr>
            <w:r>
              <w:rPr>
                <w:rFonts w:hint="eastAsia"/>
              </w:rPr>
              <w:t>本工程环保投资估算见表</w:t>
            </w:r>
            <w:r>
              <w:t>5-2</w:t>
            </w:r>
            <w:r>
              <w:rPr>
                <w:rFonts w:hint="eastAsia"/>
              </w:rPr>
              <w:t>。</w:t>
            </w:r>
          </w:p>
          <w:p w14:paraId="4FD3CFD6">
            <w:pPr>
              <w:pStyle w:val="132"/>
              <w:rPr>
                <w:b/>
              </w:rPr>
            </w:pPr>
            <w:r>
              <w:rPr>
                <w:rFonts w:hint="eastAsia"/>
                <w:b/>
              </w:rPr>
              <w:t>表</w:t>
            </w:r>
            <w:r>
              <w:rPr>
                <w:b/>
              </w:rPr>
              <w:t>5-2</w:t>
            </w:r>
            <w:r>
              <w:rPr>
                <w:rFonts w:hint="eastAsia"/>
                <w:b/>
              </w:rPr>
              <w:t>项目环保投资估算表</w:t>
            </w:r>
          </w:p>
          <w:tbl>
            <w:tblPr>
              <w:tblStyle w:val="150"/>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030"/>
              <w:gridCol w:w="2041"/>
              <w:gridCol w:w="3064"/>
              <w:gridCol w:w="1007"/>
            </w:tblGrid>
            <w:tr w14:paraId="54D6E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500" w:type="pct"/>
                  <w:gridSpan w:val="2"/>
                  <w:vMerge w:val="restart"/>
                  <w:vAlign w:val="center"/>
                </w:tcPr>
                <w:p w14:paraId="6C42EC8F">
                  <w:pPr>
                    <w:pStyle w:val="122"/>
                    <w:spacing w:before="0" w:after="0"/>
                    <w:jc w:val="center"/>
                    <w:rPr>
                      <w:rFonts w:hint="default" w:ascii="Times New Roman" w:hAnsi="Times New Roman" w:eastAsia="宋体" w:cs="Times New Roman"/>
                      <w:b/>
                      <w:i w:val="0"/>
                    </w:rPr>
                  </w:pPr>
                  <w:r>
                    <w:rPr>
                      <w:rFonts w:hint="eastAsia" w:ascii="Times New Roman" w:hAnsi="Times New Roman" w:eastAsia="宋体" w:cs="Times New Roman"/>
                      <w:b/>
                      <w:i w:val="0"/>
                    </w:rPr>
                    <w:t>项目</w:t>
                  </w:r>
                </w:p>
              </w:tc>
              <w:tc>
                <w:tcPr>
                  <w:tcW w:w="1881" w:type="pct"/>
                  <w:vMerge w:val="restart"/>
                  <w:vAlign w:val="center"/>
                </w:tcPr>
                <w:p w14:paraId="19143FD2">
                  <w:pPr>
                    <w:pStyle w:val="122"/>
                    <w:spacing w:before="0" w:after="0"/>
                    <w:jc w:val="center"/>
                    <w:rPr>
                      <w:rFonts w:hint="default" w:ascii="Times New Roman" w:hAnsi="Times New Roman" w:eastAsia="宋体" w:cs="Times New Roman"/>
                      <w:b/>
                      <w:i w:val="0"/>
                    </w:rPr>
                  </w:pPr>
                  <w:r>
                    <w:rPr>
                      <w:rFonts w:hint="eastAsia" w:ascii="Times New Roman" w:hAnsi="Times New Roman" w:eastAsia="宋体" w:cs="Times New Roman"/>
                      <w:b/>
                      <w:i w:val="0"/>
                    </w:rPr>
                    <w:t>工程内容</w:t>
                  </w:r>
                </w:p>
              </w:tc>
              <w:tc>
                <w:tcPr>
                  <w:tcW w:w="618" w:type="pct"/>
                  <w:vMerge w:val="restart"/>
                  <w:vAlign w:val="center"/>
                </w:tcPr>
                <w:p w14:paraId="4C642638">
                  <w:pPr>
                    <w:pStyle w:val="122"/>
                    <w:spacing w:before="0" w:after="0"/>
                    <w:jc w:val="center"/>
                    <w:rPr>
                      <w:rFonts w:hint="default" w:ascii="Times New Roman" w:hAnsi="Times New Roman" w:eastAsia="宋体" w:cs="Times New Roman"/>
                      <w:b/>
                      <w:i w:val="0"/>
                    </w:rPr>
                  </w:pPr>
                  <w:r>
                    <w:rPr>
                      <w:rFonts w:hint="eastAsia" w:ascii="Times New Roman" w:hAnsi="Times New Roman" w:eastAsia="宋体" w:cs="Times New Roman"/>
                      <w:b/>
                      <w:i w:val="0"/>
                    </w:rPr>
                    <w:t>投资（万元）</w:t>
                  </w:r>
                </w:p>
              </w:tc>
            </w:tr>
            <w:tr w14:paraId="7A2C50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500" w:type="pct"/>
                  <w:gridSpan w:val="2"/>
                  <w:vMerge w:val="continue"/>
                  <w:vAlign w:val="center"/>
                </w:tcPr>
                <w:p w14:paraId="4AC89FC6">
                  <w:pPr>
                    <w:pStyle w:val="122"/>
                    <w:spacing w:before="0" w:after="0"/>
                    <w:jc w:val="center"/>
                    <w:rPr>
                      <w:rFonts w:eastAsia="Times New Roman"/>
                    </w:rPr>
                  </w:pPr>
                </w:p>
              </w:tc>
              <w:tc>
                <w:tcPr>
                  <w:tcW w:w="1881" w:type="pct"/>
                  <w:vMerge w:val="continue"/>
                  <w:vAlign w:val="center"/>
                </w:tcPr>
                <w:p w14:paraId="7C47FBE2">
                  <w:pPr>
                    <w:pStyle w:val="122"/>
                    <w:spacing w:before="0" w:after="0"/>
                    <w:jc w:val="center"/>
                    <w:rPr>
                      <w:rFonts w:eastAsia="Times New Roman"/>
                    </w:rPr>
                  </w:pPr>
                </w:p>
              </w:tc>
              <w:tc>
                <w:tcPr>
                  <w:tcW w:w="618" w:type="pct"/>
                  <w:vMerge w:val="continue"/>
                  <w:vAlign w:val="center"/>
                </w:tcPr>
                <w:p w14:paraId="19DA1C04">
                  <w:pPr>
                    <w:pStyle w:val="122"/>
                    <w:spacing w:before="0" w:after="0"/>
                    <w:jc w:val="center"/>
                    <w:rPr>
                      <w:rFonts w:eastAsia="Times New Roman"/>
                    </w:rPr>
                  </w:pPr>
                </w:p>
              </w:tc>
            </w:tr>
            <w:tr w14:paraId="1A4B75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247" w:type="pct"/>
                  <w:vMerge w:val="restart"/>
                  <w:vAlign w:val="center"/>
                </w:tcPr>
                <w:p w14:paraId="2FF15E78">
                  <w:pPr>
                    <w:pStyle w:val="122"/>
                    <w:spacing w:before="0" w:after="0"/>
                    <w:jc w:val="center"/>
                    <w:rPr>
                      <w:rFonts w:eastAsia="Times New Roman"/>
                    </w:rPr>
                  </w:pPr>
                  <w:r>
                    <w:rPr>
                      <w:rFonts w:hint="eastAsia" w:ascii="宋体" w:hAnsi="宋体" w:eastAsia="宋体" w:cs="宋体"/>
                    </w:rPr>
                    <w:t>文明施工</w:t>
                  </w:r>
                </w:p>
              </w:tc>
              <w:tc>
                <w:tcPr>
                  <w:tcW w:w="1252" w:type="pct"/>
                  <w:vAlign w:val="center"/>
                </w:tcPr>
                <w:p w14:paraId="7277D6A9">
                  <w:pPr>
                    <w:pStyle w:val="122"/>
                    <w:spacing w:before="0" w:after="0"/>
                    <w:jc w:val="center"/>
                    <w:rPr>
                      <w:rFonts w:eastAsia="Times New Roman"/>
                    </w:rPr>
                  </w:pPr>
                  <w:r>
                    <w:rPr>
                      <w:rFonts w:hint="eastAsia" w:ascii="宋体" w:hAnsi="宋体" w:eastAsia="宋体" w:cs="宋体"/>
                    </w:rPr>
                    <w:t>固废处理</w:t>
                  </w:r>
                </w:p>
              </w:tc>
              <w:tc>
                <w:tcPr>
                  <w:tcW w:w="1881" w:type="pct"/>
                  <w:vAlign w:val="center"/>
                </w:tcPr>
                <w:p w14:paraId="50174501">
                  <w:pPr>
                    <w:pStyle w:val="122"/>
                    <w:spacing w:before="0" w:after="0"/>
                    <w:jc w:val="center"/>
                    <w:rPr>
                      <w:rFonts w:eastAsia="Times New Roman"/>
                    </w:rPr>
                  </w:pPr>
                  <w:r>
                    <w:rPr>
                      <w:rFonts w:hint="eastAsia" w:ascii="宋体" w:hAnsi="宋体" w:eastAsia="宋体" w:cs="宋体"/>
                    </w:rPr>
                    <w:t>生活垃圾由市政环卫统一清运；</w:t>
                  </w:r>
                </w:p>
              </w:tc>
              <w:tc>
                <w:tcPr>
                  <w:tcW w:w="618" w:type="pct"/>
                  <w:vAlign w:val="center"/>
                </w:tcPr>
                <w:p w14:paraId="17206E54">
                  <w:pPr>
                    <w:pStyle w:val="122"/>
                    <w:spacing w:before="0" w:after="0"/>
                    <w:jc w:val="center"/>
                    <w:rPr>
                      <w:rFonts w:eastAsia="Times New Roman"/>
                    </w:rPr>
                  </w:pPr>
                  <w:r>
                    <w:rPr>
                      <w:rFonts w:eastAsia="Times New Roman"/>
                    </w:rPr>
                    <w:t>1</w:t>
                  </w:r>
                </w:p>
              </w:tc>
            </w:tr>
            <w:tr w14:paraId="5703C1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247" w:type="pct"/>
                  <w:vMerge w:val="continue"/>
                  <w:vAlign w:val="center"/>
                </w:tcPr>
                <w:p w14:paraId="3F42BF17">
                  <w:pPr>
                    <w:pStyle w:val="122"/>
                    <w:spacing w:before="0" w:after="0"/>
                    <w:jc w:val="center"/>
                    <w:rPr>
                      <w:rFonts w:eastAsia="Times New Roman"/>
                    </w:rPr>
                  </w:pPr>
                </w:p>
              </w:tc>
              <w:tc>
                <w:tcPr>
                  <w:tcW w:w="1252" w:type="pct"/>
                  <w:vAlign w:val="center"/>
                </w:tcPr>
                <w:p w14:paraId="258F136C">
                  <w:pPr>
                    <w:pStyle w:val="122"/>
                    <w:spacing w:before="0" w:after="0"/>
                    <w:jc w:val="center"/>
                    <w:rPr>
                      <w:rFonts w:eastAsia="Times New Roman"/>
                    </w:rPr>
                  </w:pPr>
                  <w:r>
                    <w:rPr>
                      <w:rFonts w:hint="eastAsia" w:ascii="宋体" w:hAnsi="宋体" w:eastAsia="宋体" w:cs="宋体"/>
                    </w:rPr>
                    <w:t>扬尘防治</w:t>
                  </w:r>
                </w:p>
              </w:tc>
              <w:tc>
                <w:tcPr>
                  <w:tcW w:w="1881" w:type="pct"/>
                  <w:vAlign w:val="center"/>
                </w:tcPr>
                <w:p w14:paraId="7B15D8D5">
                  <w:pPr>
                    <w:pStyle w:val="122"/>
                    <w:spacing w:before="0" w:after="0"/>
                    <w:jc w:val="center"/>
                    <w:rPr>
                      <w:rFonts w:eastAsia="Times New Roman"/>
                    </w:rPr>
                  </w:pPr>
                  <w:r>
                    <w:rPr>
                      <w:rFonts w:hint="eastAsia" w:ascii="宋体" w:hAnsi="宋体" w:eastAsia="宋体" w:cs="宋体"/>
                    </w:rPr>
                    <w:t>物料堆放均覆盖防尘网、定期洒水、围栏水雾喷淋装置</w:t>
                  </w:r>
                </w:p>
              </w:tc>
              <w:tc>
                <w:tcPr>
                  <w:tcW w:w="618" w:type="pct"/>
                  <w:vAlign w:val="center"/>
                </w:tcPr>
                <w:p w14:paraId="24F7587B">
                  <w:pPr>
                    <w:pStyle w:val="122"/>
                    <w:spacing w:before="0" w:after="0"/>
                    <w:jc w:val="center"/>
                    <w:rPr>
                      <w:rFonts w:eastAsia="Times New Roman"/>
                    </w:rPr>
                  </w:pPr>
                  <w:r>
                    <w:rPr>
                      <w:rFonts w:eastAsia="Times New Roman"/>
                    </w:rPr>
                    <w:t>2</w:t>
                  </w:r>
                </w:p>
              </w:tc>
            </w:tr>
            <w:tr w14:paraId="106A4E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247" w:type="pct"/>
                  <w:vMerge w:val="continue"/>
                  <w:noWrap/>
                  <w:vAlign w:val="center"/>
                </w:tcPr>
                <w:p w14:paraId="5B05C036">
                  <w:pPr>
                    <w:pStyle w:val="122"/>
                    <w:spacing w:before="0" w:after="0"/>
                    <w:jc w:val="center"/>
                    <w:rPr>
                      <w:rFonts w:eastAsia="Times New Roman"/>
                    </w:rPr>
                  </w:pPr>
                </w:p>
              </w:tc>
              <w:tc>
                <w:tcPr>
                  <w:tcW w:w="1252" w:type="pct"/>
                  <w:vAlign w:val="center"/>
                </w:tcPr>
                <w:p w14:paraId="5FD7D514">
                  <w:pPr>
                    <w:pStyle w:val="122"/>
                    <w:spacing w:before="0" w:after="0"/>
                    <w:jc w:val="center"/>
                    <w:rPr>
                      <w:rFonts w:eastAsia="Times New Roman"/>
                    </w:rPr>
                  </w:pPr>
                  <w:r>
                    <w:rPr>
                      <w:rFonts w:hint="eastAsia" w:ascii="宋体" w:hAnsi="宋体" w:eastAsia="宋体" w:cs="宋体"/>
                    </w:rPr>
                    <w:t>施工场地围栏</w:t>
                  </w:r>
                </w:p>
              </w:tc>
              <w:tc>
                <w:tcPr>
                  <w:tcW w:w="1881" w:type="pct"/>
                  <w:vAlign w:val="center"/>
                </w:tcPr>
                <w:p w14:paraId="592A8F92">
                  <w:pPr>
                    <w:pStyle w:val="122"/>
                    <w:spacing w:before="0" w:after="0"/>
                    <w:jc w:val="center"/>
                    <w:rPr>
                      <w:rFonts w:eastAsia="Times New Roman"/>
                    </w:rPr>
                  </w:pPr>
                  <w:r>
                    <w:rPr>
                      <w:rFonts w:eastAsia="Times New Roman"/>
                    </w:rPr>
                    <w:t>/</w:t>
                  </w:r>
                </w:p>
              </w:tc>
              <w:tc>
                <w:tcPr>
                  <w:tcW w:w="618" w:type="pct"/>
                  <w:vMerge w:val="restart"/>
                  <w:vAlign w:val="center"/>
                </w:tcPr>
                <w:p w14:paraId="0D2A8D6C">
                  <w:pPr>
                    <w:pStyle w:val="122"/>
                    <w:spacing w:before="0" w:after="0"/>
                    <w:jc w:val="center"/>
                    <w:rPr>
                      <w:rFonts w:eastAsia="Times New Roman"/>
                    </w:rPr>
                  </w:pPr>
                  <w:r>
                    <w:rPr>
                      <w:rFonts w:eastAsia="Times New Roman"/>
                    </w:rPr>
                    <w:t>4</w:t>
                  </w:r>
                </w:p>
              </w:tc>
            </w:tr>
            <w:tr w14:paraId="4B6521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247" w:type="pct"/>
                  <w:vMerge w:val="continue"/>
                  <w:noWrap/>
                  <w:vAlign w:val="center"/>
                </w:tcPr>
                <w:p w14:paraId="4598ECCA">
                  <w:pPr>
                    <w:pStyle w:val="122"/>
                    <w:spacing w:before="0" w:after="0"/>
                    <w:jc w:val="center"/>
                    <w:rPr>
                      <w:rFonts w:eastAsia="Times New Roman"/>
                    </w:rPr>
                  </w:pPr>
                </w:p>
              </w:tc>
              <w:tc>
                <w:tcPr>
                  <w:tcW w:w="1252" w:type="pct"/>
                  <w:vAlign w:val="center"/>
                </w:tcPr>
                <w:p w14:paraId="308C032A">
                  <w:pPr>
                    <w:pStyle w:val="122"/>
                    <w:spacing w:before="0" w:after="0"/>
                    <w:jc w:val="center"/>
                    <w:rPr>
                      <w:rFonts w:eastAsia="Times New Roman"/>
                    </w:rPr>
                  </w:pPr>
                  <w:r>
                    <w:rPr>
                      <w:rFonts w:hint="eastAsia" w:ascii="宋体" w:hAnsi="宋体" w:eastAsia="宋体" w:cs="宋体"/>
                    </w:rPr>
                    <w:t>施工废水处理</w:t>
                  </w:r>
                </w:p>
              </w:tc>
              <w:tc>
                <w:tcPr>
                  <w:tcW w:w="1881" w:type="pct"/>
                  <w:vAlign w:val="center"/>
                </w:tcPr>
                <w:p w14:paraId="3FDCF6E8">
                  <w:pPr>
                    <w:pStyle w:val="122"/>
                    <w:spacing w:before="0" w:after="0"/>
                    <w:jc w:val="center"/>
                    <w:rPr>
                      <w:rFonts w:eastAsia="Times New Roman"/>
                    </w:rPr>
                  </w:pPr>
                  <w:r>
                    <w:rPr>
                      <w:rFonts w:hint="eastAsia" w:ascii="宋体" w:hAnsi="宋体" w:eastAsia="宋体" w:cs="宋体"/>
                    </w:rPr>
                    <w:t>沉淀池</w:t>
                  </w:r>
                  <w:r>
                    <w:rPr>
                      <w:rFonts w:eastAsia="Times New Roman"/>
                    </w:rPr>
                    <w:t>1</w:t>
                  </w:r>
                  <w:r>
                    <w:rPr>
                      <w:rFonts w:hint="eastAsia" w:ascii="宋体" w:hAnsi="宋体" w:eastAsia="宋体" w:cs="宋体"/>
                    </w:rPr>
                    <w:t>座</w:t>
                  </w:r>
                </w:p>
              </w:tc>
              <w:tc>
                <w:tcPr>
                  <w:tcW w:w="618" w:type="pct"/>
                  <w:vMerge w:val="continue"/>
                  <w:vAlign w:val="center"/>
                </w:tcPr>
                <w:p w14:paraId="022C6CB5">
                  <w:pPr>
                    <w:pStyle w:val="122"/>
                    <w:spacing w:before="0" w:after="0"/>
                    <w:jc w:val="center"/>
                    <w:rPr>
                      <w:rFonts w:eastAsia="Times New Roman"/>
                    </w:rPr>
                  </w:pPr>
                </w:p>
              </w:tc>
            </w:tr>
            <w:tr w14:paraId="715088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247" w:type="pct"/>
                  <w:vAlign w:val="center"/>
                </w:tcPr>
                <w:p w14:paraId="0F91BBDC">
                  <w:pPr>
                    <w:pStyle w:val="122"/>
                    <w:spacing w:before="0" w:after="0"/>
                    <w:jc w:val="center"/>
                    <w:rPr>
                      <w:rFonts w:eastAsia="Times New Roman"/>
                    </w:rPr>
                  </w:pPr>
                  <w:r>
                    <w:rPr>
                      <w:rFonts w:hint="eastAsia" w:ascii="宋体" w:hAnsi="宋体" w:eastAsia="宋体" w:cs="宋体"/>
                    </w:rPr>
                    <w:t>污水处理措施</w:t>
                  </w:r>
                </w:p>
              </w:tc>
              <w:tc>
                <w:tcPr>
                  <w:tcW w:w="1252" w:type="pct"/>
                  <w:vAlign w:val="center"/>
                </w:tcPr>
                <w:p w14:paraId="292704B1">
                  <w:pPr>
                    <w:pStyle w:val="122"/>
                    <w:spacing w:before="0" w:after="0"/>
                    <w:jc w:val="center"/>
                    <w:rPr>
                      <w:rFonts w:eastAsia="Times New Roman"/>
                    </w:rPr>
                  </w:pPr>
                  <w:r>
                    <w:rPr>
                      <w:rFonts w:hint="eastAsia" w:ascii="宋体" w:hAnsi="宋体" w:eastAsia="宋体" w:cs="宋体"/>
                    </w:rPr>
                    <w:t>生活污水处理</w:t>
                  </w:r>
                </w:p>
              </w:tc>
              <w:tc>
                <w:tcPr>
                  <w:tcW w:w="1881" w:type="pct"/>
                  <w:vAlign w:val="center"/>
                </w:tcPr>
                <w:p w14:paraId="6EBC5D9F">
                  <w:pPr>
                    <w:pStyle w:val="122"/>
                    <w:spacing w:before="0" w:after="0"/>
                    <w:jc w:val="center"/>
                    <w:rPr>
                      <w:rFonts w:eastAsia="Times New Roman"/>
                    </w:rPr>
                  </w:pPr>
                  <w:r>
                    <w:rPr>
                      <w:rFonts w:hint="eastAsia" w:ascii="宋体" w:hAnsi="宋体" w:eastAsia="宋体" w:cs="宋体"/>
                    </w:rPr>
                    <w:t>化粪池及管道</w:t>
                  </w:r>
                </w:p>
              </w:tc>
              <w:tc>
                <w:tcPr>
                  <w:tcW w:w="618" w:type="pct"/>
                  <w:vAlign w:val="center"/>
                </w:tcPr>
                <w:p w14:paraId="36046F29">
                  <w:pPr>
                    <w:pStyle w:val="122"/>
                    <w:spacing w:before="0" w:after="0"/>
                    <w:jc w:val="center"/>
                    <w:rPr>
                      <w:rFonts w:eastAsia="Times New Roman"/>
                    </w:rPr>
                  </w:pPr>
                  <w:r>
                    <w:rPr>
                      <w:rFonts w:eastAsia="Times New Roman"/>
                    </w:rPr>
                    <w:t>8</w:t>
                  </w:r>
                </w:p>
              </w:tc>
            </w:tr>
            <w:tr w14:paraId="7BD9E3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247" w:type="pct"/>
                  <w:vAlign w:val="center"/>
                </w:tcPr>
                <w:p w14:paraId="131D5C6A">
                  <w:pPr>
                    <w:pStyle w:val="122"/>
                    <w:spacing w:before="0" w:after="0"/>
                    <w:jc w:val="center"/>
                    <w:rPr>
                      <w:rFonts w:eastAsia="Times New Roman"/>
                    </w:rPr>
                  </w:pPr>
                  <w:r>
                    <w:rPr>
                      <w:rFonts w:hint="eastAsia" w:ascii="宋体" w:hAnsi="宋体" w:eastAsia="宋体" w:cs="宋体"/>
                    </w:rPr>
                    <w:t>噪声治理措施</w:t>
                  </w:r>
                </w:p>
              </w:tc>
              <w:tc>
                <w:tcPr>
                  <w:tcW w:w="1252" w:type="pct"/>
                  <w:vAlign w:val="center"/>
                </w:tcPr>
                <w:p w14:paraId="7C6E03CF">
                  <w:pPr>
                    <w:pStyle w:val="122"/>
                    <w:spacing w:before="0" w:after="0"/>
                    <w:jc w:val="center"/>
                    <w:rPr>
                      <w:rFonts w:eastAsia="Times New Roman"/>
                    </w:rPr>
                  </w:pPr>
                  <w:r>
                    <w:rPr>
                      <w:rFonts w:hint="eastAsia" w:ascii="宋体" w:hAnsi="宋体" w:eastAsia="宋体" w:cs="宋体"/>
                    </w:rPr>
                    <w:t>选择低源强设备</w:t>
                  </w:r>
                </w:p>
              </w:tc>
              <w:tc>
                <w:tcPr>
                  <w:tcW w:w="1881" w:type="pct"/>
                  <w:vAlign w:val="center"/>
                </w:tcPr>
                <w:p w14:paraId="6EAD9872">
                  <w:pPr>
                    <w:pStyle w:val="122"/>
                    <w:spacing w:before="0" w:after="0"/>
                    <w:jc w:val="center"/>
                    <w:rPr>
                      <w:rFonts w:eastAsia="Times New Roman"/>
                    </w:rPr>
                  </w:pPr>
                  <w:r>
                    <w:rPr>
                      <w:rFonts w:hint="eastAsia" w:ascii="宋体" w:hAnsi="宋体" w:eastAsia="宋体" w:cs="宋体"/>
                    </w:rPr>
                    <w:t>选用低噪声施工设备，采购噪声低于</w:t>
                  </w:r>
                  <w:r>
                    <w:rPr>
                      <w:rFonts w:eastAsia="Times New Roman"/>
                    </w:rPr>
                    <w:t>60dB</w:t>
                  </w:r>
                  <w:r>
                    <w:rPr>
                      <w:rFonts w:hint="eastAsia" w:ascii="宋体" w:hAnsi="宋体" w:eastAsia="宋体" w:cs="宋体"/>
                    </w:rPr>
                    <w:t>（</w:t>
                  </w:r>
                  <w:r>
                    <w:rPr>
                      <w:rFonts w:eastAsia="Times New Roman"/>
                    </w:rPr>
                    <w:t>A</w:t>
                  </w:r>
                  <w:r>
                    <w:rPr>
                      <w:rFonts w:hint="eastAsia" w:ascii="宋体" w:hAnsi="宋体" w:eastAsia="宋体" w:cs="宋体"/>
                    </w:rPr>
                    <w:t>）的主变。</w:t>
                  </w:r>
                </w:p>
              </w:tc>
              <w:tc>
                <w:tcPr>
                  <w:tcW w:w="618" w:type="pct"/>
                  <w:vAlign w:val="center"/>
                </w:tcPr>
                <w:p w14:paraId="29DABFC2">
                  <w:pPr>
                    <w:pStyle w:val="122"/>
                    <w:spacing w:before="0" w:after="0"/>
                    <w:jc w:val="center"/>
                    <w:rPr>
                      <w:rFonts w:eastAsia="Times New Roman"/>
                    </w:rPr>
                  </w:pPr>
                  <w:r>
                    <w:rPr>
                      <w:rFonts w:hint="eastAsia" w:ascii="宋体" w:hAnsi="宋体" w:eastAsia="宋体" w:cs="宋体"/>
                    </w:rPr>
                    <w:t>已列入主体投资</w:t>
                  </w:r>
                </w:p>
              </w:tc>
            </w:tr>
            <w:tr w14:paraId="12681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2500" w:type="pct"/>
                  <w:gridSpan w:val="2"/>
                  <w:vAlign w:val="center"/>
                </w:tcPr>
                <w:p w14:paraId="166307DB">
                  <w:pPr>
                    <w:pStyle w:val="122"/>
                    <w:spacing w:before="0" w:after="0"/>
                    <w:jc w:val="center"/>
                    <w:rPr>
                      <w:rFonts w:eastAsia="Times New Roman"/>
                    </w:rPr>
                  </w:pPr>
                  <w:r>
                    <w:rPr>
                      <w:rFonts w:hint="eastAsia" w:ascii="宋体" w:hAnsi="宋体" w:eastAsia="宋体" w:cs="宋体"/>
                    </w:rPr>
                    <w:t>事故油池及其配套设施</w:t>
                  </w:r>
                </w:p>
              </w:tc>
              <w:tc>
                <w:tcPr>
                  <w:tcW w:w="1881" w:type="pct"/>
                  <w:vAlign w:val="center"/>
                </w:tcPr>
                <w:p w14:paraId="20ED1A5A">
                  <w:pPr>
                    <w:pStyle w:val="122"/>
                    <w:spacing w:before="0" w:after="0"/>
                    <w:jc w:val="center"/>
                    <w:rPr>
                      <w:rFonts w:eastAsia="Times New Roman"/>
                    </w:rPr>
                  </w:pPr>
                  <w:r>
                    <w:rPr>
                      <w:rFonts w:hint="eastAsia" w:ascii="宋体" w:hAnsi="宋体" w:eastAsia="宋体" w:cs="宋体"/>
                    </w:rPr>
                    <w:t>事故油池、集油坑采取重点防渗措施</w:t>
                  </w:r>
                </w:p>
              </w:tc>
              <w:tc>
                <w:tcPr>
                  <w:tcW w:w="618" w:type="pct"/>
                  <w:vAlign w:val="center"/>
                </w:tcPr>
                <w:p w14:paraId="0BD9C9F4">
                  <w:pPr>
                    <w:pStyle w:val="122"/>
                    <w:spacing w:before="0" w:after="0"/>
                    <w:jc w:val="center"/>
                    <w:rPr>
                      <w:rFonts w:eastAsia="Times New Roman"/>
                    </w:rPr>
                  </w:pPr>
                  <w:r>
                    <w:rPr>
                      <w:rFonts w:eastAsia="Times New Roman"/>
                    </w:rPr>
                    <w:t>30</w:t>
                  </w:r>
                </w:p>
              </w:tc>
            </w:tr>
            <w:tr w14:paraId="64D04D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2500" w:type="pct"/>
                  <w:gridSpan w:val="2"/>
                  <w:noWrap/>
                  <w:vAlign w:val="center"/>
                </w:tcPr>
                <w:p w14:paraId="4F75E0F5">
                  <w:pPr>
                    <w:pStyle w:val="122"/>
                    <w:spacing w:before="0" w:after="0"/>
                    <w:jc w:val="center"/>
                    <w:rPr>
                      <w:rFonts w:eastAsia="Times New Roman"/>
                    </w:rPr>
                  </w:pPr>
                  <w:r>
                    <w:rPr>
                      <w:rFonts w:hint="eastAsia" w:ascii="宋体" w:hAnsi="宋体" w:eastAsia="宋体" w:cs="宋体"/>
                    </w:rPr>
                    <w:t>危废暂存间</w:t>
                  </w:r>
                </w:p>
              </w:tc>
              <w:tc>
                <w:tcPr>
                  <w:tcW w:w="1881" w:type="pct"/>
                  <w:vAlign w:val="center"/>
                </w:tcPr>
                <w:p w14:paraId="09AD2A07">
                  <w:pPr>
                    <w:pStyle w:val="122"/>
                    <w:spacing w:before="0" w:after="0"/>
                    <w:jc w:val="center"/>
                    <w:rPr>
                      <w:rFonts w:eastAsia="Times New Roman"/>
                    </w:rPr>
                  </w:pPr>
                  <w:r>
                    <w:rPr>
                      <w:rFonts w:hint="eastAsia" w:ascii="宋体" w:hAnsi="宋体" w:eastAsia="宋体" w:cs="宋体"/>
                    </w:rPr>
                    <w:t>采取重点防渗措施</w:t>
                  </w:r>
                </w:p>
              </w:tc>
              <w:tc>
                <w:tcPr>
                  <w:tcW w:w="618" w:type="pct"/>
                  <w:noWrap/>
                  <w:vAlign w:val="center"/>
                </w:tcPr>
                <w:p w14:paraId="49F25FE6">
                  <w:pPr>
                    <w:pStyle w:val="122"/>
                    <w:spacing w:before="0" w:after="0"/>
                    <w:jc w:val="center"/>
                    <w:rPr>
                      <w:rFonts w:eastAsia="Times New Roman"/>
                    </w:rPr>
                  </w:pPr>
                  <w:r>
                    <w:rPr>
                      <w:rFonts w:eastAsia="Times New Roman"/>
                    </w:rPr>
                    <w:t>10</w:t>
                  </w:r>
                </w:p>
              </w:tc>
            </w:tr>
            <w:tr w14:paraId="70ADA9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2500" w:type="pct"/>
                  <w:gridSpan w:val="2"/>
                  <w:vAlign w:val="center"/>
                </w:tcPr>
                <w:p w14:paraId="20D86A94">
                  <w:pPr>
                    <w:pStyle w:val="122"/>
                    <w:spacing w:before="0" w:after="0"/>
                    <w:jc w:val="center"/>
                    <w:rPr>
                      <w:rFonts w:eastAsia="Times New Roman"/>
                    </w:rPr>
                  </w:pPr>
                  <w:r>
                    <w:rPr>
                      <w:rFonts w:hint="eastAsia" w:ascii="宋体" w:hAnsi="宋体" w:eastAsia="宋体" w:cs="宋体"/>
                    </w:rPr>
                    <w:t>生态保护措施</w:t>
                  </w:r>
                </w:p>
              </w:tc>
              <w:tc>
                <w:tcPr>
                  <w:tcW w:w="1881" w:type="pct"/>
                  <w:vAlign w:val="center"/>
                </w:tcPr>
                <w:p w14:paraId="3C6305D8">
                  <w:pPr>
                    <w:pStyle w:val="122"/>
                    <w:spacing w:before="0" w:after="0"/>
                    <w:jc w:val="center"/>
                    <w:rPr>
                      <w:rFonts w:eastAsia="Times New Roman"/>
                    </w:rPr>
                  </w:pPr>
                  <w:r>
                    <w:rPr>
                      <w:rFonts w:hint="eastAsia" w:ascii="宋体" w:hAnsi="宋体" w:eastAsia="宋体" w:cs="宋体"/>
                    </w:rPr>
                    <w:t>植被恢复</w:t>
                  </w:r>
                </w:p>
              </w:tc>
              <w:tc>
                <w:tcPr>
                  <w:tcW w:w="618" w:type="pct"/>
                  <w:vAlign w:val="center"/>
                </w:tcPr>
                <w:p w14:paraId="7B064E88">
                  <w:pPr>
                    <w:pStyle w:val="122"/>
                    <w:spacing w:before="0" w:after="0"/>
                    <w:jc w:val="center"/>
                    <w:rPr>
                      <w:rFonts w:eastAsia="Times New Roman"/>
                    </w:rPr>
                  </w:pPr>
                  <w:r>
                    <w:rPr>
                      <w:rFonts w:eastAsia="Times New Roman"/>
                    </w:rPr>
                    <w:t>—</w:t>
                  </w:r>
                </w:p>
              </w:tc>
            </w:tr>
            <w:tr w14:paraId="388451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2500" w:type="pct"/>
                  <w:gridSpan w:val="2"/>
                  <w:vMerge w:val="restart"/>
                  <w:vAlign w:val="center"/>
                </w:tcPr>
                <w:p w14:paraId="459CDAD6">
                  <w:pPr>
                    <w:pStyle w:val="122"/>
                    <w:spacing w:before="0" w:after="0"/>
                    <w:jc w:val="center"/>
                    <w:rPr>
                      <w:rFonts w:eastAsia="Times New Roman"/>
                    </w:rPr>
                  </w:pPr>
                  <w:r>
                    <w:rPr>
                      <w:rFonts w:hint="eastAsia" w:ascii="宋体" w:hAnsi="宋体" w:eastAsia="宋体" w:cs="宋体"/>
                    </w:rPr>
                    <w:t>其他</w:t>
                  </w:r>
                </w:p>
              </w:tc>
              <w:tc>
                <w:tcPr>
                  <w:tcW w:w="1881" w:type="pct"/>
                  <w:vAlign w:val="center"/>
                </w:tcPr>
                <w:p w14:paraId="5879C150">
                  <w:pPr>
                    <w:pStyle w:val="122"/>
                    <w:spacing w:before="0" w:after="0"/>
                    <w:jc w:val="center"/>
                    <w:rPr>
                      <w:rFonts w:eastAsia="Times New Roman"/>
                    </w:rPr>
                  </w:pPr>
                  <w:r>
                    <w:rPr>
                      <w:rFonts w:hint="eastAsia" w:ascii="宋体" w:hAnsi="宋体" w:eastAsia="宋体" w:cs="宋体"/>
                    </w:rPr>
                    <w:t>环境管理与监测</w:t>
                  </w:r>
                </w:p>
              </w:tc>
              <w:tc>
                <w:tcPr>
                  <w:tcW w:w="618" w:type="pct"/>
                  <w:vAlign w:val="center"/>
                </w:tcPr>
                <w:p w14:paraId="02CA4660">
                  <w:pPr>
                    <w:pStyle w:val="122"/>
                    <w:spacing w:before="0" w:after="0"/>
                    <w:jc w:val="center"/>
                    <w:rPr>
                      <w:rFonts w:eastAsia="Times New Roman"/>
                    </w:rPr>
                  </w:pPr>
                  <w:r>
                    <w:rPr>
                      <w:rFonts w:eastAsia="Times New Roman"/>
                    </w:rPr>
                    <w:t>2</w:t>
                  </w:r>
                </w:p>
              </w:tc>
            </w:tr>
            <w:tr w14:paraId="1800ED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2500" w:type="pct"/>
                  <w:gridSpan w:val="2"/>
                  <w:vMerge w:val="continue"/>
                  <w:vAlign w:val="center"/>
                </w:tcPr>
                <w:p w14:paraId="6071A38F">
                  <w:pPr>
                    <w:pStyle w:val="122"/>
                    <w:spacing w:before="0" w:after="0"/>
                    <w:jc w:val="center"/>
                    <w:rPr>
                      <w:rFonts w:eastAsia="Times New Roman"/>
                    </w:rPr>
                  </w:pPr>
                </w:p>
              </w:tc>
              <w:tc>
                <w:tcPr>
                  <w:tcW w:w="1881" w:type="pct"/>
                  <w:vAlign w:val="center"/>
                </w:tcPr>
                <w:p w14:paraId="126EB323">
                  <w:pPr>
                    <w:pStyle w:val="122"/>
                    <w:spacing w:before="0" w:after="0"/>
                    <w:jc w:val="center"/>
                    <w:rPr>
                      <w:rFonts w:eastAsia="Times New Roman"/>
                    </w:rPr>
                  </w:pPr>
                  <w:r>
                    <w:rPr>
                      <w:rFonts w:hint="eastAsia" w:ascii="宋体" w:hAnsi="宋体" w:eastAsia="宋体" w:cs="宋体"/>
                    </w:rPr>
                    <w:t>运行维护</w:t>
                  </w:r>
                </w:p>
              </w:tc>
              <w:tc>
                <w:tcPr>
                  <w:tcW w:w="618" w:type="pct"/>
                  <w:vAlign w:val="center"/>
                </w:tcPr>
                <w:p w14:paraId="38E709FD">
                  <w:pPr>
                    <w:pStyle w:val="122"/>
                    <w:spacing w:before="0" w:after="0"/>
                    <w:jc w:val="center"/>
                    <w:rPr>
                      <w:rFonts w:eastAsia="Times New Roman"/>
                    </w:rPr>
                  </w:pPr>
                  <w:r>
                    <w:rPr>
                      <w:rFonts w:eastAsia="Times New Roman"/>
                    </w:rPr>
                    <w:t>3</w:t>
                  </w:r>
                </w:p>
              </w:tc>
            </w:tr>
            <w:tr w14:paraId="526239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2500" w:type="pct"/>
                  <w:gridSpan w:val="2"/>
                  <w:vAlign w:val="center"/>
                </w:tcPr>
                <w:p w14:paraId="16B32116">
                  <w:pPr>
                    <w:pStyle w:val="122"/>
                    <w:spacing w:before="0" w:after="0"/>
                    <w:jc w:val="center"/>
                    <w:rPr>
                      <w:rFonts w:eastAsia="Times New Roman"/>
                    </w:rPr>
                  </w:pPr>
                  <w:r>
                    <w:rPr>
                      <w:rFonts w:hint="eastAsia" w:ascii="宋体" w:hAnsi="宋体" w:eastAsia="宋体" w:cs="宋体"/>
                    </w:rPr>
                    <w:t>合计</w:t>
                  </w:r>
                </w:p>
              </w:tc>
              <w:tc>
                <w:tcPr>
                  <w:tcW w:w="1881" w:type="pct"/>
                  <w:vAlign w:val="center"/>
                </w:tcPr>
                <w:p w14:paraId="24273687">
                  <w:pPr>
                    <w:pStyle w:val="122"/>
                    <w:spacing w:before="0" w:after="0"/>
                    <w:jc w:val="center"/>
                    <w:rPr>
                      <w:rFonts w:eastAsia="Times New Roman"/>
                    </w:rPr>
                  </w:pPr>
                  <w:r>
                    <w:rPr>
                      <w:rFonts w:eastAsia="Times New Roman"/>
                    </w:rPr>
                    <w:t>/</w:t>
                  </w:r>
                </w:p>
              </w:tc>
              <w:tc>
                <w:tcPr>
                  <w:tcW w:w="618" w:type="pct"/>
                  <w:vAlign w:val="center"/>
                </w:tcPr>
                <w:p w14:paraId="163B2BF4">
                  <w:pPr>
                    <w:pStyle w:val="122"/>
                    <w:spacing w:before="0" w:after="0"/>
                    <w:jc w:val="center"/>
                    <w:rPr>
                      <w:rFonts w:eastAsia="Times New Roman"/>
                    </w:rPr>
                  </w:pPr>
                  <w:r>
                    <w:rPr>
                      <w:rFonts w:eastAsia="Times New Roman"/>
                    </w:rPr>
                    <w:t>60</w:t>
                  </w:r>
                </w:p>
              </w:tc>
            </w:tr>
          </w:tbl>
          <w:p w14:paraId="7BA36D04">
            <w:pPr>
              <w:pStyle w:val="2"/>
              <w:rPr>
                <w:color w:val="auto"/>
              </w:rPr>
            </w:pPr>
          </w:p>
        </w:tc>
      </w:tr>
    </w:tbl>
    <w:p w14:paraId="6C0C8F13">
      <w:pPr>
        <w:pStyle w:val="27"/>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br w:type="page"/>
      </w:r>
      <w:r>
        <w:rPr>
          <w:rFonts w:hint="eastAsia" w:ascii="Times New Roman" w:hAnsi="Times New Roman" w:eastAsia="黑体"/>
          <w:snapToGrid w:val="0"/>
          <w:sz w:val="30"/>
          <w:szCs w:val="30"/>
        </w:rPr>
        <w:t>六、生态环境保护措施监督检查清单</w:t>
      </w:r>
    </w:p>
    <w:tbl>
      <w:tblPr>
        <w:tblStyle w:val="31"/>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1" w:type="dxa"/>
          <w:bottom w:w="0" w:type="dxa"/>
          <w:right w:w="11" w:type="dxa"/>
        </w:tblCellMar>
      </w:tblPr>
      <w:tblGrid>
        <w:gridCol w:w="1176"/>
        <w:gridCol w:w="2875"/>
        <w:gridCol w:w="1235"/>
        <w:gridCol w:w="1893"/>
        <w:gridCol w:w="1682"/>
      </w:tblGrid>
      <w:tr w14:paraId="2320F4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Merge w:val="restart"/>
            <w:tcBorders>
              <w:tl2br w:val="single" w:color="auto" w:sz="4" w:space="0"/>
            </w:tcBorders>
          </w:tcPr>
          <w:p w14:paraId="1279F7FC">
            <w:pPr>
              <w:pStyle w:val="59"/>
              <w:rPr>
                <w:sz w:val="24"/>
                <w:szCs w:val="24"/>
              </w:rPr>
            </w:pPr>
            <w:r>
              <w:rPr>
                <w:rFonts w:hint="eastAsia"/>
                <w:sz w:val="24"/>
                <w:szCs w:val="24"/>
              </w:rPr>
              <w:t>内容</w:t>
            </w:r>
          </w:p>
          <w:p w14:paraId="442092F5">
            <w:pPr>
              <w:pStyle w:val="59"/>
              <w:rPr>
                <w:sz w:val="24"/>
                <w:szCs w:val="24"/>
              </w:rPr>
            </w:pPr>
            <w:r>
              <w:rPr>
                <w:rFonts w:hint="eastAsia"/>
                <w:sz w:val="24"/>
                <w:szCs w:val="24"/>
              </w:rPr>
              <w:t>要素</w:t>
            </w:r>
          </w:p>
        </w:tc>
        <w:tc>
          <w:tcPr>
            <w:tcW w:w="2319" w:type="pct"/>
            <w:gridSpan w:val="2"/>
            <w:vAlign w:val="center"/>
          </w:tcPr>
          <w:p w14:paraId="1B6E8BB8">
            <w:pPr>
              <w:pStyle w:val="59"/>
              <w:rPr>
                <w:sz w:val="24"/>
                <w:szCs w:val="24"/>
              </w:rPr>
            </w:pPr>
            <w:r>
              <w:rPr>
                <w:rFonts w:hint="eastAsia"/>
                <w:sz w:val="24"/>
                <w:szCs w:val="24"/>
              </w:rPr>
              <w:t>施工期</w:t>
            </w:r>
          </w:p>
        </w:tc>
        <w:tc>
          <w:tcPr>
            <w:tcW w:w="2017" w:type="pct"/>
            <w:gridSpan w:val="2"/>
            <w:vAlign w:val="center"/>
          </w:tcPr>
          <w:p w14:paraId="35FED9F0">
            <w:pPr>
              <w:pStyle w:val="59"/>
              <w:rPr>
                <w:sz w:val="24"/>
                <w:szCs w:val="24"/>
              </w:rPr>
            </w:pPr>
            <w:r>
              <w:rPr>
                <w:rFonts w:hint="eastAsia"/>
                <w:sz w:val="24"/>
                <w:szCs w:val="24"/>
              </w:rPr>
              <w:t>运营期</w:t>
            </w:r>
          </w:p>
        </w:tc>
      </w:tr>
      <w:tr w14:paraId="2FE9F8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Merge w:val="continue"/>
          </w:tcPr>
          <w:p w14:paraId="39A1C6DA">
            <w:pPr>
              <w:pStyle w:val="59"/>
              <w:rPr>
                <w:sz w:val="24"/>
                <w:szCs w:val="24"/>
              </w:rPr>
            </w:pPr>
          </w:p>
        </w:tc>
        <w:tc>
          <w:tcPr>
            <w:tcW w:w="1622" w:type="pct"/>
            <w:vAlign w:val="center"/>
          </w:tcPr>
          <w:p w14:paraId="1CF2E3EE">
            <w:pPr>
              <w:pStyle w:val="59"/>
              <w:rPr>
                <w:sz w:val="24"/>
                <w:szCs w:val="24"/>
              </w:rPr>
            </w:pPr>
            <w:r>
              <w:rPr>
                <w:rFonts w:hint="eastAsia"/>
                <w:sz w:val="24"/>
                <w:szCs w:val="24"/>
              </w:rPr>
              <w:t>环境保护措施</w:t>
            </w:r>
          </w:p>
        </w:tc>
        <w:tc>
          <w:tcPr>
            <w:tcW w:w="697" w:type="pct"/>
            <w:vAlign w:val="center"/>
          </w:tcPr>
          <w:p w14:paraId="07439B8D">
            <w:pPr>
              <w:pStyle w:val="59"/>
              <w:rPr>
                <w:sz w:val="24"/>
                <w:szCs w:val="24"/>
              </w:rPr>
            </w:pPr>
            <w:r>
              <w:rPr>
                <w:rFonts w:hint="eastAsia"/>
                <w:sz w:val="24"/>
                <w:szCs w:val="24"/>
              </w:rPr>
              <w:t>验收要求</w:t>
            </w:r>
          </w:p>
        </w:tc>
        <w:tc>
          <w:tcPr>
            <w:tcW w:w="1068" w:type="pct"/>
            <w:vAlign w:val="center"/>
          </w:tcPr>
          <w:p w14:paraId="7BB78FC4">
            <w:pPr>
              <w:pStyle w:val="59"/>
              <w:rPr>
                <w:sz w:val="24"/>
                <w:szCs w:val="24"/>
              </w:rPr>
            </w:pPr>
            <w:r>
              <w:rPr>
                <w:rFonts w:hint="eastAsia"/>
                <w:sz w:val="24"/>
                <w:szCs w:val="24"/>
              </w:rPr>
              <w:t>环境保护措施</w:t>
            </w:r>
          </w:p>
        </w:tc>
        <w:tc>
          <w:tcPr>
            <w:tcW w:w="949" w:type="pct"/>
            <w:vAlign w:val="center"/>
          </w:tcPr>
          <w:p w14:paraId="32DCC6A7">
            <w:pPr>
              <w:pStyle w:val="59"/>
              <w:rPr>
                <w:sz w:val="24"/>
                <w:szCs w:val="24"/>
              </w:rPr>
            </w:pPr>
            <w:r>
              <w:rPr>
                <w:rFonts w:hint="eastAsia"/>
                <w:sz w:val="24"/>
                <w:szCs w:val="24"/>
              </w:rPr>
              <w:t>验收要求</w:t>
            </w:r>
          </w:p>
        </w:tc>
      </w:tr>
      <w:tr w14:paraId="6796C7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Align w:val="center"/>
          </w:tcPr>
          <w:p w14:paraId="1E775F15">
            <w:pPr>
              <w:adjustRightInd w:val="0"/>
              <w:snapToGrid w:val="0"/>
              <w:jc w:val="center"/>
              <w:rPr>
                <w:sz w:val="24"/>
              </w:rPr>
            </w:pPr>
            <w:r>
              <w:rPr>
                <w:rFonts w:hint="eastAsia"/>
                <w:sz w:val="24"/>
              </w:rPr>
              <w:t>陆生生态</w:t>
            </w:r>
          </w:p>
        </w:tc>
        <w:tc>
          <w:tcPr>
            <w:tcW w:w="1622" w:type="pct"/>
            <w:vAlign w:val="center"/>
          </w:tcPr>
          <w:p w14:paraId="14C34CF5">
            <w:pPr>
              <w:wordWrap w:val="0"/>
              <w:adjustRightInd w:val="0"/>
              <w:snapToGrid w:val="0"/>
              <w:rPr>
                <w:kern w:val="0"/>
                <w:sz w:val="24"/>
              </w:rPr>
            </w:pPr>
            <w:r>
              <w:rPr>
                <w:rFonts w:hint="eastAsia" w:ascii="宋体" w:hAnsi="宋体"/>
                <w:kern w:val="0"/>
                <w:sz w:val="24"/>
              </w:rPr>
              <w:t>拟采取的生态防护和恢复措施：</w:t>
            </w:r>
          </w:p>
          <w:p w14:paraId="2E2E2ABD">
            <w:pPr>
              <w:wordWrap w:val="0"/>
              <w:adjustRightInd w:val="0"/>
              <w:snapToGrid w:val="0"/>
              <w:rPr>
                <w:kern w:val="0"/>
                <w:sz w:val="24"/>
              </w:rPr>
            </w:pPr>
            <w:r>
              <w:rPr>
                <w:rFonts w:hint="eastAsia" w:ascii="宋体" w:hAnsi="宋体"/>
                <w:kern w:val="0"/>
                <w:sz w:val="24"/>
              </w:rPr>
              <w:t>（</w:t>
            </w:r>
            <w:r>
              <w:rPr>
                <w:rFonts w:hint="eastAsia"/>
                <w:kern w:val="0"/>
                <w:sz w:val="24"/>
              </w:rPr>
              <w:t>1</w:t>
            </w:r>
            <w:r>
              <w:rPr>
                <w:rFonts w:hint="eastAsia" w:ascii="宋体" w:hAnsi="宋体"/>
                <w:kern w:val="0"/>
                <w:sz w:val="24"/>
              </w:rPr>
              <w:t>）工程设计期</w:t>
            </w:r>
          </w:p>
          <w:p w14:paraId="216E1F02">
            <w:pPr>
              <w:wordWrap w:val="0"/>
              <w:adjustRightInd w:val="0"/>
              <w:snapToGrid w:val="0"/>
              <w:rPr>
                <w:kern w:val="0"/>
                <w:sz w:val="24"/>
              </w:rPr>
            </w:pPr>
            <w:r>
              <w:rPr>
                <w:rFonts w:hint="eastAsia" w:ascii="宋体" w:hAnsi="宋体"/>
                <w:kern w:val="0"/>
                <w:sz w:val="24"/>
              </w:rPr>
              <w:t>本工程施工临时占地主要采取施工场地围栏、防尘网遮盖等工程措施。</w:t>
            </w:r>
          </w:p>
          <w:p w14:paraId="7F7FC309">
            <w:pPr>
              <w:wordWrap w:val="0"/>
              <w:adjustRightInd w:val="0"/>
              <w:snapToGrid w:val="0"/>
              <w:rPr>
                <w:kern w:val="0"/>
                <w:sz w:val="24"/>
              </w:rPr>
            </w:pPr>
            <w:r>
              <w:rPr>
                <w:rFonts w:hint="eastAsia" w:ascii="宋体" w:hAnsi="宋体"/>
                <w:kern w:val="0"/>
                <w:sz w:val="24"/>
              </w:rPr>
              <w:t>（</w:t>
            </w:r>
            <w:r>
              <w:rPr>
                <w:rFonts w:hint="eastAsia"/>
                <w:kern w:val="0"/>
                <w:sz w:val="24"/>
              </w:rPr>
              <w:t>2</w:t>
            </w:r>
            <w:r>
              <w:rPr>
                <w:rFonts w:hint="eastAsia" w:ascii="宋体" w:hAnsi="宋体"/>
                <w:kern w:val="0"/>
                <w:sz w:val="24"/>
              </w:rPr>
              <w:t>）施工准备期</w:t>
            </w:r>
          </w:p>
          <w:p w14:paraId="5B0E92E2">
            <w:pPr>
              <w:wordWrap w:val="0"/>
              <w:adjustRightInd w:val="0"/>
              <w:snapToGrid w:val="0"/>
              <w:rPr>
                <w:kern w:val="0"/>
                <w:sz w:val="24"/>
              </w:rPr>
            </w:pPr>
            <w:r>
              <w:rPr>
                <w:rFonts w:hint="eastAsia" w:ascii="宋体" w:hAnsi="宋体"/>
                <w:kern w:val="0"/>
                <w:sz w:val="24"/>
              </w:rPr>
              <w:t>施工前对施工人员广泛宣传动植物保护的法律法规与政策，增强他们对生态环境的保护意识，避免对植被进行随意破坏。</w:t>
            </w:r>
          </w:p>
          <w:p w14:paraId="074BC631">
            <w:pPr>
              <w:wordWrap w:val="0"/>
              <w:adjustRightInd w:val="0"/>
              <w:snapToGrid w:val="0"/>
              <w:rPr>
                <w:kern w:val="0"/>
                <w:sz w:val="24"/>
              </w:rPr>
            </w:pPr>
            <w:r>
              <w:rPr>
                <w:rFonts w:hint="eastAsia" w:ascii="宋体" w:hAnsi="宋体"/>
                <w:kern w:val="0"/>
                <w:sz w:val="24"/>
              </w:rPr>
              <w:t>（</w:t>
            </w:r>
            <w:r>
              <w:rPr>
                <w:rFonts w:hint="eastAsia"/>
                <w:kern w:val="0"/>
                <w:sz w:val="24"/>
              </w:rPr>
              <w:t>3</w:t>
            </w:r>
            <w:r>
              <w:rPr>
                <w:rFonts w:hint="eastAsia" w:ascii="宋体" w:hAnsi="宋体"/>
                <w:kern w:val="0"/>
                <w:sz w:val="24"/>
              </w:rPr>
              <w:t>）施工期</w:t>
            </w:r>
          </w:p>
          <w:p w14:paraId="28569B08">
            <w:pPr>
              <w:wordWrap w:val="0"/>
              <w:adjustRightInd w:val="0"/>
              <w:snapToGrid w:val="0"/>
              <w:rPr>
                <w:kern w:val="0"/>
                <w:sz w:val="24"/>
              </w:rPr>
            </w:pPr>
            <w:r>
              <w:rPr>
                <w:rFonts w:hint="eastAsia" w:ascii="宋体" w:hAnsi="宋体"/>
                <w:kern w:val="0"/>
                <w:sz w:val="24"/>
              </w:rPr>
              <w:t>①严格控制施工作业带区域，尽量减少临时占地；合理安排施工方式，减少土地裸露时间。</w:t>
            </w:r>
          </w:p>
          <w:p w14:paraId="51056BF5">
            <w:pPr>
              <w:wordWrap w:val="0"/>
              <w:adjustRightInd w:val="0"/>
              <w:snapToGrid w:val="0"/>
              <w:rPr>
                <w:kern w:val="0"/>
                <w:sz w:val="24"/>
              </w:rPr>
            </w:pPr>
            <w:r>
              <w:rPr>
                <w:rFonts w:hint="eastAsia" w:ascii="宋体" w:hAnsi="宋体"/>
                <w:kern w:val="0"/>
                <w:sz w:val="24"/>
              </w:rPr>
              <w:t>②临时堆土场设置拦挡、遮盖措施，避免雨水冲刷造成水土流失。</w:t>
            </w:r>
          </w:p>
          <w:p w14:paraId="7EDD2208">
            <w:pPr>
              <w:wordWrap w:val="0"/>
              <w:adjustRightInd w:val="0"/>
              <w:snapToGrid w:val="0"/>
              <w:rPr>
                <w:kern w:val="0"/>
                <w:sz w:val="24"/>
              </w:rPr>
            </w:pPr>
            <w:r>
              <w:rPr>
                <w:rFonts w:hint="eastAsia" w:ascii="宋体" w:hAnsi="宋体"/>
                <w:kern w:val="0"/>
                <w:sz w:val="24"/>
              </w:rPr>
              <w:t>③施工过程中对植被应加强保护、严格管理，严禁乱垦、乱挖、乱占和其他破坏植被的行为，对永久占地造成的植被破坏。</w:t>
            </w:r>
          </w:p>
          <w:p w14:paraId="7EB53951">
            <w:pPr>
              <w:wordWrap w:val="0"/>
              <w:adjustRightInd w:val="0"/>
              <w:snapToGrid w:val="0"/>
              <w:rPr>
                <w:kern w:val="0"/>
                <w:sz w:val="24"/>
              </w:rPr>
            </w:pPr>
            <w:r>
              <w:rPr>
                <w:rFonts w:hint="eastAsia" w:ascii="宋体" w:hAnsi="宋体"/>
                <w:kern w:val="0"/>
                <w:sz w:val="24"/>
              </w:rPr>
              <w:t>④基础开挖时，分层开挖，进行表土剥离，将表土和熟化土分开堆放，分层回填，以便施工结束后尽快恢复植被。</w:t>
            </w:r>
          </w:p>
          <w:p w14:paraId="45493C83">
            <w:pPr>
              <w:wordWrap w:val="0"/>
              <w:adjustRightInd w:val="0"/>
              <w:snapToGrid w:val="0"/>
              <w:rPr>
                <w:kern w:val="0"/>
                <w:sz w:val="24"/>
              </w:rPr>
            </w:pPr>
            <w:r>
              <w:rPr>
                <w:rFonts w:hint="eastAsia" w:ascii="宋体" w:hAnsi="宋体"/>
                <w:kern w:val="0"/>
                <w:sz w:val="24"/>
              </w:rPr>
              <w:t>⑤施工结束后及时清理现场，做到“工完、料尽、场地清”。</w:t>
            </w:r>
          </w:p>
          <w:p w14:paraId="6BFE8E88">
            <w:pPr>
              <w:pStyle w:val="11"/>
              <w:numPr>
                <w:ilvl w:val="0"/>
                <w:numId w:val="0"/>
              </w:numPr>
              <w:wordWrap w:val="0"/>
              <w:spacing w:after="0"/>
              <w:rPr>
                <w:color w:val="auto"/>
                <w:spacing w:val="-2"/>
                <w:szCs w:val="24"/>
              </w:rPr>
            </w:pPr>
            <w:r>
              <w:rPr>
                <w:rFonts w:hint="eastAsia" w:ascii="宋体" w:hAnsi="宋体"/>
                <w:color w:val="auto"/>
              </w:rPr>
              <w:t>⑥生态补偿措施：对于砍伐的树木在区域内其他地方实行“砍一种一”的补偿措施，种植植物为区域内现有植物，严禁引进外来物种</w:t>
            </w:r>
            <w:r>
              <w:rPr>
                <w:rFonts w:hint="eastAsia" w:ascii="宋体" w:hAnsi="宋体"/>
                <w:color w:val="auto"/>
                <w:spacing w:val="-2"/>
              </w:rPr>
              <w:t>。</w:t>
            </w:r>
          </w:p>
          <w:p w14:paraId="06F595FB">
            <w:pPr>
              <w:rPr>
                <w:sz w:val="24"/>
              </w:rPr>
            </w:pPr>
            <w:r>
              <w:rPr>
                <w:rFonts w:hint="eastAsia" w:ascii="宋体" w:hAnsi="宋体"/>
                <w:sz w:val="24"/>
              </w:rPr>
              <w:t>⑦材料运输过程中，运输道路应充分利用现有公路。材料运至施工场地后，应合理布置堆放场地，减少对对植被的占压</w:t>
            </w:r>
            <w:r>
              <w:rPr>
                <w:rFonts w:hint="eastAsia"/>
                <w:kern w:val="0"/>
                <w:sz w:val="24"/>
              </w:rPr>
              <w:t>。</w:t>
            </w:r>
          </w:p>
        </w:tc>
        <w:tc>
          <w:tcPr>
            <w:tcW w:w="697" w:type="pct"/>
            <w:vAlign w:val="center"/>
          </w:tcPr>
          <w:p w14:paraId="76C5915A">
            <w:pPr>
              <w:adjustRightInd w:val="0"/>
              <w:snapToGrid w:val="0"/>
              <w:rPr>
                <w:sz w:val="24"/>
              </w:rPr>
            </w:pPr>
            <w:r>
              <w:rPr>
                <w:rFonts w:hint="eastAsia"/>
                <w:sz w:val="24"/>
              </w:rPr>
              <w:t>生态保护措施得到落实，生态恢复情况良好，未对项目沿线以及生态敏感区生态环境造成明显影响。</w:t>
            </w:r>
          </w:p>
        </w:tc>
        <w:tc>
          <w:tcPr>
            <w:tcW w:w="1068" w:type="pct"/>
            <w:vAlign w:val="center"/>
          </w:tcPr>
          <w:p w14:paraId="39F178CA">
            <w:pPr>
              <w:wordWrap w:val="0"/>
              <w:adjustRightInd w:val="0"/>
              <w:snapToGrid w:val="0"/>
              <w:rPr>
                <w:sz w:val="24"/>
              </w:rPr>
            </w:pPr>
            <w:r>
              <w:rPr>
                <w:rFonts w:hint="eastAsia" w:ascii="宋体" w:hAnsi="宋体"/>
                <w:sz w:val="24"/>
              </w:rPr>
              <w:t>营运期生态环境保护措施主要是施工期结束后，及时对储能电站的裸露地面进行绿化，以减轻地表裸露造成的水土流失。</w:t>
            </w:r>
          </w:p>
          <w:p w14:paraId="25D16F30">
            <w:pPr>
              <w:rPr>
                <w:szCs w:val="21"/>
              </w:rPr>
            </w:pPr>
            <w:r>
              <w:rPr>
                <w:rFonts w:hint="eastAsia" w:ascii="宋体" w:hAnsi="宋体"/>
                <w:sz w:val="24"/>
              </w:rPr>
              <w:t>运营期做好加强巡查和检查，强化设备检修维护人员的生态环境保护意识教育，并严格管理，避免对项目周边的自然植被和生态系统的破坏。</w:t>
            </w:r>
          </w:p>
          <w:p w14:paraId="686B5F46">
            <w:pPr>
              <w:adjustRightInd w:val="0"/>
              <w:snapToGrid w:val="0"/>
              <w:jc w:val="center"/>
              <w:rPr>
                <w:sz w:val="24"/>
              </w:rPr>
            </w:pPr>
          </w:p>
        </w:tc>
        <w:tc>
          <w:tcPr>
            <w:tcW w:w="949" w:type="pct"/>
            <w:vAlign w:val="center"/>
          </w:tcPr>
          <w:p w14:paraId="7DFEA6A8">
            <w:pPr>
              <w:rPr>
                <w:sz w:val="24"/>
              </w:rPr>
            </w:pPr>
            <w:r>
              <w:rPr>
                <w:rFonts w:hint="eastAsia" w:ascii="宋体" w:hAnsi="宋体"/>
                <w:sz w:val="24"/>
              </w:rPr>
              <w:t>生态保护措施得到落实，生态恢复情况良好，未对项目沿线以及生态敏感区生态环境造成明显影响。</w:t>
            </w:r>
          </w:p>
        </w:tc>
      </w:tr>
      <w:tr w14:paraId="50BAB3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Align w:val="center"/>
          </w:tcPr>
          <w:p w14:paraId="47FEFFC9">
            <w:pPr>
              <w:adjustRightInd w:val="0"/>
              <w:snapToGrid w:val="0"/>
              <w:jc w:val="center"/>
              <w:rPr>
                <w:sz w:val="24"/>
              </w:rPr>
            </w:pPr>
            <w:r>
              <w:rPr>
                <w:rFonts w:hint="eastAsia"/>
                <w:sz w:val="24"/>
              </w:rPr>
              <w:t>水生生态</w:t>
            </w:r>
          </w:p>
        </w:tc>
        <w:tc>
          <w:tcPr>
            <w:tcW w:w="1622" w:type="pct"/>
            <w:vAlign w:val="center"/>
          </w:tcPr>
          <w:p w14:paraId="08AF0BD0">
            <w:pPr>
              <w:adjustRightInd w:val="0"/>
              <w:snapToGrid w:val="0"/>
              <w:jc w:val="center"/>
              <w:rPr>
                <w:sz w:val="24"/>
              </w:rPr>
            </w:pPr>
            <w:r>
              <w:rPr>
                <w:snapToGrid w:val="0"/>
                <w:kern w:val="21"/>
                <w:sz w:val="24"/>
              </w:rPr>
              <w:t>—</w:t>
            </w:r>
          </w:p>
        </w:tc>
        <w:tc>
          <w:tcPr>
            <w:tcW w:w="697" w:type="pct"/>
            <w:vAlign w:val="center"/>
          </w:tcPr>
          <w:p w14:paraId="39233F0E">
            <w:pPr>
              <w:adjustRightInd w:val="0"/>
              <w:snapToGrid w:val="0"/>
              <w:jc w:val="center"/>
              <w:rPr>
                <w:sz w:val="24"/>
              </w:rPr>
            </w:pPr>
            <w:r>
              <w:rPr>
                <w:snapToGrid w:val="0"/>
                <w:kern w:val="21"/>
                <w:sz w:val="24"/>
              </w:rPr>
              <w:t>—</w:t>
            </w:r>
          </w:p>
        </w:tc>
        <w:tc>
          <w:tcPr>
            <w:tcW w:w="1068" w:type="pct"/>
            <w:vAlign w:val="center"/>
          </w:tcPr>
          <w:p w14:paraId="5749D027">
            <w:pPr>
              <w:adjustRightInd w:val="0"/>
              <w:snapToGrid w:val="0"/>
              <w:jc w:val="center"/>
              <w:rPr>
                <w:sz w:val="24"/>
              </w:rPr>
            </w:pPr>
            <w:r>
              <w:rPr>
                <w:snapToGrid w:val="0"/>
                <w:kern w:val="21"/>
                <w:sz w:val="24"/>
              </w:rPr>
              <w:t>—</w:t>
            </w:r>
          </w:p>
        </w:tc>
        <w:tc>
          <w:tcPr>
            <w:tcW w:w="949" w:type="pct"/>
            <w:vAlign w:val="center"/>
          </w:tcPr>
          <w:p w14:paraId="23F9004F">
            <w:pPr>
              <w:adjustRightInd w:val="0"/>
              <w:snapToGrid w:val="0"/>
              <w:jc w:val="center"/>
              <w:rPr>
                <w:sz w:val="24"/>
              </w:rPr>
            </w:pPr>
            <w:r>
              <w:rPr>
                <w:snapToGrid w:val="0"/>
                <w:kern w:val="21"/>
                <w:sz w:val="24"/>
              </w:rPr>
              <w:t>—</w:t>
            </w:r>
          </w:p>
        </w:tc>
      </w:tr>
      <w:tr w14:paraId="500DA1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Align w:val="center"/>
          </w:tcPr>
          <w:p w14:paraId="0CB90577">
            <w:pPr>
              <w:adjustRightInd w:val="0"/>
              <w:snapToGrid w:val="0"/>
              <w:jc w:val="center"/>
              <w:rPr>
                <w:sz w:val="24"/>
              </w:rPr>
            </w:pPr>
            <w:r>
              <w:rPr>
                <w:rFonts w:hint="eastAsia"/>
                <w:sz w:val="24"/>
              </w:rPr>
              <w:t>地表水环境</w:t>
            </w:r>
          </w:p>
        </w:tc>
        <w:tc>
          <w:tcPr>
            <w:tcW w:w="1622" w:type="pct"/>
            <w:vAlign w:val="center"/>
          </w:tcPr>
          <w:p w14:paraId="497F9ED6">
            <w:pPr>
              <w:adjustRightInd w:val="0"/>
              <w:snapToGrid w:val="0"/>
              <w:rPr>
                <w:sz w:val="24"/>
              </w:rPr>
            </w:pPr>
            <w:r>
              <w:rPr>
                <w:rFonts w:hint="eastAsia"/>
                <w:sz w:val="24"/>
              </w:rPr>
              <w:t>施工废水抽排到沉淀池，经沉淀后循环使用，不外排；</w:t>
            </w:r>
          </w:p>
          <w:p w14:paraId="435E3D2F">
            <w:pPr>
              <w:adjustRightInd w:val="0"/>
              <w:snapToGrid w:val="0"/>
              <w:rPr>
                <w:sz w:val="24"/>
              </w:rPr>
            </w:pPr>
            <w:r>
              <w:rPr>
                <w:rFonts w:hint="eastAsia"/>
                <w:sz w:val="24"/>
              </w:rPr>
              <w:t>施工期生活污水经化粪池处理达标后，排入博罗县石湾镇大牛垒生活污水处理厂处理后达标排放。</w:t>
            </w:r>
          </w:p>
        </w:tc>
        <w:tc>
          <w:tcPr>
            <w:tcW w:w="697" w:type="pct"/>
            <w:vAlign w:val="center"/>
          </w:tcPr>
          <w:p w14:paraId="4740B697">
            <w:pPr>
              <w:adjustRightInd w:val="0"/>
              <w:snapToGrid w:val="0"/>
              <w:jc w:val="center"/>
              <w:rPr>
                <w:sz w:val="24"/>
              </w:rPr>
            </w:pPr>
            <w:r>
              <w:rPr>
                <w:rFonts w:hint="eastAsia"/>
                <w:snapToGrid w:val="0"/>
                <w:kern w:val="21"/>
                <w:sz w:val="24"/>
              </w:rPr>
              <w:t>不外排</w:t>
            </w:r>
          </w:p>
        </w:tc>
        <w:tc>
          <w:tcPr>
            <w:tcW w:w="1068" w:type="pct"/>
            <w:vAlign w:val="center"/>
          </w:tcPr>
          <w:p w14:paraId="50E5A55D">
            <w:pPr>
              <w:adjustRightInd w:val="0"/>
              <w:snapToGrid w:val="0"/>
              <w:rPr>
                <w:sz w:val="24"/>
              </w:rPr>
            </w:pPr>
            <w:r>
              <w:rPr>
                <w:rFonts w:hint="eastAsia"/>
                <w:sz w:val="24"/>
              </w:rPr>
              <w:t>员工生活污水三级化粪池预处理后，排入博罗县石湾镇大牛垒生活污水处理厂处理后达标排放。</w:t>
            </w:r>
          </w:p>
        </w:tc>
        <w:tc>
          <w:tcPr>
            <w:tcW w:w="949" w:type="pct"/>
            <w:vAlign w:val="center"/>
          </w:tcPr>
          <w:p w14:paraId="1C04A55E">
            <w:pPr>
              <w:adjustRightInd w:val="0"/>
              <w:snapToGrid w:val="0"/>
              <w:jc w:val="center"/>
              <w:rPr>
                <w:sz w:val="24"/>
              </w:rPr>
            </w:pPr>
            <w:r>
              <w:rPr>
                <w:rFonts w:hint="eastAsia"/>
                <w:sz w:val="24"/>
              </w:rPr>
              <w:t>不外排</w:t>
            </w:r>
          </w:p>
        </w:tc>
      </w:tr>
      <w:tr w14:paraId="3314DC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Align w:val="center"/>
          </w:tcPr>
          <w:p w14:paraId="792E3621">
            <w:pPr>
              <w:adjustRightInd w:val="0"/>
              <w:snapToGrid w:val="0"/>
              <w:rPr>
                <w:sz w:val="24"/>
              </w:rPr>
            </w:pPr>
            <w:r>
              <w:rPr>
                <w:rFonts w:hint="eastAsia"/>
                <w:sz w:val="24"/>
              </w:rPr>
              <w:t>地下水及土壤环境</w:t>
            </w:r>
          </w:p>
        </w:tc>
        <w:tc>
          <w:tcPr>
            <w:tcW w:w="1622" w:type="pct"/>
            <w:vAlign w:val="center"/>
          </w:tcPr>
          <w:p w14:paraId="35D83E6F">
            <w:pPr>
              <w:adjustRightInd w:val="0"/>
              <w:snapToGrid w:val="0"/>
              <w:jc w:val="center"/>
              <w:rPr>
                <w:sz w:val="24"/>
              </w:rPr>
            </w:pPr>
            <w:r>
              <w:rPr>
                <w:snapToGrid w:val="0"/>
                <w:kern w:val="21"/>
                <w:sz w:val="24"/>
              </w:rPr>
              <w:t>—</w:t>
            </w:r>
          </w:p>
        </w:tc>
        <w:tc>
          <w:tcPr>
            <w:tcW w:w="697" w:type="pct"/>
            <w:vAlign w:val="center"/>
          </w:tcPr>
          <w:p w14:paraId="66A1F313">
            <w:pPr>
              <w:adjustRightInd w:val="0"/>
              <w:snapToGrid w:val="0"/>
              <w:jc w:val="center"/>
              <w:rPr>
                <w:sz w:val="24"/>
              </w:rPr>
            </w:pPr>
            <w:r>
              <w:rPr>
                <w:snapToGrid w:val="0"/>
                <w:kern w:val="21"/>
                <w:sz w:val="24"/>
              </w:rPr>
              <w:t>—</w:t>
            </w:r>
          </w:p>
        </w:tc>
        <w:tc>
          <w:tcPr>
            <w:tcW w:w="1068" w:type="pct"/>
            <w:vAlign w:val="center"/>
          </w:tcPr>
          <w:p w14:paraId="76E7C162">
            <w:pPr>
              <w:adjustRightInd w:val="0"/>
              <w:snapToGrid w:val="0"/>
              <w:jc w:val="center"/>
              <w:rPr>
                <w:sz w:val="24"/>
              </w:rPr>
            </w:pPr>
            <w:r>
              <w:rPr>
                <w:rFonts w:hint="eastAsia"/>
                <w:sz w:val="24"/>
              </w:rPr>
              <w:t>做好分区防渗措施</w:t>
            </w:r>
          </w:p>
        </w:tc>
        <w:tc>
          <w:tcPr>
            <w:tcW w:w="949" w:type="pct"/>
            <w:vAlign w:val="center"/>
          </w:tcPr>
          <w:p w14:paraId="57298838">
            <w:pPr>
              <w:adjustRightInd w:val="0"/>
              <w:snapToGrid w:val="0"/>
              <w:jc w:val="center"/>
              <w:rPr>
                <w:sz w:val="24"/>
              </w:rPr>
            </w:pPr>
            <w:r>
              <w:rPr>
                <w:rFonts w:hint="eastAsia"/>
                <w:sz w:val="24"/>
              </w:rPr>
              <w:t>分区防渗</w:t>
            </w:r>
          </w:p>
        </w:tc>
      </w:tr>
      <w:tr w14:paraId="7AF2F1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Align w:val="center"/>
          </w:tcPr>
          <w:p w14:paraId="35AB6FF5">
            <w:pPr>
              <w:adjustRightInd w:val="0"/>
              <w:snapToGrid w:val="0"/>
              <w:jc w:val="center"/>
              <w:rPr>
                <w:sz w:val="24"/>
              </w:rPr>
            </w:pPr>
            <w:r>
              <w:rPr>
                <w:rFonts w:hint="eastAsia"/>
                <w:sz w:val="24"/>
              </w:rPr>
              <w:t>声环境</w:t>
            </w:r>
          </w:p>
        </w:tc>
        <w:tc>
          <w:tcPr>
            <w:tcW w:w="1622" w:type="pct"/>
            <w:vAlign w:val="center"/>
          </w:tcPr>
          <w:p w14:paraId="039F151F">
            <w:pPr>
              <w:adjustRightInd w:val="0"/>
              <w:snapToGrid w:val="0"/>
              <w:rPr>
                <w:sz w:val="24"/>
              </w:rPr>
            </w:pPr>
            <w:r>
              <w:rPr>
                <w:rFonts w:hint="eastAsia"/>
                <w:sz w:val="24"/>
              </w:rPr>
              <w:t>①在施工前先沿站址红线修建围栏，高</w:t>
            </w:r>
            <w:r>
              <w:rPr>
                <w:sz w:val="24"/>
              </w:rPr>
              <w:t>2.3m</w:t>
            </w:r>
            <w:r>
              <w:rPr>
                <w:rFonts w:hint="eastAsia"/>
                <w:sz w:val="24"/>
              </w:rPr>
              <w:t>。②本项目土建施工主要集中在主变和配电楼处，距场界有一定距离。③优先使用低噪声施工工艺和设备。④禁止夜间（</w:t>
            </w:r>
            <w:r>
              <w:rPr>
                <w:sz w:val="24"/>
              </w:rPr>
              <w:t>22:00</w:t>
            </w:r>
            <w:r>
              <w:rPr>
                <w:rFonts w:hint="eastAsia"/>
                <w:sz w:val="24"/>
              </w:rPr>
              <w:t>～次日</w:t>
            </w:r>
            <w:r>
              <w:rPr>
                <w:sz w:val="24"/>
              </w:rPr>
              <w:t>6:00</w:t>
            </w:r>
            <w:r>
              <w:rPr>
                <w:rFonts w:hint="eastAsia"/>
                <w:sz w:val="24"/>
              </w:rPr>
              <w:t>）进行产噪作业。⑤施工单位应加强现场管理，加强对设备的维护、养护，闲置设备应立即关闭；尽可能采用外加工材料，减少现场加工的工作量。⑥合理安排运输路线和时间，建筑材料运输车辆临近保护目标时低速行驶、禁止鸣笛。</w:t>
            </w:r>
          </w:p>
        </w:tc>
        <w:tc>
          <w:tcPr>
            <w:tcW w:w="697" w:type="pct"/>
            <w:vAlign w:val="center"/>
          </w:tcPr>
          <w:p w14:paraId="71F51DE7">
            <w:pPr>
              <w:adjustRightInd w:val="0"/>
              <w:snapToGrid w:val="0"/>
              <w:jc w:val="center"/>
              <w:rPr>
                <w:snapToGrid w:val="0"/>
                <w:kern w:val="21"/>
                <w:sz w:val="24"/>
              </w:rPr>
            </w:pPr>
            <w:r>
              <w:rPr>
                <w:rFonts w:hint="eastAsia"/>
                <w:snapToGrid w:val="0"/>
                <w:kern w:val="21"/>
                <w:sz w:val="24"/>
              </w:rPr>
              <w:t>噪声</w:t>
            </w:r>
          </w:p>
          <w:p w14:paraId="4299224F">
            <w:pPr>
              <w:adjustRightInd w:val="0"/>
              <w:snapToGrid w:val="0"/>
              <w:jc w:val="center"/>
              <w:rPr>
                <w:sz w:val="24"/>
              </w:rPr>
            </w:pPr>
            <w:r>
              <w:rPr>
                <w:rFonts w:hint="eastAsia"/>
                <w:snapToGrid w:val="0"/>
                <w:kern w:val="21"/>
                <w:sz w:val="24"/>
              </w:rPr>
              <w:t>不扰民</w:t>
            </w:r>
          </w:p>
        </w:tc>
        <w:tc>
          <w:tcPr>
            <w:tcW w:w="1068" w:type="pct"/>
            <w:vAlign w:val="center"/>
          </w:tcPr>
          <w:p w14:paraId="5470B65A">
            <w:pPr>
              <w:rPr>
                <w:sz w:val="24"/>
              </w:rPr>
            </w:pPr>
            <w:r>
              <w:rPr>
                <w:rFonts w:hint="eastAsia" w:ascii="宋体" w:hAnsi="宋体"/>
                <w:kern w:val="0"/>
                <w:sz w:val="24"/>
              </w:rPr>
              <w:t>选择低噪声设备，减振、消声、距离衰减等措施。</w:t>
            </w:r>
          </w:p>
        </w:tc>
        <w:tc>
          <w:tcPr>
            <w:tcW w:w="949" w:type="pct"/>
            <w:vAlign w:val="center"/>
          </w:tcPr>
          <w:p w14:paraId="33719EB8">
            <w:pPr>
              <w:adjustRightInd w:val="0"/>
              <w:snapToGrid w:val="0"/>
              <w:rPr>
                <w:sz w:val="24"/>
              </w:rPr>
            </w:pPr>
            <w:r>
              <w:rPr>
                <w:rFonts w:hint="eastAsia"/>
                <w:sz w:val="24"/>
              </w:rPr>
              <w:t>项目厂界噪声满足《工业企业厂界环境噪声排放标准》</w:t>
            </w:r>
            <w:r>
              <w:rPr>
                <w:sz w:val="24"/>
              </w:rPr>
              <w:t>(GB12348-2008</w:t>
            </w:r>
            <w:r>
              <w:rPr>
                <w:rFonts w:hint="eastAsia"/>
                <w:sz w:val="24"/>
              </w:rPr>
              <w:t>）</w:t>
            </w:r>
            <w:r>
              <w:rPr>
                <w:sz w:val="24"/>
              </w:rPr>
              <w:t>3</w:t>
            </w:r>
            <w:r>
              <w:rPr>
                <w:rFonts w:hint="eastAsia"/>
                <w:sz w:val="24"/>
              </w:rPr>
              <w:t>类标准。</w:t>
            </w:r>
          </w:p>
        </w:tc>
      </w:tr>
      <w:tr w14:paraId="689AF3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Align w:val="center"/>
          </w:tcPr>
          <w:p w14:paraId="5E17AFEA">
            <w:pPr>
              <w:adjustRightInd w:val="0"/>
              <w:snapToGrid w:val="0"/>
              <w:jc w:val="center"/>
              <w:rPr>
                <w:sz w:val="24"/>
              </w:rPr>
            </w:pPr>
            <w:r>
              <w:rPr>
                <w:rFonts w:hint="eastAsia"/>
                <w:sz w:val="24"/>
              </w:rPr>
              <w:t>振动</w:t>
            </w:r>
          </w:p>
        </w:tc>
        <w:tc>
          <w:tcPr>
            <w:tcW w:w="1622" w:type="pct"/>
            <w:vAlign w:val="center"/>
          </w:tcPr>
          <w:p w14:paraId="3244264A">
            <w:pPr>
              <w:adjustRightInd w:val="0"/>
              <w:snapToGrid w:val="0"/>
              <w:jc w:val="center"/>
              <w:rPr>
                <w:sz w:val="24"/>
              </w:rPr>
            </w:pPr>
            <w:r>
              <w:rPr>
                <w:snapToGrid w:val="0"/>
                <w:kern w:val="21"/>
                <w:sz w:val="24"/>
              </w:rPr>
              <w:t>—</w:t>
            </w:r>
          </w:p>
        </w:tc>
        <w:tc>
          <w:tcPr>
            <w:tcW w:w="697" w:type="pct"/>
            <w:vAlign w:val="center"/>
          </w:tcPr>
          <w:p w14:paraId="717743D8">
            <w:pPr>
              <w:adjustRightInd w:val="0"/>
              <w:snapToGrid w:val="0"/>
              <w:jc w:val="center"/>
              <w:rPr>
                <w:sz w:val="24"/>
              </w:rPr>
            </w:pPr>
            <w:r>
              <w:rPr>
                <w:snapToGrid w:val="0"/>
                <w:kern w:val="21"/>
                <w:sz w:val="24"/>
              </w:rPr>
              <w:t>—</w:t>
            </w:r>
          </w:p>
        </w:tc>
        <w:tc>
          <w:tcPr>
            <w:tcW w:w="1068" w:type="pct"/>
            <w:vAlign w:val="center"/>
          </w:tcPr>
          <w:p w14:paraId="7ACE2E34">
            <w:pPr>
              <w:adjustRightInd w:val="0"/>
              <w:snapToGrid w:val="0"/>
              <w:jc w:val="center"/>
              <w:rPr>
                <w:sz w:val="24"/>
              </w:rPr>
            </w:pPr>
            <w:r>
              <w:rPr>
                <w:snapToGrid w:val="0"/>
                <w:kern w:val="21"/>
                <w:sz w:val="24"/>
              </w:rPr>
              <w:t>—</w:t>
            </w:r>
          </w:p>
        </w:tc>
        <w:tc>
          <w:tcPr>
            <w:tcW w:w="949" w:type="pct"/>
            <w:vAlign w:val="center"/>
          </w:tcPr>
          <w:p w14:paraId="34B4361F">
            <w:pPr>
              <w:adjustRightInd w:val="0"/>
              <w:snapToGrid w:val="0"/>
              <w:jc w:val="center"/>
              <w:rPr>
                <w:sz w:val="24"/>
              </w:rPr>
            </w:pPr>
            <w:r>
              <w:rPr>
                <w:snapToGrid w:val="0"/>
                <w:kern w:val="21"/>
                <w:sz w:val="24"/>
              </w:rPr>
              <w:t>—</w:t>
            </w:r>
          </w:p>
        </w:tc>
      </w:tr>
      <w:tr w14:paraId="443308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Align w:val="center"/>
          </w:tcPr>
          <w:p w14:paraId="7AB5C8E9">
            <w:pPr>
              <w:adjustRightInd w:val="0"/>
              <w:snapToGrid w:val="0"/>
              <w:jc w:val="center"/>
              <w:rPr>
                <w:sz w:val="24"/>
              </w:rPr>
            </w:pPr>
            <w:r>
              <w:rPr>
                <w:rFonts w:hint="eastAsia"/>
                <w:sz w:val="24"/>
              </w:rPr>
              <w:t>大气环境</w:t>
            </w:r>
          </w:p>
        </w:tc>
        <w:tc>
          <w:tcPr>
            <w:tcW w:w="1622" w:type="pct"/>
            <w:vAlign w:val="center"/>
          </w:tcPr>
          <w:p w14:paraId="524443FF">
            <w:pPr>
              <w:adjustRightInd w:val="0"/>
              <w:snapToGrid w:val="0"/>
              <w:rPr>
                <w:sz w:val="24"/>
              </w:rPr>
            </w:pPr>
            <w:r>
              <w:rPr>
                <w:rFonts w:hint="eastAsia"/>
                <w:sz w:val="24"/>
              </w:rPr>
              <w:t>①施工前须制定控制工地扬尘方案；②施工场地在非雨天时适时洒水；③装运土方时控制土方低于车厢挡板，减少途中撒落，对施工现场抛洒的砂石、水泥等物料应及时清扫，砂石堆应采取密闭存储，如设防尘布苫盖或者专门的存储间。④施工现场土方开挖后应尽快回填，不能及时回填的裸露场地，应采取洒水、覆盖等防尘措施。工程完毕后及时清理施工场地。⑤施工现场四周设置不低于</w:t>
            </w:r>
            <w:r>
              <w:rPr>
                <w:sz w:val="24"/>
              </w:rPr>
              <w:t>2.5m</w:t>
            </w:r>
            <w:r>
              <w:rPr>
                <w:rFonts w:hint="eastAsia"/>
                <w:sz w:val="24"/>
              </w:rPr>
              <w:t>围挡，围挡上设置喷雾降尘设备。⑥施工车辆在进入施工场地后，需减速行驶，以减少施工场地扬尘的产生。⑦应尽可能采用密闭车斗，并保证物料不遗撒外漏。</w:t>
            </w:r>
          </w:p>
        </w:tc>
        <w:tc>
          <w:tcPr>
            <w:tcW w:w="697" w:type="pct"/>
            <w:vAlign w:val="center"/>
          </w:tcPr>
          <w:p w14:paraId="611F65C2">
            <w:pPr>
              <w:adjustRightInd w:val="0"/>
              <w:snapToGrid w:val="0"/>
              <w:rPr>
                <w:sz w:val="24"/>
              </w:rPr>
            </w:pPr>
            <w:r>
              <w:rPr>
                <w:rFonts w:hint="eastAsia"/>
                <w:sz w:val="24"/>
              </w:rPr>
              <w:t>广东省地方标准《大气污染物排放限值》（</w:t>
            </w:r>
            <w:r>
              <w:rPr>
                <w:sz w:val="24"/>
              </w:rPr>
              <w:t>DB44/27-2001</w:t>
            </w:r>
            <w:r>
              <w:rPr>
                <w:rFonts w:hint="eastAsia"/>
                <w:sz w:val="24"/>
              </w:rPr>
              <w:t>）中的第二时段无组织排放监控浓度限值。</w:t>
            </w:r>
          </w:p>
        </w:tc>
        <w:tc>
          <w:tcPr>
            <w:tcW w:w="1068" w:type="pct"/>
            <w:vAlign w:val="center"/>
          </w:tcPr>
          <w:p w14:paraId="53FCB333">
            <w:pPr>
              <w:adjustRightInd w:val="0"/>
              <w:snapToGrid w:val="0"/>
              <w:jc w:val="center"/>
              <w:rPr>
                <w:sz w:val="24"/>
              </w:rPr>
            </w:pPr>
            <w:r>
              <w:rPr>
                <w:snapToGrid w:val="0"/>
                <w:kern w:val="21"/>
                <w:sz w:val="24"/>
              </w:rPr>
              <w:t>—</w:t>
            </w:r>
          </w:p>
        </w:tc>
        <w:tc>
          <w:tcPr>
            <w:tcW w:w="949" w:type="pct"/>
            <w:vAlign w:val="center"/>
          </w:tcPr>
          <w:p w14:paraId="654DC7C4">
            <w:pPr>
              <w:adjustRightInd w:val="0"/>
              <w:snapToGrid w:val="0"/>
              <w:jc w:val="center"/>
              <w:rPr>
                <w:sz w:val="24"/>
              </w:rPr>
            </w:pPr>
            <w:r>
              <w:rPr>
                <w:snapToGrid w:val="0"/>
                <w:kern w:val="21"/>
                <w:sz w:val="24"/>
              </w:rPr>
              <w:t>—</w:t>
            </w:r>
          </w:p>
        </w:tc>
      </w:tr>
      <w:tr w14:paraId="2FAE35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Align w:val="center"/>
          </w:tcPr>
          <w:p w14:paraId="3336C57F">
            <w:pPr>
              <w:adjustRightInd w:val="0"/>
              <w:snapToGrid w:val="0"/>
              <w:jc w:val="center"/>
              <w:rPr>
                <w:sz w:val="24"/>
              </w:rPr>
            </w:pPr>
            <w:r>
              <w:rPr>
                <w:rFonts w:hint="eastAsia"/>
                <w:sz w:val="24"/>
              </w:rPr>
              <w:t>固体废物</w:t>
            </w:r>
          </w:p>
        </w:tc>
        <w:tc>
          <w:tcPr>
            <w:tcW w:w="1622" w:type="pct"/>
            <w:vAlign w:val="center"/>
          </w:tcPr>
          <w:p w14:paraId="00DD860E">
            <w:pPr>
              <w:adjustRightInd w:val="0"/>
              <w:snapToGrid w:val="0"/>
              <w:jc w:val="left"/>
              <w:rPr>
                <w:sz w:val="24"/>
              </w:rPr>
            </w:pPr>
            <w:r>
              <w:rPr>
                <w:rFonts w:hint="eastAsia"/>
                <w:sz w:val="24"/>
              </w:rPr>
              <w:t>生活垃圾在施工场地收集后由市政环卫统一清运。</w:t>
            </w:r>
          </w:p>
        </w:tc>
        <w:tc>
          <w:tcPr>
            <w:tcW w:w="697" w:type="pct"/>
            <w:vAlign w:val="center"/>
          </w:tcPr>
          <w:p w14:paraId="0FC53000">
            <w:pPr>
              <w:adjustRightInd w:val="0"/>
              <w:snapToGrid w:val="0"/>
              <w:jc w:val="center"/>
              <w:rPr>
                <w:snapToGrid w:val="0"/>
                <w:kern w:val="21"/>
                <w:sz w:val="24"/>
              </w:rPr>
            </w:pPr>
            <w:r>
              <w:rPr>
                <w:rFonts w:hint="eastAsia"/>
                <w:sz w:val="24"/>
              </w:rPr>
              <w:t>生活垃圾统一清运。</w:t>
            </w:r>
          </w:p>
        </w:tc>
        <w:tc>
          <w:tcPr>
            <w:tcW w:w="1068" w:type="pct"/>
            <w:vAlign w:val="center"/>
          </w:tcPr>
          <w:p w14:paraId="6A633DD1">
            <w:pPr>
              <w:adjustRightInd w:val="0"/>
              <w:snapToGrid w:val="0"/>
              <w:rPr>
                <w:snapToGrid w:val="0"/>
                <w:kern w:val="21"/>
                <w:sz w:val="24"/>
              </w:rPr>
            </w:pPr>
            <w:r>
              <w:rPr>
                <w:rFonts w:hint="eastAsia"/>
                <w:sz w:val="24"/>
              </w:rPr>
              <w:t>生活垃圾由市政环卫清运；危废交由有资质的单位回收处置；废磷酸铁锂电池交由厂家回收处理。</w:t>
            </w:r>
          </w:p>
        </w:tc>
        <w:tc>
          <w:tcPr>
            <w:tcW w:w="949" w:type="pct"/>
            <w:vAlign w:val="center"/>
          </w:tcPr>
          <w:p w14:paraId="28225FE7">
            <w:pPr>
              <w:pStyle w:val="125"/>
              <w:spacing w:line="240" w:lineRule="auto"/>
              <w:ind w:firstLine="0" w:firstLineChars="0"/>
              <w:rPr>
                <w:snapToGrid w:val="0"/>
                <w:color w:val="auto"/>
              </w:rPr>
            </w:pPr>
            <w:r>
              <w:rPr>
                <w:rFonts w:hint="eastAsia"/>
                <w:color w:val="auto"/>
              </w:rPr>
              <w:t>生活垃圾是否合理处置；签订固废处理协议。</w:t>
            </w:r>
          </w:p>
        </w:tc>
      </w:tr>
      <w:tr w14:paraId="49B18F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Align w:val="center"/>
          </w:tcPr>
          <w:p w14:paraId="576759B7">
            <w:pPr>
              <w:adjustRightInd w:val="0"/>
              <w:snapToGrid w:val="0"/>
              <w:jc w:val="center"/>
              <w:rPr>
                <w:sz w:val="24"/>
              </w:rPr>
            </w:pPr>
            <w:r>
              <w:rPr>
                <w:rFonts w:hint="eastAsia"/>
                <w:sz w:val="24"/>
              </w:rPr>
              <w:t>电磁环境</w:t>
            </w:r>
          </w:p>
        </w:tc>
        <w:tc>
          <w:tcPr>
            <w:tcW w:w="1622" w:type="pct"/>
            <w:vAlign w:val="center"/>
          </w:tcPr>
          <w:p w14:paraId="0335BF78">
            <w:pPr>
              <w:adjustRightInd w:val="0"/>
              <w:snapToGrid w:val="0"/>
              <w:jc w:val="center"/>
              <w:rPr>
                <w:sz w:val="24"/>
              </w:rPr>
            </w:pPr>
            <w:r>
              <w:rPr>
                <w:snapToGrid w:val="0"/>
                <w:kern w:val="21"/>
                <w:sz w:val="24"/>
              </w:rPr>
              <w:t>—</w:t>
            </w:r>
          </w:p>
        </w:tc>
        <w:tc>
          <w:tcPr>
            <w:tcW w:w="697" w:type="pct"/>
            <w:vAlign w:val="center"/>
          </w:tcPr>
          <w:p w14:paraId="2676BA8D">
            <w:pPr>
              <w:adjustRightInd w:val="0"/>
              <w:snapToGrid w:val="0"/>
              <w:jc w:val="center"/>
              <w:rPr>
                <w:sz w:val="24"/>
              </w:rPr>
            </w:pPr>
            <w:r>
              <w:rPr>
                <w:snapToGrid w:val="0"/>
                <w:kern w:val="21"/>
                <w:sz w:val="24"/>
              </w:rPr>
              <w:t>—</w:t>
            </w:r>
          </w:p>
        </w:tc>
        <w:tc>
          <w:tcPr>
            <w:tcW w:w="1068" w:type="pct"/>
            <w:vAlign w:val="center"/>
          </w:tcPr>
          <w:p w14:paraId="28FEE004">
            <w:pPr>
              <w:rPr>
                <w:sz w:val="24"/>
              </w:rPr>
            </w:pPr>
            <w:r>
              <w:rPr>
                <w:rFonts w:hint="eastAsia"/>
                <w:sz w:val="24"/>
              </w:rPr>
              <w:t>①平行跨导线相序排列避免同相布置，减少同相母线交叉与相同转角布置；②配电装置采用</w:t>
            </w:r>
            <w:r>
              <w:rPr>
                <w:sz w:val="24"/>
              </w:rPr>
              <w:t>GIS</w:t>
            </w:r>
            <w:r>
              <w:rPr>
                <w:rFonts w:hint="eastAsia"/>
                <w:sz w:val="24"/>
              </w:rPr>
              <w:t>，将</w:t>
            </w:r>
            <w:r>
              <w:rPr>
                <w:sz w:val="24"/>
              </w:rPr>
              <w:t>35kV</w:t>
            </w:r>
            <w:r>
              <w:rPr>
                <w:rFonts w:hint="eastAsia"/>
                <w:sz w:val="24"/>
              </w:rPr>
              <w:t>开关、连线母线组合密封起来；③站内电气设备接地。</w:t>
            </w:r>
          </w:p>
        </w:tc>
        <w:tc>
          <w:tcPr>
            <w:tcW w:w="949" w:type="pct"/>
            <w:vAlign w:val="center"/>
          </w:tcPr>
          <w:p w14:paraId="3256A8A6">
            <w:pPr>
              <w:rPr>
                <w:sz w:val="24"/>
              </w:rPr>
            </w:pPr>
            <w:r>
              <w:rPr>
                <w:rFonts w:hint="eastAsia"/>
                <w:sz w:val="24"/>
              </w:rPr>
              <w:t>公众曝露区工频电场强度满足</w:t>
            </w:r>
            <w:r>
              <w:rPr>
                <w:sz w:val="24"/>
              </w:rPr>
              <w:t>4kV/m</w:t>
            </w:r>
            <w:r>
              <w:rPr>
                <w:rFonts w:hint="eastAsia"/>
                <w:sz w:val="24"/>
              </w:rPr>
              <w:t>限值要求，工频磁感应强度满足公众曝露控制限值（</w:t>
            </w:r>
            <w:r>
              <w:rPr>
                <w:sz w:val="24"/>
              </w:rPr>
              <w:t>100μT</w:t>
            </w:r>
            <w:r>
              <w:rPr>
                <w:rFonts w:hint="eastAsia"/>
                <w:sz w:val="24"/>
              </w:rPr>
              <w:t>）要求。</w:t>
            </w:r>
          </w:p>
        </w:tc>
      </w:tr>
      <w:tr w14:paraId="001A6F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Align w:val="center"/>
          </w:tcPr>
          <w:p w14:paraId="18855A96">
            <w:pPr>
              <w:adjustRightInd w:val="0"/>
              <w:snapToGrid w:val="0"/>
              <w:jc w:val="center"/>
              <w:rPr>
                <w:sz w:val="24"/>
              </w:rPr>
            </w:pPr>
            <w:r>
              <w:rPr>
                <w:rFonts w:hint="eastAsia"/>
                <w:sz w:val="24"/>
              </w:rPr>
              <w:t>环境风险</w:t>
            </w:r>
          </w:p>
        </w:tc>
        <w:tc>
          <w:tcPr>
            <w:tcW w:w="1622" w:type="pct"/>
            <w:vAlign w:val="center"/>
          </w:tcPr>
          <w:p w14:paraId="55BF54F1">
            <w:pPr>
              <w:adjustRightInd w:val="0"/>
              <w:snapToGrid w:val="0"/>
              <w:jc w:val="center"/>
              <w:rPr>
                <w:sz w:val="24"/>
              </w:rPr>
            </w:pPr>
            <w:r>
              <w:rPr>
                <w:snapToGrid w:val="0"/>
                <w:kern w:val="21"/>
                <w:sz w:val="24"/>
              </w:rPr>
              <w:t>—</w:t>
            </w:r>
          </w:p>
        </w:tc>
        <w:tc>
          <w:tcPr>
            <w:tcW w:w="697" w:type="pct"/>
            <w:vAlign w:val="center"/>
          </w:tcPr>
          <w:p w14:paraId="2F0A5D1A">
            <w:pPr>
              <w:adjustRightInd w:val="0"/>
              <w:snapToGrid w:val="0"/>
              <w:jc w:val="center"/>
              <w:rPr>
                <w:sz w:val="24"/>
              </w:rPr>
            </w:pPr>
            <w:r>
              <w:rPr>
                <w:snapToGrid w:val="0"/>
                <w:kern w:val="21"/>
                <w:sz w:val="24"/>
              </w:rPr>
              <w:t>—</w:t>
            </w:r>
          </w:p>
        </w:tc>
        <w:tc>
          <w:tcPr>
            <w:tcW w:w="1068" w:type="pct"/>
            <w:vAlign w:val="center"/>
          </w:tcPr>
          <w:p w14:paraId="35E9DFEC">
            <w:pPr>
              <w:adjustRightInd w:val="0"/>
              <w:snapToGrid w:val="0"/>
              <w:rPr>
                <w:sz w:val="24"/>
              </w:rPr>
            </w:pPr>
            <w:r>
              <w:rPr>
                <w:rFonts w:hint="eastAsia"/>
                <w:bCs/>
                <w:sz w:val="24"/>
              </w:rPr>
              <w:t>储能电站</w:t>
            </w:r>
            <w:r>
              <w:rPr>
                <w:rFonts w:hint="eastAsia"/>
                <w:sz w:val="24"/>
              </w:rPr>
              <w:t>内设置</w:t>
            </w:r>
            <w:r>
              <w:rPr>
                <w:sz w:val="24"/>
              </w:rPr>
              <w:t>1</w:t>
            </w:r>
            <w:r>
              <w:rPr>
                <w:rFonts w:hint="eastAsia"/>
                <w:sz w:val="24"/>
              </w:rPr>
              <w:t>座事故油池，事故油经主变下方集油坑收集后，由导油管排入事故油池；事故油池、集油坑及导油管均采用防渗、防腐结构。同时，制定事故应急预案和定期检查等。</w:t>
            </w:r>
          </w:p>
        </w:tc>
        <w:tc>
          <w:tcPr>
            <w:tcW w:w="949" w:type="pct"/>
            <w:vAlign w:val="center"/>
          </w:tcPr>
          <w:p w14:paraId="712CF369">
            <w:pPr>
              <w:adjustRightInd w:val="0"/>
              <w:snapToGrid w:val="0"/>
              <w:rPr>
                <w:sz w:val="24"/>
              </w:rPr>
            </w:pPr>
            <w:r>
              <w:rPr>
                <w:rFonts w:hint="eastAsia"/>
                <w:sz w:val="24"/>
              </w:rPr>
              <w:t>集油坑和事故油池采取重点防渗措施。</w:t>
            </w:r>
          </w:p>
        </w:tc>
      </w:tr>
      <w:tr w14:paraId="0C221F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Align w:val="center"/>
          </w:tcPr>
          <w:p w14:paraId="1B427C7E">
            <w:pPr>
              <w:adjustRightInd w:val="0"/>
              <w:snapToGrid w:val="0"/>
              <w:jc w:val="center"/>
              <w:rPr>
                <w:sz w:val="24"/>
              </w:rPr>
            </w:pPr>
            <w:r>
              <w:rPr>
                <w:rFonts w:hint="eastAsia"/>
                <w:sz w:val="24"/>
              </w:rPr>
              <w:t>环境监测</w:t>
            </w:r>
          </w:p>
        </w:tc>
        <w:tc>
          <w:tcPr>
            <w:tcW w:w="1622" w:type="pct"/>
            <w:vAlign w:val="center"/>
          </w:tcPr>
          <w:p w14:paraId="534A2037">
            <w:pPr>
              <w:adjustRightInd w:val="0"/>
              <w:snapToGrid w:val="0"/>
              <w:jc w:val="center"/>
              <w:rPr>
                <w:sz w:val="24"/>
              </w:rPr>
            </w:pPr>
            <w:r>
              <w:rPr>
                <w:snapToGrid w:val="0"/>
                <w:kern w:val="21"/>
                <w:sz w:val="24"/>
              </w:rPr>
              <w:t>—</w:t>
            </w:r>
          </w:p>
        </w:tc>
        <w:tc>
          <w:tcPr>
            <w:tcW w:w="697" w:type="pct"/>
            <w:vAlign w:val="center"/>
          </w:tcPr>
          <w:p w14:paraId="480DD3A5">
            <w:pPr>
              <w:adjustRightInd w:val="0"/>
              <w:snapToGrid w:val="0"/>
              <w:jc w:val="center"/>
              <w:rPr>
                <w:sz w:val="24"/>
              </w:rPr>
            </w:pPr>
            <w:r>
              <w:rPr>
                <w:snapToGrid w:val="0"/>
                <w:kern w:val="21"/>
                <w:sz w:val="24"/>
              </w:rPr>
              <w:t>—</w:t>
            </w:r>
          </w:p>
        </w:tc>
        <w:tc>
          <w:tcPr>
            <w:tcW w:w="1068" w:type="pct"/>
            <w:vAlign w:val="center"/>
          </w:tcPr>
          <w:p w14:paraId="1B70D81C">
            <w:pPr>
              <w:adjustRightInd w:val="0"/>
              <w:snapToGrid w:val="0"/>
              <w:rPr>
                <w:rFonts w:ascii="Cambria Math" w:hAnsi="Cambria Math" w:cs="Cambria Math"/>
                <w:sz w:val="24"/>
              </w:rPr>
            </w:pPr>
            <w:r>
              <w:rPr>
                <w:rFonts w:hint="eastAsia" w:ascii="Cambria Math" w:hAnsi="Cambria Math" w:cs="Cambria Math"/>
                <w:sz w:val="24"/>
              </w:rPr>
              <w:t>①本工程建成投运后竣工环境保护验收监测</w:t>
            </w:r>
            <w:r>
              <w:rPr>
                <w:rFonts w:ascii="Cambria Math" w:hAnsi="Cambria Math" w:cs="Cambria Math"/>
                <w:sz w:val="24"/>
              </w:rPr>
              <w:t>1</w:t>
            </w:r>
            <w:r>
              <w:rPr>
                <w:rFonts w:hint="eastAsia" w:ascii="Cambria Math" w:hAnsi="Cambria Math" w:cs="Cambria Math"/>
                <w:sz w:val="24"/>
              </w:rPr>
              <w:t>次；</w:t>
            </w:r>
          </w:p>
          <w:p w14:paraId="06324F49">
            <w:pPr>
              <w:adjustRightInd w:val="0"/>
              <w:snapToGrid w:val="0"/>
              <w:rPr>
                <w:sz w:val="24"/>
              </w:rPr>
            </w:pPr>
            <w:r>
              <w:rPr>
                <w:rFonts w:hint="eastAsia" w:ascii="Cambria Math" w:hAnsi="Cambria Math" w:cs="Cambria Math"/>
                <w:sz w:val="24"/>
              </w:rPr>
              <w:t>②</w:t>
            </w:r>
            <w:r>
              <w:rPr>
                <w:rFonts w:hint="eastAsia"/>
                <w:sz w:val="24"/>
              </w:rPr>
              <w:t>遇公众投诉时，开展监测。</w:t>
            </w:r>
          </w:p>
        </w:tc>
        <w:tc>
          <w:tcPr>
            <w:tcW w:w="949" w:type="pct"/>
            <w:vAlign w:val="center"/>
          </w:tcPr>
          <w:p w14:paraId="427CB0CD">
            <w:pPr>
              <w:adjustRightInd w:val="0"/>
              <w:snapToGrid w:val="0"/>
              <w:rPr>
                <w:sz w:val="24"/>
              </w:rPr>
            </w:pPr>
            <w:r>
              <w:rPr>
                <w:rFonts w:hint="eastAsia"/>
                <w:sz w:val="24"/>
              </w:rPr>
              <w:t>①项目厂界噪声满足《工业企业厂界环境噪声排放标准》</w:t>
            </w:r>
            <w:r>
              <w:rPr>
                <w:sz w:val="24"/>
              </w:rPr>
              <w:t>(GB12348-2008</w:t>
            </w:r>
            <w:r>
              <w:rPr>
                <w:rFonts w:hint="eastAsia"/>
                <w:sz w:val="24"/>
              </w:rPr>
              <w:t>）</w:t>
            </w:r>
            <w:r>
              <w:rPr>
                <w:sz w:val="24"/>
              </w:rPr>
              <w:t>3</w:t>
            </w:r>
            <w:r>
              <w:rPr>
                <w:rFonts w:hint="eastAsia"/>
                <w:sz w:val="24"/>
              </w:rPr>
              <w:t>类标准；②</w:t>
            </w:r>
            <w:r>
              <w:rPr>
                <w:rFonts w:hint="eastAsia"/>
                <w:bCs/>
                <w:sz w:val="24"/>
              </w:rPr>
              <w:t>电场强度和磁感应强度满足《电磁环境控制限值》</w:t>
            </w:r>
            <w:r>
              <w:rPr>
                <w:bCs/>
                <w:sz w:val="24"/>
              </w:rPr>
              <w:t>GB8702-2014</w:t>
            </w:r>
            <w:r>
              <w:rPr>
                <w:rFonts w:hint="eastAsia"/>
                <w:bCs/>
                <w:sz w:val="24"/>
              </w:rPr>
              <w:t>要求。</w:t>
            </w:r>
          </w:p>
        </w:tc>
      </w:tr>
      <w:tr w14:paraId="4FAF27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 w:type="dxa"/>
            <w:bottom w:w="0" w:type="dxa"/>
            <w:right w:w="11" w:type="dxa"/>
          </w:tblCellMar>
        </w:tblPrEx>
        <w:trPr>
          <w:trHeight w:val="20" w:hRule="atLeast"/>
          <w:jc w:val="center"/>
        </w:trPr>
        <w:tc>
          <w:tcPr>
            <w:tcW w:w="664" w:type="pct"/>
            <w:vAlign w:val="center"/>
          </w:tcPr>
          <w:p w14:paraId="4A19BF76">
            <w:pPr>
              <w:adjustRightInd w:val="0"/>
              <w:snapToGrid w:val="0"/>
              <w:jc w:val="center"/>
              <w:rPr>
                <w:sz w:val="24"/>
              </w:rPr>
            </w:pPr>
            <w:r>
              <w:rPr>
                <w:rFonts w:hint="eastAsia"/>
                <w:sz w:val="24"/>
              </w:rPr>
              <w:t>其他</w:t>
            </w:r>
          </w:p>
        </w:tc>
        <w:tc>
          <w:tcPr>
            <w:tcW w:w="1622" w:type="pct"/>
            <w:vAlign w:val="center"/>
          </w:tcPr>
          <w:p w14:paraId="6E0CE2F3">
            <w:pPr>
              <w:adjustRightInd w:val="0"/>
              <w:snapToGrid w:val="0"/>
              <w:jc w:val="center"/>
              <w:rPr>
                <w:sz w:val="24"/>
              </w:rPr>
            </w:pPr>
            <w:r>
              <w:rPr>
                <w:snapToGrid w:val="0"/>
                <w:kern w:val="21"/>
                <w:sz w:val="24"/>
              </w:rPr>
              <w:t>—</w:t>
            </w:r>
          </w:p>
        </w:tc>
        <w:tc>
          <w:tcPr>
            <w:tcW w:w="697" w:type="pct"/>
            <w:vAlign w:val="center"/>
          </w:tcPr>
          <w:p w14:paraId="68838D4D">
            <w:pPr>
              <w:adjustRightInd w:val="0"/>
              <w:snapToGrid w:val="0"/>
              <w:jc w:val="center"/>
              <w:rPr>
                <w:sz w:val="24"/>
              </w:rPr>
            </w:pPr>
            <w:r>
              <w:rPr>
                <w:snapToGrid w:val="0"/>
                <w:kern w:val="21"/>
                <w:sz w:val="24"/>
              </w:rPr>
              <w:t>—</w:t>
            </w:r>
          </w:p>
        </w:tc>
        <w:tc>
          <w:tcPr>
            <w:tcW w:w="1068" w:type="pct"/>
            <w:vAlign w:val="center"/>
          </w:tcPr>
          <w:p w14:paraId="4D906EA3">
            <w:pPr>
              <w:adjustRightInd w:val="0"/>
              <w:snapToGrid w:val="0"/>
              <w:jc w:val="center"/>
              <w:rPr>
                <w:sz w:val="24"/>
              </w:rPr>
            </w:pPr>
            <w:r>
              <w:rPr>
                <w:snapToGrid w:val="0"/>
                <w:kern w:val="21"/>
                <w:sz w:val="24"/>
              </w:rPr>
              <w:t>—</w:t>
            </w:r>
          </w:p>
        </w:tc>
        <w:tc>
          <w:tcPr>
            <w:tcW w:w="949" w:type="pct"/>
            <w:vAlign w:val="center"/>
          </w:tcPr>
          <w:p w14:paraId="1FA7F179">
            <w:pPr>
              <w:adjustRightInd w:val="0"/>
              <w:snapToGrid w:val="0"/>
              <w:jc w:val="center"/>
              <w:rPr>
                <w:sz w:val="24"/>
              </w:rPr>
            </w:pPr>
            <w:r>
              <w:rPr>
                <w:snapToGrid w:val="0"/>
                <w:kern w:val="21"/>
                <w:sz w:val="24"/>
              </w:rPr>
              <w:t>—</w:t>
            </w:r>
          </w:p>
        </w:tc>
      </w:tr>
    </w:tbl>
    <w:p w14:paraId="0580B0EE">
      <w:pPr>
        <w:pStyle w:val="27"/>
        <w:jc w:val="center"/>
        <w:outlineLvl w:val="0"/>
        <w:rPr>
          <w:rFonts w:ascii="Times New Roman" w:hAnsi="Times New Roman" w:eastAsia="黑体"/>
          <w:snapToGrid w:val="0"/>
          <w:sz w:val="30"/>
          <w:szCs w:val="30"/>
        </w:rPr>
      </w:pPr>
      <w:r>
        <w:rPr>
          <w:rFonts w:ascii="Times New Roman" w:hAnsi="Times New Roman"/>
          <w:snapToGrid w:val="0"/>
        </w:rPr>
        <w:br w:type="page"/>
      </w:r>
      <w:r>
        <w:rPr>
          <w:rFonts w:hint="eastAsia" w:ascii="Times New Roman" w:hAnsi="Times New Roman" w:eastAsia="黑体"/>
          <w:snapToGrid w:val="0"/>
          <w:sz w:val="30"/>
          <w:szCs w:val="30"/>
        </w:rPr>
        <w:t>七、结论</w:t>
      </w:r>
    </w:p>
    <w:tbl>
      <w:tblPr>
        <w:tblStyle w:val="31"/>
        <w:tblW w:w="0" w:type="auto"/>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00"/>
      </w:tblGrid>
      <w:tr w14:paraId="5F7A9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0" w:type="dxa"/>
          </w:tcPr>
          <w:p w14:paraId="2908D567">
            <w:pPr>
              <w:pStyle w:val="10"/>
            </w:pPr>
            <w:r>
              <w:rPr>
                <w:rFonts w:hint="eastAsia"/>
              </w:rPr>
              <w:t>通过对拟建项目的分析、对周围环境质量现状的调查，以及项目主要污染物对环境的影响分析等工作，得出如下结论：</w:t>
            </w:r>
          </w:p>
          <w:p w14:paraId="7E01EBB2">
            <w:pPr>
              <w:pStyle w:val="10"/>
            </w:pPr>
            <w:r>
              <w:rPr>
                <w:rFonts w:hint="eastAsia"/>
              </w:rPr>
              <w:t>项目符合国家产业政策、电网规划、当地城市规划以及惠州市</w:t>
            </w:r>
            <w:r>
              <w:t>“</w:t>
            </w:r>
            <w:r>
              <w:rPr>
                <w:rFonts w:hint="eastAsia"/>
              </w:rPr>
              <w:t>三线一单</w:t>
            </w:r>
            <w:r>
              <w:t>”</w:t>
            </w:r>
            <w:r>
              <w:rPr>
                <w:rFonts w:hint="eastAsia"/>
              </w:rPr>
              <w:t>生态环境分区管控方案。本项目在设计过程中采取了一系列的环境保护措施，建设单位在严格落实本环境影响报告表提出的各项污染治理措施的基础上，本项目的环境影响将得到有限的控制，对周围环境影响可控制在较小的范围内。</w:t>
            </w:r>
          </w:p>
          <w:p w14:paraId="4A7C55BC">
            <w:pPr>
              <w:pStyle w:val="10"/>
              <w:ind w:firstLine="482"/>
            </w:pPr>
            <w:r>
              <w:rPr>
                <w:rFonts w:hint="eastAsia"/>
                <w:b/>
                <w:bCs/>
              </w:rPr>
              <w:t>因此，本项目的建设从环保角度而言是可行的。</w:t>
            </w:r>
          </w:p>
          <w:p w14:paraId="4262CBE5">
            <w:pPr>
              <w:pStyle w:val="27"/>
              <w:spacing w:line="360" w:lineRule="auto"/>
              <w:ind w:firstLine="480" w:firstLineChars="200"/>
              <w:jc w:val="both"/>
              <w:outlineLvl w:val="0"/>
              <w:rPr>
                <w:rFonts w:ascii="Times New Roman" w:hAnsi="Times New Roman"/>
                <w:szCs w:val="24"/>
              </w:rPr>
            </w:pPr>
          </w:p>
          <w:p w14:paraId="20ABD0FF">
            <w:pPr>
              <w:pStyle w:val="27"/>
              <w:spacing w:line="360" w:lineRule="auto"/>
              <w:ind w:firstLine="480" w:firstLineChars="200"/>
              <w:jc w:val="both"/>
              <w:outlineLvl w:val="0"/>
              <w:rPr>
                <w:rFonts w:ascii="Times New Roman" w:hAnsi="Times New Roman"/>
                <w:szCs w:val="24"/>
              </w:rPr>
            </w:pPr>
          </w:p>
          <w:p w14:paraId="0ABA9723">
            <w:pPr>
              <w:pStyle w:val="27"/>
              <w:spacing w:line="360" w:lineRule="auto"/>
              <w:ind w:firstLine="480" w:firstLineChars="200"/>
              <w:jc w:val="both"/>
              <w:outlineLvl w:val="0"/>
              <w:rPr>
                <w:rFonts w:ascii="Times New Roman" w:hAnsi="Times New Roman"/>
                <w:szCs w:val="24"/>
              </w:rPr>
            </w:pPr>
          </w:p>
          <w:p w14:paraId="36C599E0">
            <w:pPr>
              <w:pStyle w:val="27"/>
              <w:spacing w:line="360" w:lineRule="auto"/>
              <w:ind w:firstLine="480" w:firstLineChars="200"/>
              <w:jc w:val="both"/>
              <w:outlineLvl w:val="0"/>
              <w:rPr>
                <w:rFonts w:ascii="Times New Roman" w:hAnsi="Times New Roman"/>
                <w:szCs w:val="24"/>
              </w:rPr>
            </w:pPr>
          </w:p>
          <w:p w14:paraId="6D89AABB">
            <w:pPr>
              <w:pStyle w:val="27"/>
              <w:spacing w:line="360" w:lineRule="auto"/>
              <w:ind w:firstLine="480" w:firstLineChars="200"/>
              <w:jc w:val="both"/>
              <w:outlineLvl w:val="0"/>
              <w:rPr>
                <w:rFonts w:ascii="Times New Roman" w:hAnsi="Times New Roman"/>
                <w:szCs w:val="24"/>
              </w:rPr>
            </w:pPr>
          </w:p>
          <w:p w14:paraId="44249411">
            <w:pPr>
              <w:pStyle w:val="27"/>
              <w:spacing w:line="360" w:lineRule="auto"/>
              <w:ind w:firstLine="480" w:firstLineChars="200"/>
              <w:jc w:val="both"/>
              <w:outlineLvl w:val="0"/>
              <w:rPr>
                <w:rFonts w:ascii="Times New Roman" w:hAnsi="Times New Roman"/>
                <w:szCs w:val="24"/>
              </w:rPr>
            </w:pPr>
          </w:p>
          <w:p w14:paraId="0538A190">
            <w:pPr>
              <w:pStyle w:val="27"/>
              <w:spacing w:line="360" w:lineRule="auto"/>
              <w:ind w:firstLine="480" w:firstLineChars="200"/>
              <w:jc w:val="both"/>
              <w:outlineLvl w:val="0"/>
              <w:rPr>
                <w:rFonts w:ascii="Times New Roman" w:hAnsi="Times New Roman"/>
                <w:szCs w:val="24"/>
              </w:rPr>
            </w:pPr>
          </w:p>
          <w:p w14:paraId="41B16549">
            <w:pPr>
              <w:pStyle w:val="27"/>
              <w:spacing w:line="360" w:lineRule="auto"/>
              <w:ind w:firstLine="480" w:firstLineChars="200"/>
              <w:jc w:val="both"/>
              <w:outlineLvl w:val="0"/>
              <w:rPr>
                <w:rFonts w:ascii="Times New Roman" w:hAnsi="Times New Roman"/>
                <w:szCs w:val="24"/>
              </w:rPr>
            </w:pPr>
          </w:p>
          <w:p w14:paraId="614CF947">
            <w:pPr>
              <w:pStyle w:val="27"/>
              <w:spacing w:line="360" w:lineRule="auto"/>
              <w:ind w:firstLine="480" w:firstLineChars="200"/>
              <w:jc w:val="both"/>
              <w:outlineLvl w:val="0"/>
              <w:rPr>
                <w:rFonts w:ascii="Times New Roman" w:hAnsi="Times New Roman"/>
                <w:szCs w:val="24"/>
              </w:rPr>
            </w:pPr>
          </w:p>
          <w:p w14:paraId="64B23FDC">
            <w:pPr>
              <w:pStyle w:val="27"/>
              <w:spacing w:line="360" w:lineRule="auto"/>
              <w:ind w:firstLine="480" w:firstLineChars="200"/>
              <w:jc w:val="both"/>
              <w:outlineLvl w:val="0"/>
              <w:rPr>
                <w:rFonts w:ascii="Times New Roman" w:hAnsi="Times New Roman"/>
                <w:szCs w:val="24"/>
              </w:rPr>
            </w:pPr>
          </w:p>
          <w:p w14:paraId="2A4CEA2E">
            <w:pPr>
              <w:pStyle w:val="27"/>
              <w:spacing w:line="360" w:lineRule="auto"/>
              <w:jc w:val="both"/>
              <w:outlineLvl w:val="0"/>
              <w:rPr>
                <w:rFonts w:ascii="Times New Roman" w:hAnsi="Times New Roman"/>
                <w:szCs w:val="24"/>
              </w:rPr>
            </w:pPr>
          </w:p>
        </w:tc>
      </w:tr>
    </w:tbl>
    <w:p w14:paraId="7E594256">
      <w:pPr>
        <w:sectPr>
          <w:pgSz w:w="11905" w:h="16838"/>
          <w:pgMar w:top="1701" w:right="1531" w:bottom="1701" w:left="1531" w:header="851" w:footer="1077" w:gutter="0"/>
          <w:cols w:space="720" w:num="1"/>
          <w:docGrid w:linePitch="312" w:charSpace="0"/>
        </w:sectPr>
      </w:pPr>
    </w:p>
    <w:p w14:paraId="72FF66F2">
      <w:pPr>
        <w:jc w:val="center"/>
        <w:rPr>
          <w:sz w:val="36"/>
          <w:szCs w:val="36"/>
        </w:rPr>
      </w:pPr>
    </w:p>
    <w:p w14:paraId="13DFDCAD">
      <w:pPr>
        <w:jc w:val="center"/>
        <w:rPr>
          <w:sz w:val="36"/>
          <w:szCs w:val="36"/>
        </w:rPr>
      </w:pPr>
    </w:p>
    <w:p w14:paraId="3A79E2A2">
      <w:pPr>
        <w:jc w:val="center"/>
        <w:rPr>
          <w:sz w:val="36"/>
          <w:szCs w:val="36"/>
        </w:rPr>
      </w:pPr>
    </w:p>
    <w:p w14:paraId="0E46EE18">
      <w:pPr>
        <w:pStyle w:val="29"/>
      </w:pPr>
    </w:p>
    <w:p w14:paraId="4CCE3EA3">
      <w:pPr>
        <w:pStyle w:val="2"/>
        <w:jc w:val="center"/>
        <w:rPr>
          <w:color w:val="auto"/>
          <w:sz w:val="48"/>
          <w:szCs w:val="48"/>
        </w:rPr>
      </w:pPr>
      <w:bookmarkStart w:id="80" w:name="OLE_LINK12"/>
      <w:r>
        <w:rPr>
          <w:rFonts w:hint="eastAsia"/>
          <w:color w:val="auto"/>
          <w:sz w:val="48"/>
          <w:szCs w:val="48"/>
        </w:rPr>
        <w:t>惠州欣城新能源有限公司</w:t>
      </w:r>
      <w:r>
        <w:rPr>
          <w:color w:val="auto"/>
          <w:sz w:val="48"/>
          <w:szCs w:val="48"/>
        </w:rPr>
        <w:t>200MW/400MWh</w:t>
      </w:r>
      <w:r>
        <w:rPr>
          <w:rFonts w:hint="eastAsia"/>
          <w:color w:val="auto"/>
          <w:sz w:val="48"/>
          <w:szCs w:val="48"/>
        </w:rPr>
        <w:t>独立储能电站</w:t>
      </w:r>
    </w:p>
    <w:bookmarkEnd w:id="80"/>
    <w:p w14:paraId="0630C29A">
      <w:pPr>
        <w:pStyle w:val="2"/>
        <w:jc w:val="center"/>
        <w:rPr>
          <w:color w:val="auto"/>
          <w:sz w:val="48"/>
          <w:szCs w:val="48"/>
        </w:rPr>
      </w:pPr>
      <w:r>
        <w:rPr>
          <w:rFonts w:hint="eastAsia"/>
          <w:color w:val="auto"/>
          <w:sz w:val="48"/>
          <w:szCs w:val="48"/>
        </w:rPr>
        <w:t>新建项目电磁环境影响专项评价</w:t>
      </w:r>
    </w:p>
    <w:p w14:paraId="7B3F58C0">
      <w:pPr>
        <w:spacing w:line="360" w:lineRule="auto"/>
        <w:jc w:val="center"/>
        <w:rPr>
          <w:sz w:val="36"/>
          <w:szCs w:val="36"/>
        </w:rPr>
      </w:pPr>
    </w:p>
    <w:p w14:paraId="45CFE5A7">
      <w:pPr>
        <w:spacing w:line="360" w:lineRule="auto"/>
        <w:jc w:val="center"/>
        <w:rPr>
          <w:sz w:val="44"/>
          <w:szCs w:val="44"/>
        </w:rPr>
      </w:pPr>
    </w:p>
    <w:p w14:paraId="26A58AD7">
      <w:pPr>
        <w:spacing w:line="360" w:lineRule="auto"/>
        <w:jc w:val="center"/>
        <w:rPr>
          <w:sz w:val="44"/>
          <w:szCs w:val="44"/>
        </w:rPr>
      </w:pPr>
    </w:p>
    <w:p w14:paraId="308D9AE2">
      <w:pPr>
        <w:spacing w:line="360" w:lineRule="auto"/>
        <w:rPr>
          <w:sz w:val="44"/>
          <w:szCs w:val="44"/>
        </w:rPr>
      </w:pPr>
    </w:p>
    <w:p w14:paraId="34830D5D">
      <w:pPr>
        <w:pStyle w:val="2"/>
        <w:rPr>
          <w:color w:val="auto"/>
        </w:rPr>
      </w:pPr>
    </w:p>
    <w:p w14:paraId="024EEAE9">
      <w:pPr>
        <w:spacing w:line="360" w:lineRule="auto"/>
        <w:rPr>
          <w:sz w:val="44"/>
          <w:szCs w:val="44"/>
        </w:rPr>
      </w:pPr>
    </w:p>
    <w:p w14:paraId="63B17296">
      <w:pPr>
        <w:spacing w:line="360" w:lineRule="auto"/>
        <w:ind w:firstLine="880" w:firstLineChars="200"/>
        <w:rPr>
          <w:sz w:val="44"/>
          <w:szCs w:val="44"/>
        </w:rPr>
      </w:pPr>
    </w:p>
    <w:p w14:paraId="6CA882D6">
      <w:pPr>
        <w:spacing w:line="360" w:lineRule="auto"/>
        <w:ind w:firstLine="640" w:firstLineChars="200"/>
        <w:rPr>
          <w:sz w:val="32"/>
          <w:szCs w:val="32"/>
        </w:rPr>
      </w:pPr>
      <w:r>
        <w:rPr>
          <w:rFonts w:hint="eastAsia"/>
          <w:sz w:val="32"/>
          <w:szCs w:val="32"/>
        </w:rPr>
        <w:t>建设单位：</w:t>
      </w:r>
      <w:r>
        <w:rPr>
          <w:rFonts w:hint="eastAsia"/>
          <w:sz w:val="32"/>
          <w:szCs w:val="32"/>
          <w:u w:val="single"/>
        </w:rPr>
        <w:t>惠州欣城新能源有限公司</w:t>
      </w:r>
    </w:p>
    <w:p w14:paraId="51C85DBA">
      <w:pPr>
        <w:spacing w:line="360" w:lineRule="auto"/>
        <w:ind w:firstLine="640" w:firstLineChars="200"/>
        <w:rPr>
          <w:sz w:val="32"/>
          <w:szCs w:val="32"/>
          <w:u w:val="single"/>
        </w:rPr>
      </w:pPr>
      <w:r>
        <w:rPr>
          <w:rFonts w:hint="eastAsia"/>
          <w:sz w:val="32"/>
          <w:szCs w:val="32"/>
        </w:rPr>
        <w:t>评价单位：</w:t>
      </w:r>
      <w:r>
        <w:rPr>
          <w:rFonts w:hint="eastAsia"/>
          <w:sz w:val="32"/>
          <w:szCs w:val="32"/>
          <w:u w:val="single"/>
        </w:rPr>
        <w:t>广东艾格芮生态科技有限公司</w:t>
      </w:r>
    </w:p>
    <w:p w14:paraId="231EF047">
      <w:pPr>
        <w:spacing w:line="360" w:lineRule="auto"/>
        <w:ind w:firstLine="640" w:firstLineChars="200"/>
        <w:rPr>
          <w:sz w:val="44"/>
          <w:szCs w:val="44"/>
        </w:rPr>
      </w:pPr>
      <w:r>
        <w:rPr>
          <w:rFonts w:hint="eastAsia"/>
          <w:sz w:val="32"/>
          <w:szCs w:val="32"/>
        </w:rPr>
        <w:t>编制时间：</w:t>
      </w:r>
      <w:r>
        <w:rPr>
          <w:sz w:val="32"/>
          <w:szCs w:val="32"/>
          <w:u w:val="single"/>
        </w:rPr>
        <w:t xml:space="preserve">      2025</w:t>
      </w:r>
      <w:r>
        <w:rPr>
          <w:rFonts w:hint="eastAsia"/>
          <w:sz w:val="32"/>
          <w:szCs w:val="32"/>
          <w:u w:val="single"/>
        </w:rPr>
        <w:t>年</w:t>
      </w:r>
      <w:r>
        <w:rPr>
          <w:sz w:val="32"/>
          <w:szCs w:val="32"/>
          <w:u w:val="single"/>
        </w:rPr>
        <w:t>8</w:t>
      </w:r>
      <w:r>
        <w:rPr>
          <w:rFonts w:hint="eastAsia"/>
          <w:sz w:val="32"/>
          <w:szCs w:val="32"/>
          <w:u w:val="single"/>
        </w:rPr>
        <w:t xml:space="preserve">月        </w:t>
      </w:r>
    </w:p>
    <w:p w14:paraId="66F03B42">
      <w:pPr>
        <w:spacing w:line="360" w:lineRule="auto"/>
        <w:rPr>
          <w:sz w:val="44"/>
          <w:szCs w:val="44"/>
        </w:rPr>
      </w:pPr>
    </w:p>
    <w:p w14:paraId="7612C025">
      <w:pPr>
        <w:spacing w:line="360" w:lineRule="auto"/>
        <w:rPr>
          <w:sz w:val="44"/>
          <w:szCs w:val="44"/>
        </w:rPr>
      </w:pPr>
    </w:p>
    <w:p w14:paraId="130204C3">
      <w:pPr>
        <w:pStyle w:val="3"/>
      </w:pPr>
      <w:r>
        <w:rPr>
          <w:szCs w:val="32"/>
        </w:rPr>
        <w:br w:type="page"/>
      </w:r>
      <w:bookmarkStart w:id="81" w:name="_Toc376424905"/>
      <w:bookmarkStart w:id="82" w:name="_Toc379615820"/>
      <w:bookmarkStart w:id="83" w:name="_Toc266197911"/>
      <w:bookmarkStart w:id="84" w:name="_Toc275180736"/>
      <w:bookmarkStart w:id="85" w:name="_Toc18505"/>
      <w:bookmarkStart w:id="86" w:name="_Toc369270986"/>
      <w:bookmarkStart w:id="87" w:name="_Toc435986748"/>
      <w:bookmarkStart w:id="88" w:name="_Toc267065313"/>
      <w:bookmarkStart w:id="89" w:name="_Toc312071838"/>
      <w:bookmarkStart w:id="90" w:name="_Toc261447497"/>
      <w:bookmarkStart w:id="91" w:name="_Toc266198371"/>
      <w:bookmarkStart w:id="92" w:name="_Toc399688132"/>
      <w:bookmarkStart w:id="93" w:name="_Toc276475156"/>
      <w:bookmarkStart w:id="94" w:name="_Toc297711676"/>
      <w:bookmarkStart w:id="95" w:name="_Toc281474057"/>
      <w:bookmarkStart w:id="96" w:name="_Toc312156377"/>
      <w:bookmarkStart w:id="97" w:name="_Toc350413239"/>
      <w:bookmarkStart w:id="98" w:name="_Toc276475113"/>
      <w:bookmarkStart w:id="99" w:name="_Toc353788818"/>
      <w:bookmarkStart w:id="100" w:name="_Toc367606474"/>
      <w:bookmarkStart w:id="101" w:name="_Toc31900"/>
      <w:bookmarkStart w:id="102" w:name="_Toc297711634"/>
      <w:bookmarkStart w:id="103" w:name="_Toc401151214"/>
      <w:bookmarkStart w:id="104" w:name="_Toc349140209"/>
      <w:bookmarkStart w:id="105" w:name="_Toc3018"/>
      <w:bookmarkStart w:id="106" w:name="_Toc7443"/>
      <w:bookmarkStart w:id="107" w:name="_Toc290369557"/>
      <w:bookmarkStart w:id="108" w:name="_Toc290369560"/>
      <w:bookmarkStart w:id="109" w:name="_Toc267065316"/>
      <w:bookmarkStart w:id="110" w:name="_Toc399688146"/>
      <w:bookmarkStart w:id="111" w:name="_Toc312156380"/>
      <w:bookmarkStart w:id="112" w:name="_Toc376424908"/>
      <w:bookmarkStart w:id="113" w:name="_Toc266197914"/>
      <w:bookmarkStart w:id="114" w:name="_Toc367606477"/>
      <w:bookmarkStart w:id="115" w:name="_Toc276475171"/>
      <w:bookmarkStart w:id="116" w:name="_Toc297711637"/>
      <w:bookmarkStart w:id="117" w:name="_Toc266198374"/>
      <w:bookmarkStart w:id="118" w:name="_Toc276475116"/>
      <w:bookmarkStart w:id="119" w:name="_Toc261447500"/>
      <w:bookmarkStart w:id="120" w:name="_Toc19708"/>
      <w:bookmarkStart w:id="121" w:name="_Toc401151228"/>
      <w:bookmarkStart w:id="122" w:name="_Toc275180739"/>
      <w:bookmarkStart w:id="123" w:name="_Toc379615823"/>
      <w:bookmarkStart w:id="124" w:name="_Toc312071841"/>
      <w:bookmarkStart w:id="125" w:name="_Toc350413242"/>
      <w:bookmarkStart w:id="126" w:name="_Toc349140212"/>
      <w:bookmarkStart w:id="127" w:name="_Toc5062"/>
      <w:bookmarkStart w:id="128" w:name="_Toc353788821"/>
      <w:bookmarkStart w:id="129" w:name="_Toc369270989"/>
      <w:bookmarkStart w:id="130" w:name="_Toc281474060"/>
      <w:r>
        <w:rPr>
          <w:rFonts w:hint="eastAsia"/>
        </w:rPr>
        <w:t>1前言</w:t>
      </w:r>
    </w:p>
    <w:p w14:paraId="20365729">
      <w:pPr>
        <w:pStyle w:val="10"/>
        <w:spacing w:before="120" w:beforeLines="50"/>
      </w:pPr>
      <w:r>
        <w:rPr>
          <w:rFonts w:hint="eastAsia"/>
        </w:rPr>
        <w:t>随着社会经济发展，能源及环境问题日益引起全社会的关注，可再生能源的开发与利用显得越来越迫切。近年来，我国面临着煤、石油、电供应全面紧张的局面，能源供应与环境容量一直是社会经济发展的重要制约因素。</w:t>
      </w:r>
    </w:p>
    <w:p w14:paraId="0E13E9C0">
      <w:pPr>
        <w:pStyle w:val="10"/>
      </w:pPr>
      <w:r>
        <w:rPr>
          <w:rFonts w:hint="eastAsia"/>
        </w:rPr>
        <w:t>在可再生能源取得良好发展成绩，并呈现良好发展势头的背景下，保障并网和消纳是推动行业高质量发展的重要措施之一，</w:t>
      </w:r>
      <w:r>
        <w:rPr>
          <w:rFonts w:hint="eastAsia"/>
          <w:spacing w:val="-3"/>
          <w:szCs w:val="24"/>
        </w:rPr>
        <w:t>《</w:t>
      </w:r>
      <w:r>
        <w:rPr>
          <w:spacing w:val="-3"/>
          <w:szCs w:val="24"/>
        </w:rPr>
        <w:t>“</w:t>
      </w:r>
      <w:r>
        <w:rPr>
          <w:rFonts w:hint="eastAsia"/>
          <w:spacing w:val="-3"/>
          <w:szCs w:val="24"/>
        </w:rPr>
        <w:t>十四五</w:t>
      </w:r>
      <w:r>
        <w:rPr>
          <w:spacing w:val="-3"/>
          <w:szCs w:val="24"/>
        </w:rPr>
        <w:t>”</w:t>
      </w:r>
      <w:r>
        <w:rPr>
          <w:rFonts w:hint="eastAsia"/>
          <w:spacing w:val="-3"/>
          <w:szCs w:val="24"/>
        </w:rPr>
        <w:t>新</w:t>
      </w:r>
      <w:r>
        <w:rPr>
          <w:rFonts w:hint="eastAsia"/>
          <w:spacing w:val="-4"/>
          <w:szCs w:val="24"/>
        </w:rPr>
        <w:t>型储能发展实</w:t>
      </w:r>
      <w:r>
        <w:rPr>
          <w:rFonts w:hint="eastAsia"/>
          <w:spacing w:val="1"/>
          <w:szCs w:val="24"/>
        </w:rPr>
        <w:t>施方案》</w:t>
      </w:r>
      <w:r>
        <w:rPr>
          <w:rFonts w:hint="eastAsia"/>
        </w:rPr>
        <w:t>明确提出了鼓励可再生能源发电企业自建合建、购买调峰资源等方式，以及增加并网规模的政策措施和运行管理要求，有利于发挥政府、企业、市场多方能动性，引导市场主体多渠道促进可再生能源发展，有效推动双碳目标顺利实现。“十四五”时期是我国实现碳达峰目标的关键期和窗口期，也是新型储能发展的重要战略机遇期。随着电力系统对调节能力需求提升、新能源开发消纳规模不断加大，新型储能建设周期短、选址简单灵活、调节能力强，与新能源开发消纳的匹配性更好，优势逐渐凸显，加快推进先进储能技术规模化应用势在必行。</w:t>
      </w:r>
    </w:p>
    <w:p w14:paraId="5B348AF1">
      <w:pPr>
        <w:pStyle w:val="10"/>
      </w:pPr>
      <w:r>
        <w:rPr>
          <w:rFonts w:hint="eastAsia"/>
        </w:rPr>
        <w:t>储能电站独立参与到调峰、调频、备用等辅助服务市场中，进一步保障电网的稳定运行，并提高电网对可再生能源的灵活性的适应能力，能够获得调峰、调频等辅助服务。储能电站的投运具有保障和提升电力系统安全性、可靠性的作用，兼具经济效益和社会效益。其经济效益又可分为显性效益和隐性效益。显性效益在于获得对电网调峰时的调峰补偿。本项目建设于惠州市博罗县境内，根据本项目所在地区的经济现状及近、远期发展规划、电力系统现状及发展规划，结合地区能源供应条件，以及广东省节能减排和大气污染治理的需要，本项目的开发是十分必要的。</w:t>
      </w:r>
    </w:p>
    <w:p w14:paraId="1B07C4FE">
      <w:pPr>
        <w:pStyle w:val="10"/>
      </w:pPr>
      <w:r>
        <w:rPr>
          <w:rFonts w:hint="eastAsia"/>
          <w:bCs/>
        </w:rPr>
        <w:t>惠州欣城新能源有限公司</w:t>
      </w:r>
      <w:r>
        <w:rPr>
          <w:bCs/>
        </w:rPr>
        <w:t>200MW/400MWh</w:t>
      </w:r>
      <w:r>
        <w:rPr>
          <w:rFonts w:hint="eastAsia"/>
          <w:bCs/>
        </w:rPr>
        <w:t>独立储能电站新建项目</w:t>
      </w:r>
      <w:r>
        <w:rPr>
          <w:rFonts w:hint="eastAsia"/>
        </w:rPr>
        <w:t>配套</w:t>
      </w:r>
      <w:r>
        <w:t>220kV</w:t>
      </w:r>
      <w:r>
        <w:rPr>
          <w:rFonts w:hint="eastAsia"/>
        </w:rPr>
        <w:t>升压站工程，该升压站属附属设施，位于该项目厂区范围内，该</w:t>
      </w:r>
      <w:r>
        <w:t>220kV</w:t>
      </w:r>
      <w:r>
        <w:rPr>
          <w:rFonts w:hint="eastAsia"/>
        </w:rPr>
        <w:t>升压站为输变电工程，根据《环境影响评价技术导则</w:t>
      </w:r>
      <w:r>
        <w:t xml:space="preserve"> </w:t>
      </w:r>
      <w:r>
        <w:rPr>
          <w:rFonts w:hint="eastAsia"/>
        </w:rPr>
        <w:t>输变电》（</w:t>
      </w:r>
      <w:r>
        <w:t>HJ24-2020</w:t>
      </w:r>
      <w:r>
        <w:rPr>
          <w:rFonts w:hint="eastAsia"/>
        </w:rPr>
        <w:t>）附录</w:t>
      </w:r>
      <w:r>
        <w:t>B</w:t>
      </w:r>
      <w:r>
        <w:rPr>
          <w:rFonts w:hint="eastAsia"/>
        </w:rPr>
        <w:t>的要求，需设置电磁环境影响专题评价。</w:t>
      </w:r>
    </w:p>
    <w:p w14:paraId="554FCC4A">
      <w:pPr>
        <w:pStyle w:val="3"/>
      </w:pPr>
      <w:r>
        <w:rPr>
          <w:rStyle w:val="46"/>
          <w:rFonts w:eastAsiaTheme="minorEastAsia"/>
          <w:b/>
          <w:bCs/>
          <w:color w:val="auto"/>
          <w:kern w:val="2"/>
        </w:rPr>
        <w:t>2</w:t>
      </w:r>
      <w:r>
        <w:rPr>
          <w:rStyle w:val="46"/>
          <w:rFonts w:hint="eastAsia" w:eastAsiaTheme="minorEastAsia"/>
          <w:b/>
          <w:bCs/>
          <w:color w:val="auto"/>
          <w:kern w:val="2"/>
        </w:rPr>
        <w:t>编制依据</w:t>
      </w:r>
    </w:p>
    <w:p w14:paraId="77DA9D99">
      <w:pPr>
        <w:pStyle w:val="5"/>
      </w:pPr>
      <w:r>
        <w:t>2.1</w:t>
      </w:r>
      <w:r>
        <w:rPr>
          <w:rFonts w:hint="eastAsia"/>
        </w:rPr>
        <w:t>法律法规</w:t>
      </w:r>
    </w:p>
    <w:p w14:paraId="54820947">
      <w:pPr>
        <w:pStyle w:val="11"/>
        <w:numPr>
          <w:ilvl w:val="0"/>
          <w:numId w:val="3"/>
        </w:numPr>
        <w:rPr>
          <w:color w:val="auto"/>
        </w:rPr>
      </w:pPr>
      <w:r>
        <w:rPr>
          <w:rFonts w:hint="eastAsia"/>
          <w:color w:val="auto"/>
        </w:rPr>
        <w:t>《中华人民共和国环境影响评价法》，</w:t>
      </w:r>
      <w:r>
        <w:rPr>
          <w:color w:val="auto"/>
        </w:rPr>
        <w:t>2018</w:t>
      </w:r>
      <w:r>
        <w:rPr>
          <w:rFonts w:hint="eastAsia"/>
          <w:color w:val="auto"/>
        </w:rPr>
        <w:t>年</w:t>
      </w:r>
      <w:r>
        <w:rPr>
          <w:color w:val="auto"/>
        </w:rPr>
        <w:t>12</w:t>
      </w:r>
      <w:r>
        <w:rPr>
          <w:rFonts w:hint="eastAsia"/>
          <w:color w:val="auto"/>
        </w:rPr>
        <w:t>月</w:t>
      </w:r>
      <w:r>
        <w:rPr>
          <w:color w:val="auto"/>
        </w:rPr>
        <w:t>29</w:t>
      </w:r>
      <w:r>
        <w:rPr>
          <w:rFonts w:hint="eastAsia"/>
          <w:color w:val="auto"/>
        </w:rPr>
        <w:t>日修正；</w:t>
      </w:r>
    </w:p>
    <w:p w14:paraId="045829C0">
      <w:pPr>
        <w:pStyle w:val="11"/>
        <w:rPr>
          <w:color w:val="auto"/>
        </w:rPr>
      </w:pPr>
      <w:r>
        <w:rPr>
          <w:rFonts w:hint="eastAsia"/>
          <w:color w:val="auto"/>
        </w:rPr>
        <w:t>《建设项目环境保护管理条例》（国务院</w:t>
      </w:r>
      <w:r>
        <w:rPr>
          <w:color w:val="auto"/>
        </w:rPr>
        <w:t>682</w:t>
      </w:r>
      <w:r>
        <w:rPr>
          <w:rFonts w:hint="eastAsia"/>
          <w:color w:val="auto"/>
        </w:rPr>
        <w:t>号令）；</w:t>
      </w:r>
    </w:p>
    <w:p w14:paraId="649A6C8A">
      <w:pPr>
        <w:pStyle w:val="11"/>
        <w:rPr>
          <w:color w:val="auto"/>
        </w:rPr>
      </w:pPr>
      <w:r>
        <w:rPr>
          <w:rFonts w:hint="eastAsia"/>
          <w:color w:val="auto"/>
        </w:rPr>
        <w:t>《中华人民共和国环境保护法》（</w:t>
      </w:r>
      <w:r>
        <w:rPr>
          <w:color w:val="auto"/>
        </w:rPr>
        <w:t>2015</w:t>
      </w:r>
      <w:r>
        <w:rPr>
          <w:rFonts w:hint="eastAsia"/>
          <w:color w:val="auto"/>
        </w:rPr>
        <w:t>年</w:t>
      </w:r>
      <w:r>
        <w:rPr>
          <w:color w:val="auto"/>
        </w:rPr>
        <w:t>1</w:t>
      </w:r>
      <w:r>
        <w:rPr>
          <w:rFonts w:hint="eastAsia"/>
          <w:color w:val="auto"/>
        </w:rPr>
        <w:t>月</w:t>
      </w:r>
      <w:r>
        <w:rPr>
          <w:color w:val="auto"/>
        </w:rPr>
        <w:t>1</w:t>
      </w:r>
      <w:r>
        <w:rPr>
          <w:rFonts w:hint="eastAsia"/>
          <w:color w:val="auto"/>
        </w:rPr>
        <w:t>日）；</w:t>
      </w:r>
    </w:p>
    <w:p w14:paraId="2FFE6848">
      <w:pPr>
        <w:pStyle w:val="11"/>
        <w:rPr>
          <w:color w:val="auto"/>
        </w:rPr>
      </w:pPr>
      <w:r>
        <w:rPr>
          <w:rFonts w:hint="eastAsia"/>
          <w:color w:val="auto"/>
        </w:rPr>
        <w:t>《建设项目环境影响评价分类管理名录》（</w:t>
      </w:r>
      <w:r>
        <w:rPr>
          <w:color w:val="auto"/>
        </w:rPr>
        <w:t>2021</w:t>
      </w:r>
      <w:r>
        <w:rPr>
          <w:rFonts w:hint="eastAsia"/>
          <w:color w:val="auto"/>
        </w:rPr>
        <w:t>年版，生态环境部令第</w:t>
      </w:r>
      <w:r>
        <w:rPr>
          <w:color w:val="auto"/>
        </w:rPr>
        <w:t>16</w:t>
      </w:r>
      <w:r>
        <w:rPr>
          <w:rFonts w:hint="eastAsia"/>
          <w:color w:val="auto"/>
          <w:szCs w:val="24"/>
        </w:rPr>
        <w:t>号）；</w:t>
      </w:r>
    </w:p>
    <w:p w14:paraId="3FE214B2">
      <w:pPr>
        <w:pStyle w:val="11"/>
        <w:rPr>
          <w:color w:val="auto"/>
        </w:rPr>
      </w:pPr>
      <w:r>
        <w:rPr>
          <w:rFonts w:hint="eastAsia"/>
          <w:color w:val="auto"/>
        </w:rPr>
        <w:t>《广东省环境保护条例》（</w:t>
      </w:r>
      <w:r>
        <w:rPr>
          <w:color w:val="auto"/>
        </w:rPr>
        <w:t>2018</w:t>
      </w:r>
      <w:r>
        <w:rPr>
          <w:rFonts w:hint="eastAsia"/>
          <w:color w:val="auto"/>
        </w:rPr>
        <w:t>年</w:t>
      </w:r>
      <w:r>
        <w:rPr>
          <w:color w:val="auto"/>
        </w:rPr>
        <w:t>11</w:t>
      </w:r>
      <w:r>
        <w:rPr>
          <w:rFonts w:hint="eastAsia"/>
          <w:color w:val="auto"/>
        </w:rPr>
        <w:t>月</w:t>
      </w:r>
      <w:r>
        <w:rPr>
          <w:color w:val="auto"/>
        </w:rPr>
        <w:t>29</w:t>
      </w:r>
      <w:r>
        <w:rPr>
          <w:rFonts w:hint="eastAsia"/>
          <w:color w:val="auto"/>
        </w:rPr>
        <w:t>日修正）。</w:t>
      </w:r>
    </w:p>
    <w:p w14:paraId="01FF2198">
      <w:pPr>
        <w:pStyle w:val="5"/>
      </w:pPr>
      <w:r>
        <w:t>2.2</w:t>
      </w:r>
      <w:r>
        <w:rPr>
          <w:rFonts w:hint="eastAsia"/>
        </w:rPr>
        <w:t>环境影响评价标准及规范</w:t>
      </w:r>
    </w:p>
    <w:p w14:paraId="57766379">
      <w:pPr>
        <w:pStyle w:val="11"/>
        <w:numPr>
          <w:ilvl w:val="0"/>
          <w:numId w:val="4"/>
        </w:numPr>
        <w:rPr>
          <w:color w:val="auto"/>
        </w:rPr>
      </w:pPr>
      <w:r>
        <w:rPr>
          <w:rFonts w:hint="eastAsia"/>
          <w:color w:val="auto"/>
        </w:rPr>
        <w:t>《建设项目环境影响评价技术导则</w:t>
      </w:r>
      <w:r>
        <w:rPr>
          <w:color w:val="auto"/>
        </w:rPr>
        <w:t xml:space="preserve"> </w:t>
      </w:r>
      <w:r>
        <w:rPr>
          <w:rFonts w:hint="eastAsia"/>
          <w:color w:val="auto"/>
        </w:rPr>
        <w:t>总纲》（</w:t>
      </w:r>
      <w:r>
        <w:rPr>
          <w:color w:val="auto"/>
        </w:rPr>
        <w:t>HJ2.1-2016</w:t>
      </w:r>
      <w:r>
        <w:rPr>
          <w:rFonts w:hint="eastAsia"/>
          <w:color w:val="auto"/>
        </w:rPr>
        <w:t>）；</w:t>
      </w:r>
    </w:p>
    <w:p w14:paraId="79E80434">
      <w:pPr>
        <w:pStyle w:val="11"/>
        <w:numPr>
          <w:ilvl w:val="0"/>
          <w:numId w:val="4"/>
        </w:numPr>
        <w:rPr>
          <w:color w:val="auto"/>
        </w:rPr>
      </w:pPr>
      <w:r>
        <w:rPr>
          <w:rFonts w:hint="eastAsia"/>
          <w:color w:val="auto"/>
        </w:rPr>
        <w:t>《环境影响评价技术导则输变电》（</w:t>
      </w:r>
      <w:r>
        <w:rPr>
          <w:color w:val="auto"/>
        </w:rPr>
        <w:t>HJ24-2020</w:t>
      </w:r>
      <w:r>
        <w:rPr>
          <w:rFonts w:hint="eastAsia"/>
          <w:color w:val="auto"/>
        </w:rPr>
        <w:t>）；</w:t>
      </w:r>
    </w:p>
    <w:p w14:paraId="26A85AF3">
      <w:pPr>
        <w:pStyle w:val="11"/>
        <w:numPr>
          <w:ilvl w:val="0"/>
          <w:numId w:val="4"/>
        </w:numPr>
        <w:rPr>
          <w:color w:val="auto"/>
        </w:rPr>
      </w:pPr>
      <w:r>
        <w:rPr>
          <w:rFonts w:hint="eastAsia"/>
          <w:color w:val="auto"/>
        </w:rPr>
        <w:t>《电磁环境控制限值》（</w:t>
      </w:r>
      <w:r>
        <w:rPr>
          <w:color w:val="auto"/>
        </w:rPr>
        <w:t>GB8702-2014</w:t>
      </w:r>
      <w:r>
        <w:rPr>
          <w:rFonts w:hint="eastAsia"/>
          <w:color w:val="auto"/>
        </w:rPr>
        <w:t>）；</w:t>
      </w:r>
    </w:p>
    <w:p w14:paraId="7474FCCC">
      <w:pPr>
        <w:pStyle w:val="11"/>
        <w:numPr>
          <w:ilvl w:val="0"/>
          <w:numId w:val="4"/>
        </w:numPr>
        <w:rPr>
          <w:color w:val="auto"/>
        </w:rPr>
      </w:pPr>
      <w:r>
        <w:rPr>
          <w:rFonts w:hint="eastAsia"/>
          <w:color w:val="auto"/>
        </w:rPr>
        <w:t>《输变电建设项目环境保护技术要求》（</w:t>
      </w:r>
      <w:r>
        <w:rPr>
          <w:color w:val="auto"/>
        </w:rPr>
        <w:t>HJ1113-2020</w:t>
      </w:r>
      <w:r>
        <w:rPr>
          <w:rFonts w:hint="eastAsia"/>
          <w:color w:val="auto"/>
        </w:rPr>
        <w:t>）；</w:t>
      </w:r>
    </w:p>
    <w:p w14:paraId="504A464A">
      <w:pPr>
        <w:pStyle w:val="11"/>
        <w:numPr>
          <w:ilvl w:val="0"/>
          <w:numId w:val="4"/>
        </w:numPr>
        <w:rPr>
          <w:color w:val="auto"/>
        </w:rPr>
      </w:pPr>
      <w:r>
        <w:rPr>
          <w:rFonts w:hint="eastAsia"/>
          <w:color w:val="auto"/>
        </w:rPr>
        <w:t>《交流输变电工程电磁环境监测方法（试行）》（</w:t>
      </w:r>
      <w:r>
        <w:rPr>
          <w:color w:val="auto"/>
        </w:rPr>
        <w:t>HJ681-2013</w:t>
      </w:r>
      <w:r>
        <w:rPr>
          <w:rFonts w:hint="eastAsia"/>
          <w:color w:val="auto"/>
        </w:rPr>
        <w:t>）；</w:t>
      </w:r>
    </w:p>
    <w:p w14:paraId="3099989B">
      <w:pPr>
        <w:pStyle w:val="11"/>
        <w:numPr>
          <w:ilvl w:val="0"/>
          <w:numId w:val="4"/>
        </w:numPr>
        <w:rPr>
          <w:color w:val="auto"/>
        </w:rPr>
      </w:pPr>
      <w:r>
        <w:rPr>
          <w:rFonts w:hint="eastAsia"/>
          <w:color w:val="auto"/>
        </w:rPr>
        <w:t>《火力发电厂与变电站设计防火标准》（</w:t>
      </w:r>
      <w:r>
        <w:rPr>
          <w:color w:val="auto"/>
        </w:rPr>
        <w:t>GB50229-2019</w:t>
      </w:r>
      <w:r>
        <w:rPr>
          <w:rFonts w:hint="eastAsia"/>
          <w:color w:val="auto"/>
        </w:rPr>
        <w:t>）。</w:t>
      </w:r>
    </w:p>
    <w:p w14:paraId="7CFA0232">
      <w:pPr>
        <w:pStyle w:val="5"/>
      </w:pPr>
      <w:r>
        <w:t>2.3</w:t>
      </w:r>
      <w:r>
        <w:rPr>
          <w:rFonts w:hint="eastAsia"/>
        </w:rPr>
        <w:t>评价其它文件</w:t>
      </w:r>
    </w:p>
    <w:p w14:paraId="6162F3B2">
      <w:pPr>
        <w:spacing w:line="360" w:lineRule="auto"/>
        <w:ind w:firstLine="480" w:firstLineChars="200"/>
        <w:rPr>
          <w:sz w:val="24"/>
        </w:rPr>
      </w:pPr>
      <w:r>
        <w:rPr>
          <w:rFonts w:hint="eastAsia"/>
          <w:sz w:val="24"/>
        </w:rPr>
        <w:t>（</w:t>
      </w:r>
      <w:r>
        <w:rPr>
          <w:sz w:val="24"/>
        </w:rPr>
        <w:t>1</w:t>
      </w:r>
      <w:r>
        <w:rPr>
          <w:rFonts w:hint="eastAsia"/>
          <w:sz w:val="24"/>
        </w:rPr>
        <w:t>）</w:t>
      </w:r>
      <w:r>
        <w:rPr>
          <w:rFonts w:hint="eastAsia"/>
          <w:bCs/>
          <w:sz w:val="24"/>
        </w:rPr>
        <w:t>惠州欣城新能源有限公司</w:t>
      </w:r>
      <w:r>
        <w:rPr>
          <w:bCs/>
          <w:sz w:val="24"/>
        </w:rPr>
        <w:t>200MW/400MWh</w:t>
      </w:r>
      <w:r>
        <w:rPr>
          <w:rFonts w:hint="eastAsia"/>
          <w:bCs/>
          <w:sz w:val="24"/>
        </w:rPr>
        <w:t>独立储能电站新建项目</w:t>
      </w:r>
      <w:r>
        <w:rPr>
          <w:rFonts w:hint="eastAsia"/>
          <w:sz w:val="24"/>
        </w:rPr>
        <w:t>电磁环境监测报告；</w:t>
      </w:r>
    </w:p>
    <w:p w14:paraId="3F8BF2B2">
      <w:pPr>
        <w:spacing w:line="360" w:lineRule="auto"/>
        <w:ind w:firstLine="480" w:firstLineChars="200"/>
        <w:rPr>
          <w:sz w:val="24"/>
        </w:rPr>
      </w:pPr>
      <w:r>
        <w:rPr>
          <w:rFonts w:hint="eastAsia"/>
          <w:sz w:val="24"/>
        </w:rPr>
        <w:t>（</w:t>
      </w:r>
      <w:r>
        <w:rPr>
          <w:sz w:val="24"/>
        </w:rPr>
        <w:t>2</w:t>
      </w:r>
      <w:r>
        <w:rPr>
          <w:rFonts w:hint="eastAsia"/>
          <w:sz w:val="24"/>
        </w:rPr>
        <w:t>）《惠州欣城新能源有限公司</w:t>
      </w:r>
      <w:r>
        <w:rPr>
          <w:sz w:val="24"/>
        </w:rPr>
        <w:t>200MW/400MWh</w:t>
      </w:r>
      <w:r>
        <w:rPr>
          <w:rFonts w:hint="eastAsia"/>
          <w:sz w:val="24"/>
        </w:rPr>
        <w:t>独立储能电站新建项目可行性研究报告》。</w:t>
      </w:r>
    </w:p>
    <w:p w14:paraId="311FFD97">
      <w:pPr>
        <w:pStyle w:val="3"/>
      </w:pPr>
      <w:r>
        <w:t>3</w:t>
      </w:r>
      <w:r>
        <w:rPr>
          <w:rFonts w:hint="eastAsia"/>
        </w:rPr>
        <w:t>评价因子、标准、等级与评价范围</w:t>
      </w:r>
    </w:p>
    <w:p w14:paraId="4497513F">
      <w:pPr>
        <w:pStyle w:val="5"/>
      </w:pPr>
      <w:r>
        <w:rPr>
          <w:rFonts w:hint="eastAsia"/>
        </w:rPr>
        <w:t>3</w:t>
      </w:r>
      <w:r>
        <w:t>.1</w:t>
      </w:r>
      <w:r>
        <w:rPr>
          <w:rFonts w:hint="eastAsia"/>
        </w:rPr>
        <w:t>评价因子</w:t>
      </w:r>
    </w:p>
    <w:p w14:paraId="4E00CB93">
      <w:pPr>
        <w:spacing w:line="360" w:lineRule="auto"/>
        <w:ind w:firstLine="480" w:firstLineChars="200"/>
        <w:rPr>
          <w:bCs/>
          <w:sz w:val="24"/>
        </w:rPr>
      </w:pPr>
      <w:r>
        <w:rPr>
          <w:rFonts w:hint="eastAsia"/>
          <w:bCs/>
          <w:sz w:val="24"/>
        </w:rPr>
        <w:t>根据《</w:t>
      </w:r>
      <w:r>
        <w:rPr>
          <w:rFonts w:hint="eastAsia"/>
          <w:sz w:val="24"/>
        </w:rPr>
        <w:t>环境影响评价技术导则输变电</w:t>
      </w:r>
      <w:r>
        <w:rPr>
          <w:rFonts w:hint="eastAsia"/>
          <w:bCs/>
          <w:sz w:val="24"/>
        </w:rPr>
        <w:t>》</w:t>
      </w:r>
      <w:r>
        <w:rPr>
          <w:bCs/>
          <w:sz w:val="24"/>
        </w:rPr>
        <w:t>(</w:t>
      </w:r>
      <w:r>
        <w:rPr>
          <w:sz w:val="24"/>
        </w:rPr>
        <w:t>HJ24-2020</w:t>
      </w:r>
      <w:r>
        <w:rPr>
          <w:bCs/>
          <w:sz w:val="24"/>
        </w:rPr>
        <w:t>)</w:t>
      </w:r>
      <w:r>
        <w:rPr>
          <w:rFonts w:hint="eastAsia"/>
          <w:bCs/>
          <w:sz w:val="24"/>
        </w:rPr>
        <w:t>，本工程电磁环境影响评价因子如下表。</w:t>
      </w:r>
    </w:p>
    <w:p w14:paraId="2ED29269">
      <w:pPr>
        <w:pStyle w:val="132"/>
        <w:rPr>
          <w:b/>
        </w:rPr>
      </w:pPr>
      <w:r>
        <w:rPr>
          <w:rFonts w:hint="eastAsia"/>
          <w:b/>
        </w:rPr>
        <w:t>表</w:t>
      </w:r>
      <w:r>
        <w:rPr>
          <w:b/>
        </w:rPr>
        <w:t>3-1</w:t>
      </w:r>
      <w:r>
        <w:rPr>
          <w:rFonts w:hint="eastAsia"/>
          <w:b/>
        </w:rPr>
        <w:t>项目评价因子</w:t>
      </w:r>
    </w:p>
    <w:tbl>
      <w:tblPr>
        <w:tblStyle w:val="150"/>
        <w:tblW w:w="5001"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36"/>
        <w:gridCol w:w="1333"/>
        <w:gridCol w:w="1867"/>
        <w:gridCol w:w="2133"/>
        <w:gridCol w:w="2155"/>
      </w:tblGrid>
      <w:tr w14:paraId="39152C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08" w:type="pct"/>
            <w:vAlign w:val="center"/>
          </w:tcPr>
          <w:p w14:paraId="4AE4271F">
            <w:pPr>
              <w:pStyle w:val="149"/>
              <w:rPr>
                <w:rFonts w:hint="default" w:ascii="Times New Roman" w:hAnsi="Times New Roman" w:eastAsia="宋体" w:cs="Times New Roman"/>
                <w:b/>
                <w:i w:val="0"/>
              </w:rPr>
            </w:pPr>
            <w:r>
              <w:rPr>
                <w:rFonts w:hint="eastAsia" w:ascii="宋体" w:hAnsi="宋体" w:eastAsia="宋体" w:cs="Times New Roman"/>
                <w:b w:val="0"/>
                <w:i w:val="0"/>
              </w:rPr>
              <w:t>评价时段</w:t>
            </w:r>
          </w:p>
        </w:tc>
        <w:tc>
          <w:tcPr>
            <w:tcW w:w="782" w:type="pct"/>
            <w:vAlign w:val="center"/>
          </w:tcPr>
          <w:p w14:paraId="14835F15">
            <w:pPr>
              <w:pStyle w:val="149"/>
              <w:rPr>
                <w:rFonts w:hint="default" w:ascii="Times New Roman" w:hAnsi="Times New Roman" w:eastAsia="宋体" w:cs="Times New Roman"/>
                <w:b w:val="0"/>
                <w:i w:val="0"/>
              </w:rPr>
            </w:pPr>
            <w:r>
              <w:rPr>
                <w:rFonts w:hint="eastAsia" w:ascii="宋体" w:hAnsi="宋体" w:eastAsia="宋体" w:cs="Times New Roman"/>
                <w:b w:val="0"/>
                <w:i w:val="0"/>
              </w:rPr>
              <w:t>环境要素</w:t>
            </w:r>
          </w:p>
        </w:tc>
        <w:tc>
          <w:tcPr>
            <w:tcW w:w="1095" w:type="pct"/>
            <w:vAlign w:val="center"/>
          </w:tcPr>
          <w:p w14:paraId="429D4361">
            <w:pPr>
              <w:pStyle w:val="149"/>
              <w:rPr>
                <w:rFonts w:hint="default" w:ascii="Times New Roman" w:hAnsi="Times New Roman" w:eastAsia="宋体" w:cs="Times New Roman"/>
                <w:b w:val="0"/>
                <w:i w:val="0"/>
              </w:rPr>
            </w:pPr>
            <w:r>
              <w:rPr>
                <w:rFonts w:hint="eastAsia" w:ascii="宋体" w:hAnsi="宋体" w:eastAsia="宋体" w:cs="Times New Roman"/>
                <w:b w:val="0"/>
                <w:i w:val="0"/>
              </w:rPr>
              <w:t>现状评价因子</w:t>
            </w:r>
          </w:p>
        </w:tc>
        <w:tc>
          <w:tcPr>
            <w:tcW w:w="1251" w:type="pct"/>
            <w:vAlign w:val="center"/>
          </w:tcPr>
          <w:p w14:paraId="0DCEB8E5">
            <w:pPr>
              <w:pStyle w:val="149"/>
              <w:rPr>
                <w:rFonts w:hint="default" w:ascii="Times New Roman" w:hAnsi="Times New Roman" w:eastAsia="宋体" w:cs="Times New Roman"/>
                <w:b w:val="0"/>
                <w:i w:val="0"/>
              </w:rPr>
            </w:pPr>
            <w:r>
              <w:rPr>
                <w:rFonts w:hint="eastAsia" w:ascii="宋体" w:hAnsi="宋体" w:eastAsia="宋体" w:cs="Times New Roman"/>
                <w:b w:val="0"/>
                <w:i w:val="0"/>
              </w:rPr>
              <w:t>预测评价因子</w:t>
            </w:r>
          </w:p>
        </w:tc>
        <w:tc>
          <w:tcPr>
            <w:tcW w:w="1264" w:type="pct"/>
            <w:vAlign w:val="center"/>
          </w:tcPr>
          <w:p w14:paraId="677EC28A">
            <w:pPr>
              <w:pStyle w:val="149"/>
              <w:rPr>
                <w:rFonts w:hint="default" w:ascii="Times New Roman" w:hAnsi="Times New Roman" w:eastAsia="宋体" w:cs="Times New Roman"/>
                <w:b w:val="0"/>
                <w:i w:val="0"/>
              </w:rPr>
            </w:pPr>
            <w:r>
              <w:rPr>
                <w:rFonts w:hint="eastAsia" w:ascii="宋体" w:hAnsi="宋体" w:eastAsia="宋体" w:cs="Times New Roman"/>
                <w:b w:val="0"/>
                <w:i w:val="0"/>
              </w:rPr>
              <w:t>单位</w:t>
            </w:r>
          </w:p>
        </w:tc>
      </w:tr>
      <w:tr w14:paraId="3F1657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08" w:type="pct"/>
            <w:vMerge w:val="restart"/>
            <w:vAlign w:val="center"/>
          </w:tcPr>
          <w:p w14:paraId="0C3218C7">
            <w:pPr>
              <w:pStyle w:val="149"/>
              <w:rPr>
                <w:rFonts w:eastAsia="Times New Roman"/>
              </w:rPr>
            </w:pPr>
            <w:r>
              <w:rPr>
                <w:rFonts w:hint="eastAsia" w:ascii="宋体" w:hAnsi="宋体" w:eastAsia="Times New Roman"/>
              </w:rPr>
              <w:t>运营期</w:t>
            </w:r>
          </w:p>
        </w:tc>
        <w:tc>
          <w:tcPr>
            <w:tcW w:w="782" w:type="pct"/>
            <w:vMerge w:val="restart"/>
            <w:vAlign w:val="center"/>
          </w:tcPr>
          <w:p w14:paraId="761ED1DE">
            <w:pPr>
              <w:pStyle w:val="149"/>
              <w:rPr>
                <w:rFonts w:eastAsia="Times New Roman"/>
              </w:rPr>
            </w:pPr>
            <w:r>
              <w:rPr>
                <w:rFonts w:hint="eastAsia" w:ascii="宋体" w:hAnsi="宋体" w:eastAsia="Times New Roman"/>
              </w:rPr>
              <w:t>电磁</w:t>
            </w:r>
          </w:p>
        </w:tc>
        <w:tc>
          <w:tcPr>
            <w:tcW w:w="1095" w:type="pct"/>
            <w:vAlign w:val="center"/>
          </w:tcPr>
          <w:p w14:paraId="38FF6BCF">
            <w:pPr>
              <w:pStyle w:val="149"/>
              <w:rPr>
                <w:rFonts w:eastAsia="Times New Roman"/>
              </w:rPr>
            </w:pPr>
            <w:r>
              <w:rPr>
                <w:rFonts w:hint="eastAsia" w:ascii="宋体" w:hAnsi="宋体" w:eastAsia="Times New Roman"/>
              </w:rPr>
              <w:t>电场强度</w:t>
            </w:r>
          </w:p>
        </w:tc>
        <w:tc>
          <w:tcPr>
            <w:tcW w:w="1251" w:type="pct"/>
            <w:vAlign w:val="center"/>
          </w:tcPr>
          <w:p w14:paraId="4A78E35E">
            <w:pPr>
              <w:pStyle w:val="149"/>
              <w:rPr>
                <w:rFonts w:eastAsia="Times New Roman"/>
              </w:rPr>
            </w:pPr>
            <w:r>
              <w:rPr>
                <w:rFonts w:hint="eastAsia" w:ascii="宋体" w:hAnsi="宋体" w:eastAsia="Times New Roman"/>
              </w:rPr>
              <w:t>电场强度</w:t>
            </w:r>
          </w:p>
        </w:tc>
        <w:tc>
          <w:tcPr>
            <w:tcW w:w="1264" w:type="pct"/>
            <w:vAlign w:val="center"/>
          </w:tcPr>
          <w:p w14:paraId="2E0E1249">
            <w:pPr>
              <w:pStyle w:val="149"/>
              <w:rPr>
                <w:rFonts w:eastAsia="Times New Roman"/>
              </w:rPr>
            </w:pPr>
            <w:r>
              <w:rPr>
                <w:rFonts w:eastAsia="Times New Roman"/>
              </w:rPr>
              <w:t>V/m</w:t>
            </w:r>
          </w:p>
        </w:tc>
      </w:tr>
      <w:tr w14:paraId="3AA2FB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vAlign w:val="center"/>
          </w:tcPr>
          <w:p w14:paraId="53913E5C">
            <w:pPr>
              <w:widowControl/>
              <w:rPr>
                <w:rFonts w:eastAsia="宋体"/>
                <w:szCs w:val="21"/>
              </w:rPr>
            </w:pPr>
          </w:p>
        </w:tc>
        <w:tc>
          <w:tcPr>
            <w:tcW w:w="0" w:type="auto"/>
            <w:vMerge w:val="continue"/>
            <w:vAlign w:val="center"/>
          </w:tcPr>
          <w:p w14:paraId="5E6F36C9">
            <w:pPr>
              <w:widowControl/>
              <w:rPr>
                <w:rFonts w:eastAsia="宋体"/>
                <w:szCs w:val="21"/>
              </w:rPr>
            </w:pPr>
          </w:p>
        </w:tc>
        <w:tc>
          <w:tcPr>
            <w:tcW w:w="1095" w:type="pct"/>
            <w:vAlign w:val="center"/>
          </w:tcPr>
          <w:p w14:paraId="5A21DF16">
            <w:pPr>
              <w:pStyle w:val="149"/>
              <w:rPr>
                <w:rFonts w:eastAsia="Times New Roman"/>
              </w:rPr>
            </w:pPr>
            <w:r>
              <w:rPr>
                <w:rFonts w:hint="eastAsia" w:ascii="宋体" w:hAnsi="宋体" w:eastAsia="Times New Roman"/>
              </w:rPr>
              <w:t>磁感应强度</w:t>
            </w:r>
          </w:p>
        </w:tc>
        <w:tc>
          <w:tcPr>
            <w:tcW w:w="1251" w:type="pct"/>
            <w:vAlign w:val="center"/>
          </w:tcPr>
          <w:p w14:paraId="377473E7">
            <w:pPr>
              <w:pStyle w:val="149"/>
              <w:rPr>
                <w:rFonts w:eastAsia="Times New Roman"/>
              </w:rPr>
            </w:pPr>
            <w:r>
              <w:rPr>
                <w:rFonts w:hint="eastAsia" w:ascii="宋体" w:hAnsi="宋体" w:eastAsia="Times New Roman"/>
              </w:rPr>
              <w:t>磁感应强度</w:t>
            </w:r>
          </w:p>
        </w:tc>
        <w:tc>
          <w:tcPr>
            <w:tcW w:w="1264" w:type="pct"/>
            <w:vAlign w:val="center"/>
          </w:tcPr>
          <w:p w14:paraId="11BC399F">
            <w:pPr>
              <w:pStyle w:val="149"/>
              <w:rPr>
                <w:rFonts w:eastAsia="Times New Roman"/>
              </w:rPr>
            </w:pPr>
            <w:r>
              <w:rPr>
                <w:rFonts w:eastAsia="Times New Roman"/>
              </w:rPr>
              <w:t>μT</w:t>
            </w:r>
          </w:p>
        </w:tc>
      </w:tr>
    </w:tbl>
    <w:p w14:paraId="7113AB26">
      <w:pPr>
        <w:pStyle w:val="5"/>
      </w:pPr>
      <w:r>
        <w:t>3.4</w:t>
      </w:r>
      <w:r>
        <w:rPr>
          <w:rFonts w:hint="eastAsia"/>
        </w:rPr>
        <w:t>评价标准</w:t>
      </w:r>
    </w:p>
    <w:p w14:paraId="7FAA0503">
      <w:pPr>
        <w:spacing w:line="360" w:lineRule="auto"/>
        <w:ind w:firstLine="480" w:firstLineChars="200"/>
        <w:rPr>
          <w:sz w:val="24"/>
        </w:rPr>
      </w:pPr>
      <w:r>
        <w:rPr>
          <w:rFonts w:hint="eastAsia"/>
          <w:sz w:val="24"/>
        </w:rPr>
        <w:t>工频电场：电场强度执行《电磁环境控制限值》（</w:t>
      </w:r>
      <w:r>
        <w:rPr>
          <w:sz w:val="24"/>
        </w:rPr>
        <w:t>GB8702-2014</w:t>
      </w:r>
      <w:r>
        <w:rPr>
          <w:rFonts w:hint="eastAsia"/>
          <w:sz w:val="24"/>
        </w:rPr>
        <w:t>）中表</w:t>
      </w:r>
      <w:r>
        <w:rPr>
          <w:sz w:val="24"/>
        </w:rPr>
        <w:t>1</w:t>
      </w:r>
      <w:r>
        <w:rPr>
          <w:rFonts w:hint="eastAsia"/>
          <w:sz w:val="24"/>
        </w:rPr>
        <w:t>公众曝露控制限值，即电场强度公众曝露控制限值</w:t>
      </w:r>
      <w:r>
        <w:rPr>
          <w:sz w:val="24"/>
        </w:rPr>
        <w:t>4kV/m</w:t>
      </w:r>
      <w:r>
        <w:rPr>
          <w:rFonts w:hint="eastAsia"/>
          <w:sz w:val="24"/>
        </w:rPr>
        <w:t>作为居民区工频电场评价标准；</w:t>
      </w:r>
    </w:p>
    <w:p w14:paraId="01A6C295">
      <w:pPr>
        <w:spacing w:line="360" w:lineRule="auto"/>
        <w:ind w:firstLine="480" w:firstLineChars="200"/>
      </w:pPr>
      <w:r>
        <w:rPr>
          <w:rFonts w:hint="eastAsia"/>
          <w:sz w:val="24"/>
        </w:rPr>
        <w:t>工频磁感应强度：执行《电磁环境控制限值》（</w:t>
      </w:r>
      <w:r>
        <w:rPr>
          <w:sz w:val="24"/>
        </w:rPr>
        <w:t>GB8702-2014</w:t>
      </w:r>
      <w:r>
        <w:rPr>
          <w:rFonts w:hint="eastAsia"/>
          <w:sz w:val="24"/>
        </w:rPr>
        <w:t>）中表</w:t>
      </w:r>
      <w:r>
        <w:rPr>
          <w:sz w:val="24"/>
        </w:rPr>
        <w:t>1</w:t>
      </w:r>
      <w:r>
        <w:rPr>
          <w:rFonts w:hint="eastAsia"/>
          <w:sz w:val="24"/>
        </w:rPr>
        <w:t>公众曝露控制限值，即磁感应强度公众曝露控制限值</w:t>
      </w:r>
      <w:r>
        <w:rPr>
          <w:sz w:val="24"/>
        </w:rPr>
        <w:t>100µT</w:t>
      </w:r>
      <w:r>
        <w:rPr>
          <w:rFonts w:hint="eastAsia"/>
          <w:sz w:val="24"/>
        </w:rPr>
        <w:t>作为磁感应强度的评价标准</w:t>
      </w:r>
      <w:r>
        <w:rPr>
          <w:rFonts w:hint="eastAsia"/>
        </w:rPr>
        <w:t>。</w:t>
      </w:r>
    </w:p>
    <w:p w14:paraId="13F2BEB2">
      <w:pPr>
        <w:pStyle w:val="5"/>
      </w:pPr>
      <w:r>
        <w:t>3.5</w:t>
      </w:r>
      <w:r>
        <w:rPr>
          <w:rFonts w:hint="eastAsia"/>
        </w:rPr>
        <w:t>评价范围与评价等级</w:t>
      </w:r>
    </w:p>
    <w:p w14:paraId="6BBC4112">
      <w:pPr>
        <w:spacing w:line="360" w:lineRule="auto"/>
        <w:ind w:firstLine="480" w:firstLineChars="200"/>
        <w:rPr>
          <w:bCs/>
          <w:sz w:val="24"/>
        </w:rPr>
      </w:pPr>
      <w:r>
        <w:rPr>
          <w:rFonts w:hint="eastAsia"/>
          <w:bCs/>
          <w:sz w:val="24"/>
        </w:rPr>
        <w:t>本项目新建的</w:t>
      </w:r>
      <w:r>
        <w:rPr>
          <w:bCs/>
          <w:sz w:val="24"/>
        </w:rPr>
        <w:t>220kV</w:t>
      </w:r>
      <w:r>
        <w:rPr>
          <w:rFonts w:hint="eastAsia"/>
          <w:bCs/>
          <w:sz w:val="24"/>
        </w:rPr>
        <w:t>升压站建设属于户外式，根据《</w:t>
      </w:r>
      <w:r>
        <w:rPr>
          <w:rFonts w:hint="eastAsia"/>
          <w:sz w:val="24"/>
        </w:rPr>
        <w:t>环境影响评价技术导则输变电</w:t>
      </w:r>
      <w:r>
        <w:rPr>
          <w:rFonts w:hint="eastAsia"/>
          <w:bCs/>
          <w:sz w:val="24"/>
        </w:rPr>
        <w:t>》</w:t>
      </w:r>
      <w:r>
        <w:rPr>
          <w:bCs/>
          <w:sz w:val="24"/>
        </w:rPr>
        <w:t>(</w:t>
      </w:r>
      <w:r>
        <w:rPr>
          <w:sz w:val="24"/>
        </w:rPr>
        <w:t>HJ24-2020</w:t>
      </w:r>
      <w:r>
        <w:rPr>
          <w:bCs/>
          <w:sz w:val="24"/>
        </w:rPr>
        <w:t>)</w:t>
      </w:r>
      <w:r>
        <w:rPr>
          <w:rFonts w:hint="eastAsia"/>
          <w:bCs/>
          <w:sz w:val="24"/>
        </w:rPr>
        <w:t>，项目评价等级、评价范围如下。</w:t>
      </w:r>
    </w:p>
    <w:p w14:paraId="50B22C55">
      <w:pPr>
        <w:pStyle w:val="132"/>
        <w:rPr>
          <w:b/>
        </w:rPr>
      </w:pPr>
      <w:r>
        <w:rPr>
          <w:rFonts w:hint="eastAsia"/>
          <w:b/>
        </w:rPr>
        <w:t>表</w:t>
      </w:r>
      <w:r>
        <w:rPr>
          <w:b/>
        </w:rPr>
        <w:t>3-2</w:t>
      </w:r>
      <w:r>
        <w:rPr>
          <w:rFonts w:hint="eastAsia"/>
          <w:b/>
        </w:rPr>
        <w:t>项目评价范围与评价等级</w:t>
      </w:r>
    </w:p>
    <w:tbl>
      <w:tblPr>
        <w:tblStyle w:val="150"/>
        <w:tblW w:w="475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1501"/>
        <w:gridCol w:w="3145"/>
        <w:gridCol w:w="1093"/>
        <w:gridCol w:w="1686"/>
      </w:tblGrid>
      <w:tr w14:paraId="2A3047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419" w:type="pct"/>
            <w:vAlign w:val="center"/>
          </w:tcPr>
          <w:p w14:paraId="187016D2">
            <w:pPr>
              <w:topLinePunct/>
              <w:snapToGrid w:val="0"/>
              <w:jc w:val="center"/>
              <w:rPr>
                <w:rFonts w:hint="default" w:ascii="Times New Roman" w:hAnsi="Times New Roman" w:eastAsia="宋体" w:cs="Times New Roman"/>
                <w:b/>
                <w:bCs/>
                <w:i w:val="0"/>
                <w:szCs w:val="20"/>
              </w:rPr>
            </w:pPr>
            <w:r>
              <w:rPr>
                <w:rFonts w:hint="eastAsia" w:ascii="Times New Roman" w:hAnsi="Times New Roman" w:eastAsia="宋体" w:cs="Times New Roman"/>
                <w:b/>
                <w:bCs/>
                <w:i w:val="0"/>
                <w:szCs w:val="20"/>
              </w:rPr>
              <w:t>序号</w:t>
            </w:r>
          </w:p>
        </w:tc>
        <w:tc>
          <w:tcPr>
            <w:tcW w:w="926" w:type="pct"/>
            <w:vAlign w:val="center"/>
          </w:tcPr>
          <w:p w14:paraId="0FB63399">
            <w:pPr>
              <w:topLinePunct/>
              <w:snapToGrid w:val="0"/>
              <w:jc w:val="center"/>
              <w:rPr>
                <w:rFonts w:hint="default" w:ascii="Times New Roman" w:hAnsi="Times New Roman" w:eastAsia="宋体" w:cs="Times New Roman"/>
                <w:b/>
                <w:bCs/>
                <w:i w:val="0"/>
                <w:szCs w:val="21"/>
              </w:rPr>
            </w:pPr>
            <w:r>
              <w:rPr>
                <w:rFonts w:hint="eastAsia" w:ascii="Times New Roman" w:hAnsi="Times New Roman" w:eastAsia="宋体" w:cs="Times New Roman"/>
                <w:b/>
                <w:bCs/>
                <w:i w:val="0"/>
                <w:szCs w:val="21"/>
              </w:rPr>
              <w:t>项目建设内容</w:t>
            </w:r>
          </w:p>
        </w:tc>
        <w:tc>
          <w:tcPr>
            <w:tcW w:w="1940" w:type="pct"/>
            <w:vAlign w:val="center"/>
          </w:tcPr>
          <w:p w14:paraId="0AAF2233">
            <w:pPr>
              <w:topLinePunct/>
              <w:snapToGrid w:val="0"/>
              <w:jc w:val="center"/>
              <w:rPr>
                <w:rFonts w:hint="default" w:ascii="Times New Roman" w:hAnsi="Times New Roman" w:eastAsia="宋体" w:cs="Times New Roman"/>
                <w:b/>
                <w:bCs/>
                <w:i w:val="0"/>
                <w:szCs w:val="21"/>
              </w:rPr>
            </w:pPr>
            <w:r>
              <w:rPr>
                <w:rFonts w:hint="eastAsia" w:ascii="Times New Roman" w:hAnsi="Times New Roman" w:eastAsia="宋体" w:cs="Times New Roman"/>
                <w:b/>
                <w:bCs/>
                <w:i w:val="0"/>
                <w:szCs w:val="21"/>
              </w:rPr>
              <w:t>等级划分依据</w:t>
            </w:r>
          </w:p>
        </w:tc>
        <w:tc>
          <w:tcPr>
            <w:tcW w:w="674" w:type="pct"/>
            <w:vAlign w:val="center"/>
          </w:tcPr>
          <w:p w14:paraId="273C82F2">
            <w:pPr>
              <w:topLinePunct/>
              <w:snapToGrid w:val="0"/>
              <w:jc w:val="center"/>
              <w:rPr>
                <w:rFonts w:hint="default" w:ascii="Times New Roman" w:hAnsi="Times New Roman" w:eastAsia="宋体" w:cs="Times New Roman"/>
                <w:b/>
                <w:bCs/>
                <w:i w:val="0"/>
                <w:szCs w:val="20"/>
              </w:rPr>
            </w:pPr>
            <w:r>
              <w:rPr>
                <w:rFonts w:hint="eastAsia" w:ascii="Times New Roman" w:hAnsi="Times New Roman" w:eastAsia="宋体" w:cs="Times New Roman"/>
                <w:b/>
                <w:bCs/>
                <w:i w:val="0"/>
                <w:szCs w:val="20"/>
              </w:rPr>
              <w:t>评价等级</w:t>
            </w:r>
          </w:p>
        </w:tc>
        <w:tc>
          <w:tcPr>
            <w:tcW w:w="1040" w:type="pct"/>
            <w:vAlign w:val="center"/>
          </w:tcPr>
          <w:p w14:paraId="58B1F0CE">
            <w:pPr>
              <w:topLinePunct/>
              <w:snapToGrid w:val="0"/>
              <w:jc w:val="center"/>
              <w:rPr>
                <w:rFonts w:hint="default" w:ascii="Times New Roman" w:hAnsi="Times New Roman" w:eastAsia="宋体" w:cs="Times New Roman"/>
                <w:b/>
                <w:bCs/>
                <w:i w:val="0"/>
                <w:szCs w:val="20"/>
              </w:rPr>
            </w:pPr>
            <w:r>
              <w:rPr>
                <w:rFonts w:hint="eastAsia" w:ascii="Times New Roman" w:hAnsi="Times New Roman" w:eastAsia="宋体" w:cs="Times New Roman"/>
                <w:b/>
                <w:bCs/>
                <w:i w:val="0"/>
                <w:szCs w:val="20"/>
              </w:rPr>
              <w:t>评价范围</w:t>
            </w:r>
          </w:p>
        </w:tc>
      </w:tr>
      <w:tr w14:paraId="0110A9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419" w:type="pct"/>
            <w:vAlign w:val="center"/>
          </w:tcPr>
          <w:p w14:paraId="406519DF">
            <w:pPr>
              <w:topLinePunct/>
              <w:snapToGrid w:val="0"/>
              <w:jc w:val="center"/>
              <w:rPr>
                <w:rFonts w:eastAsia="Times New Roman"/>
                <w:bCs/>
                <w:szCs w:val="20"/>
              </w:rPr>
            </w:pPr>
            <w:r>
              <w:rPr>
                <w:rFonts w:eastAsia="Times New Roman"/>
                <w:bCs/>
                <w:szCs w:val="20"/>
              </w:rPr>
              <w:t>1</w:t>
            </w:r>
          </w:p>
        </w:tc>
        <w:tc>
          <w:tcPr>
            <w:tcW w:w="926" w:type="pct"/>
            <w:vAlign w:val="center"/>
          </w:tcPr>
          <w:p w14:paraId="218C5B62">
            <w:pPr>
              <w:topLinePunct/>
              <w:snapToGrid w:val="0"/>
              <w:jc w:val="center"/>
              <w:rPr>
                <w:rFonts w:eastAsia="Times New Roman"/>
                <w:bCs/>
                <w:szCs w:val="21"/>
              </w:rPr>
            </w:pPr>
            <w:r>
              <w:rPr>
                <w:rFonts w:hint="eastAsia" w:ascii="宋体" w:hAnsi="宋体" w:eastAsia="宋体" w:cs="宋体"/>
                <w:bCs/>
                <w:szCs w:val="21"/>
              </w:rPr>
              <w:t>项目为交流，</w:t>
            </w:r>
            <w:r>
              <w:rPr>
                <w:rFonts w:eastAsia="Times New Roman"/>
                <w:bCs/>
                <w:szCs w:val="21"/>
              </w:rPr>
              <w:t>220kV</w:t>
            </w:r>
            <w:r>
              <w:rPr>
                <w:rFonts w:hint="eastAsia" w:ascii="宋体" w:hAnsi="宋体" w:eastAsia="宋体" w:cs="宋体"/>
                <w:bCs/>
                <w:szCs w:val="21"/>
              </w:rPr>
              <w:t>户外式变电站</w:t>
            </w:r>
          </w:p>
        </w:tc>
        <w:tc>
          <w:tcPr>
            <w:tcW w:w="1940" w:type="pct"/>
            <w:vAlign w:val="center"/>
          </w:tcPr>
          <w:p w14:paraId="73B40C01">
            <w:pPr>
              <w:topLinePunct/>
              <w:snapToGrid w:val="0"/>
              <w:jc w:val="center"/>
              <w:rPr>
                <w:rFonts w:eastAsia="Times New Roman"/>
                <w:bCs/>
                <w:szCs w:val="21"/>
              </w:rPr>
            </w:pPr>
            <w:r>
              <w:rPr>
                <w:rFonts w:hint="eastAsia" w:ascii="宋体" w:hAnsi="宋体" w:eastAsia="宋体" w:cs="宋体"/>
                <w:bCs/>
                <w:szCs w:val="21"/>
              </w:rPr>
              <w:t>属于“表</w:t>
            </w:r>
            <w:r>
              <w:rPr>
                <w:rFonts w:eastAsia="Times New Roman"/>
                <w:bCs/>
                <w:szCs w:val="21"/>
              </w:rPr>
              <w:t>2</w:t>
            </w:r>
            <w:r>
              <w:rPr>
                <w:rFonts w:hint="eastAsia" w:ascii="宋体" w:hAnsi="宋体" w:eastAsia="宋体" w:cs="宋体"/>
                <w:bCs/>
                <w:szCs w:val="21"/>
              </w:rPr>
              <w:t>输变电建设项目电磁环境影响评价工作等级”中“交流</w:t>
            </w:r>
            <w:r>
              <w:rPr>
                <w:rFonts w:eastAsia="Times New Roman"/>
                <w:bCs/>
                <w:szCs w:val="21"/>
              </w:rPr>
              <w:t>-220~330kV-</w:t>
            </w:r>
            <w:r>
              <w:rPr>
                <w:rFonts w:hint="eastAsia" w:ascii="宋体" w:hAnsi="宋体" w:eastAsia="宋体" w:cs="宋体"/>
                <w:bCs/>
                <w:szCs w:val="21"/>
              </w:rPr>
              <w:t>变电站</w:t>
            </w:r>
            <w:r>
              <w:rPr>
                <w:rFonts w:eastAsia="Times New Roman"/>
                <w:bCs/>
                <w:szCs w:val="21"/>
              </w:rPr>
              <w:t>-</w:t>
            </w:r>
            <w:r>
              <w:rPr>
                <w:rFonts w:hint="eastAsia" w:ascii="宋体" w:hAnsi="宋体" w:eastAsia="宋体" w:cs="宋体"/>
                <w:bCs/>
                <w:szCs w:val="21"/>
              </w:rPr>
              <w:t>户外式”</w:t>
            </w:r>
          </w:p>
        </w:tc>
        <w:tc>
          <w:tcPr>
            <w:tcW w:w="674" w:type="pct"/>
            <w:vAlign w:val="center"/>
          </w:tcPr>
          <w:p w14:paraId="413AC4D2">
            <w:pPr>
              <w:topLinePunct/>
              <w:snapToGrid w:val="0"/>
              <w:jc w:val="center"/>
              <w:rPr>
                <w:rFonts w:eastAsia="Times New Roman"/>
                <w:bCs/>
                <w:szCs w:val="21"/>
              </w:rPr>
            </w:pPr>
            <w:r>
              <w:rPr>
                <w:rFonts w:hint="eastAsia" w:ascii="宋体" w:hAnsi="宋体" w:eastAsia="宋体" w:cs="宋体"/>
                <w:bCs/>
                <w:szCs w:val="21"/>
              </w:rPr>
              <w:t>二级</w:t>
            </w:r>
          </w:p>
        </w:tc>
        <w:tc>
          <w:tcPr>
            <w:tcW w:w="1040" w:type="pct"/>
            <w:vAlign w:val="center"/>
          </w:tcPr>
          <w:p w14:paraId="7FE4F012">
            <w:pPr>
              <w:topLinePunct/>
              <w:snapToGrid w:val="0"/>
              <w:jc w:val="center"/>
              <w:rPr>
                <w:rFonts w:eastAsia="Times New Roman"/>
                <w:bCs/>
                <w:szCs w:val="21"/>
              </w:rPr>
            </w:pPr>
            <w:r>
              <w:rPr>
                <w:rFonts w:hint="eastAsia" w:ascii="宋体" w:hAnsi="宋体" w:eastAsia="宋体" w:cs="宋体"/>
                <w:bCs/>
                <w:szCs w:val="21"/>
              </w:rPr>
              <w:t>项目站界外</w:t>
            </w:r>
            <w:r>
              <w:rPr>
                <w:rFonts w:eastAsia="Times New Roman"/>
                <w:bCs/>
                <w:szCs w:val="21"/>
              </w:rPr>
              <w:t>40m</w:t>
            </w:r>
            <w:r>
              <w:rPr>
                <w:rFonts w:hint="eastAsia" w:ascii="宋体" w:hAnsi="宋体" w:eastAsia="宋体" w:cs="宋体"/>
                <w:bCs/>
                <w:szCs w:val="21"/>
              </w:rPr>
              <w:t>内区域。</w:t>
            </w:r>
          </w:p>
        </w:tc>
      </w:tr>
    </w:tbl>
    <w:p w14:paraId="26B93A8B">
      <w:pPr>
        <w:pStyle w:val="149"/>
        <w:spacing w:before="240" w:beforeLines="100"/>
        <w:rPr>
          <w:b/>
          <w:bCs/>
        </w:rPr>
      </w:pPr>
      <w:r>
        <w:drawing>
          <wp:inline distT="0" distB="0" distL="0" distR="0">
            <wp:extent cx="5251450" cy="3792855"/>
            <wp:effectExtent l="0" t="0" r="635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4"/>
                    <a:stretch>
                      <a:fillRect/>
                    </a:stretch>
                  </pic:blipFill>
                  <pic:spPr>
                    <a:xfrm>
                      <a:off x="0" y="0"/>
                      <a:ext cx="5254654" cy="3795259"/>
                    </a:xfrm>
                    <a:prstGeom prst="rect">
                      <a:avLst/>
                    </a:prstGeom>
                  </pic:spPr>
                </pic:pic>
              </a:graphicData>
            </a:graphic>
          </wp:inline>
        </w:drawing>
      </w:r>
    </w:p>
    <w:p w14:paraId="76035CDE">
      <w:pPr>
        <w:jc w:val="center"/>
        <w:rPr>
          <w:sz w:val="24"/>
        </w:rPr>
      </w:pPr>
      <w:r>
        <w:rPr>
          <w:rFonts w:hint="eastAsia"/>
          <w:b/>
          <w:bCs/>
          <w:sz w:val="24"/>
        </w:rPr>
        <w:t>图</w:t>
      </w:r>
      <w:r>
        <w:rPr>
          <w:b/>
          <w:bCs/>
          <w:sz w:val="24"/>
        </w:rPr>
        <w:t>3.1</w:t>
      </w:r>
      <w:r>
        <w:rPr>
          <w:rFonts w:hint="eastAsia"/>
          <w:b/>
          <w:bCs/>
          <w:sz w:val="24"/>
        </w:rPr>
        <w:t>电磁环境影响评价范围图</w:t>
      </w:r>
    </w:p>
    <w:p w14:paraId="5019CA5B">
      <w:pPr>
        <w:pStyle w:val="3"/>
      </w:pPr>
      <w:r>
        <w:t>4</w:t>
      </w:r>
      <w:r>
        <w:rPr>
          <w:rFonts w:hint="eastAsia"/>
        </w:rPr>
        <w:t>电磁环境保护目标</w:t>
      </w:r>
    </w:p>
    <w:p w14:paraId="6DBD09D2">
      <w:pPr>
        <w:spacing w:before="120" w:beforeLines="50" w:line="360" w:lineRule="auto"/>
        <w:ind w:firstLine="480" w:firstLineChars="200"/>
        <w:rPr>
          <w:bCs/>
          <w:sz w:val="24"/>
        </w:rPr>
      </w:pPr>
      <w:r>
        <w:rPr>
          <w:rFonts w:hint="eastAsia"/>
          <w:bCs/>
          <w:sz w:val="24"/>
        </w:rPr>
        <w:t>根据《</w:t>
      </w:r>
      <w:r>
        <w:rPr>
          <w:rFonts w:hint="eastAsia"/>
          <w:sz w:val="24"/>
        </w:rPr>
        <w:t>环境影响评价技术导则输变电</w:t>
      </w:r>
      <w:r>
        <w:rPr>
          <w:rFonts w:hint="eastAsia"/>
          <w:bCs/>
          <w:sz w:val="24"/>
        </w:rPr>
        <w:t>》</w:t>
      </w:r>
      <w:r>
        <w:rPr>
          <w:bCs/>
          <w:sz w:val="24"/>
        </w:rPr>
        <w:t>(</w:t>
      </w:r>
      <w:r>
        <w:rPr>
          <w:sz w:val="24"/>
        </w:rPr>
        <w:t>HJ24-2020</w:t>
      </w:r>
      <w:r>
        <w:rPr>
          <w:bCs/>
          <w:sz w:val="24"/>
        </w:rPr>
        <w:t>)</w:t>
      </w:r>
      <w:r>
        <w:rPr>
          <w:rFonts w:hint="eastAsia"/>
          <w:bCs/>
          <w:sz w:val="24"/>
        </w:rPr>
        <w:t>，项目评价范围（站界外</w:t>
      </w:r>
      <w:r>
        <w:rPr>
          <w:bCs/>
          <w:sz w:val="24"/>
        </w:rPr>
        <w:t>40m</w:t>
      </w:r>
      <w:r>
        <w:rPr>
          <w:rFonts w:hint="eastAsia"/>
          <w:bCs/>
          <w:sz w:val="24"/>
        </w:rPr>
        <w:t>内区域）内无电磁环境保护目标。</w:t>
      </w:r>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5EE2FE4A">
      <w:pPr>
        <w:pStyle w:val="3"/>
      </w:pPr>
      <w:r>
        <w:t>5</w:t>
      </w:r>
      <w:r>
        <w:rPr>
          <w:rFonts w:hint="eastAsia"/>
        </w:rPr>
        <w:t>项目概况</w:t>
      </w:r>
    </w:p>
    <w:p w14:paraId="7A356829">
      <w:pPr>
        <w:spacing w:before="120" w:beforeLines="50" w:line="360" w:lineRule="auto"/>
        <w:ind w:firstLine="482"/>
        <w:rPr>
          <w:sz w:val="24"/>
        </w:rPr>
      </w:pPr>
      <w:bookmarkStart w:id="131" w:name="_Toc276475159"/>
      <w:bookmarkStart w:id="132" w:name="_Toc297711679"/>
      <w:r>
        <w:rPr>
          <w:rFonts w:hint="eastAsia"/>
          <w:sz w:val="24"/>
        </w:rPr>
        <w:t>惠州欣城新能源有限公司</w:t>
      </w:r>
      <w:r>
        <w:rPr>
          <w:sz w:val="24"/>
        </w:rPr>
        <w:t>200MW/400MWh</w:t>
      </w:r>
      <w:r>
        <w:rPr>
          <w:rFonts w:hint="eastAsia"/>
          <w:sz w:val="24"/>
        </w:rPr>
        <w:t>独立储能电站新建项目（规划容量</w:t>
      </w:r>
      <w:r>
        <w:rPr>
          <w:sz w:val="24"/>
        </w:rPr>
        <w:t>200MW/400MWh</w:t>
      </w:r>
      <w:r>
        <w:rPr>
          <w:rFonts w:hint="eastAsia"/>
          <w:sz w:val="24"/>
        </w:rPr>
        <w:t>），储能区位于规划区域东侧，分为3个储能区域，共由42个5MW/10MWh储能单元组成（正常运行40个储能单元，2个储能单元备用），每个储能单元由2个储能电池舱及1个PCS升压一体舱构成。新建</w:t>
      </w:r>
      <w:r>
        <w:rPr>
          <w:sz w:val="24"/>
        </w:rPr>
        <w:t>1</w:t>
      </w:r>
      <w:r>
        <w:rPr>
          <w:rFonts w:hint="eastAsia"/>
          <w:sz w:val="24"/>
        </w:rPr>
        <w:t>座</w:t>
      </w:r>
      <w:r>
        <w:rPr>
          <w:sz w:val="24"/>
        </w:rPr>
        <w:t>220kV</w:t>
      </w:r>
      <w:r>
        <w:rPr>
          <w:rFonts w:hint="eastAsia"/>
          <w:sz w:val="24"/>
        </w:rPr>
        <w:t>升压站，主变容量</w:t>
      </w:r>
      <w:r>
        <w:rPr>
          <w:sz w:val="24"/>
        </w:rPr>
        <w:t>1</w:t>
      </w:r>
      <w:r>
        <w:rPr>
          <w:rFonts w:hint="eastAsia"/>
          <w:sz w:val="24"/>
        </w:rPr>
        <w:t>×</w:t>
      </w:r>
      <w:r>
        <w:rPr>
          <w:sz w:val="24"/>
        </w:rPr>
        <w:t>240MVA</w:t>
      </w:r>
      <w:r>
        <w:rPr>
          <w:rFonts w:hint="eastAsia"/>
          <w:sz w:val="24"/>
        </w:rPr>
        <w:t>；再由升压站新建</w:t>
      </w:r>
      <w:r>
        <w:rPr>
          <w:sz w:val="24"/>
        </w:rPr>
        <w:t>1</w:t>
      </w:r>
      <w:r>
        <w:rPr>
          <w:rFonts w:hint="eastAsia"/>
          <w:sz w:val="24"/>
        </w:rPr>
        <w:t>回</w:t>
      </w:r>
      <w:r>
        <w:rPr>
          <w:sz w:val="24"/>
        </w:rPr>
        <w:t>220kV</w:t>
      </w:r>
      <w:r>
        <w:rPr>
          <w:rFonts w:hint="eastAsia"/>
          <w:sz w:val="24"/>
        </w:rPr>
        <w:t>线路接入到</w:t>
      </w:r>
      <w:r>
        <w:rPr>
          <w:sz w:val="24"/>
        </w:rPr>
        <w:t>220kV</w:t>
      </w:r>
      <w:r>
        <w:rPr>
          <w:rFonts w:hint="eastAsia"/>
          <w:sz w:val="24"/>
        </w:rPr>
        <w:t>格物站</w:t>
      </w:r>
      <w:r>
        <w:rPr>
          <w:sz w:val="24"/>
        </w:rPr>
        <w:t>220kV</w:t>
      </w:r>
      <w:r>
        <w:rPr>
          <w:rFonts w:hint="eastAsia"/>
          <w:sz w:val="24"/>
        </w:rPr>
        <w:t>出线间隔。</w:t>
      </w:r>
    </w:p>
    <w:p w14:paraId="254DB480">
      <w:pPr>
        <w:spacing w:line="360" w:lineRule="auto"/>
        <w:ind w:firstLine="480"/>
        <w:rPr>
          <w:sz w:val="24"/>
        </w:rPr>
      </w:pPr>
      <w:r>
        <w:rPr>
          <w:rFonts w:hint="eastAsia"/>
          <w:sz w:val="24"/>
        </w:rPr>
        <w:t>本次评价只针对储能区及升压站区域建设内容进行评价，</w:t>
      </w:r>
      <w:r>
        <w:rPr>
          <w:sz w:val="24"/>
        </w:rPr>
        <w:t>220kV</w:t>
      </w:r>
      <w:r>
        <w:rPr>
          <w:rFonts w:hint="eastAsia"/>
          <w:sz w:val="24"/>
        </w:rPr>
        <w:t>送出线路及间隔扩建工程不在本次评价范围内，另行编制环评。</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p w14:paraId="7DB6E9EF">
      <w:pPr>
        <w:pStyle w:val="3"/>
      </w:pPr>
      <w:r>
        <w:t>6</w:t>
      </w:r>
      <w:r>
        <w:rPr>
          <w:rFonts w:hint="eastAsia"/>
        </w:rPr>
        <w:t>评价区域电磁环境现状</w:t>
      </w:r>
    </w:p>
    <w:p w14:paraId="34E1820A">
      <w:pPr>
        <w:widowControl/>
        <w:wordWrap w:val="0"/>
        <w:spacing w:before="120" w:beforeLines="50" w:line="360" w:lineRule="auto"/>
        <w:ind w:firstLine="480" w:firstLineChars="200"/>
        <w:rPr>
          <w:sz w:val="24"/>
        </w:rPr>
      </w:pPr>
      <w:bookmarkStart w:id="133" w:name="_Toc399688141"/>
      <w:bookmarkStart w:id="134" w:name="_Toc276475166"/>
      <w:bookmarkStart w:id="135" w:name="_Toc401151223"/>
      <w:r>
        <w:rPr>
          <w:sz w:val="24"/>
        </w:rPr>
        <w:t>2025</w:t>
      </w:r>
      <w:r>
        <w:rPr>
          <w:rFonts w:hint="eastAsia"/>
          <w:sz w:val="24"/>
        </w:rPr>
        <w:t>年</w:t>
      </w:r>
      <w:r>
        <w:rPr>
          <w:sz w:val="24"/>
        </w:rPr>
        <w:t>4</w:t>
      </w:r>
      <w:r>
        <w:rPr>
          <w:rFonts w:hint="eastAsia"/>
          <w:sz w:val="24"/>
        </w:rPr>
        <w:t>月</w:t>
      </w:r>
      <w:r>
        <w:rPr>
          <w:sz w:val="24"/>
        </w:rPr>
        <w:t>29</w:t>
      </w:r>
      <w:r>
        <w:rPr>
          <w:rFonts w:hint="eastAsia"/>
          <w:sz w:val="24"/>
        </w:rPr>
        <w:t>日，建设单位委托深圳市源策通检测技术有限公司对惠州欣城新能源有限公司</w:t>
      </w:r>
      <w:r>
        <w:rPr>
          <w:sz w:val="24"/>
        </w:rPr>
        <w:t>200MW/400MWh</w:t>
      </w:r>
      <w:r>
        <w:rPr>
          <w:rFonts w:hint="eastAsia"/>
          <w:sz w:val="24"/>
        </w:rPr>
        <w:t>独立储能电站新建项目的电磁环境进行了现状监测。</w:t>
      </w:r>
    </w:p>
    <w:bookmarkEnd w:id="133"/>
    <w:bookmarkEnd w:id="134"/>
    <w:bookmarkEnd w:id="135"/>
    <w:p w14:paraId="5266D0AB">
      <w:pPr>
        <w:pStyle w:val="5"/>
      </w:pPr>
      <w:r>
        <w:t>6.1</w:t>
      </w:r>
      <w:r>
        <w:rPr>
          <w:rFonts w:hint="eastAsia"/>
        </w:rPr>
        <w:t>监测方法</w:t>
      </w:r>
    </w:p>
    <w:p w14:paraId="50246ADB">
      <w:pPr>
        <w:spacing w:line="360" w:lineRule="auto"/>
        <w:ind w:firstLine="480" w:firstLineChars="200"/>
        <w:rPr>
          <w:sz w:val="24"/>
        </w:rPr>
      </w:pPr>
      <w:bookmarkStart w:id="136" w:name="OLE_LINK117"/>
      <w:r>
        <w:rPr>
          <w:rFonts w:hint="eastAsia"/>
          <w:sz w:val="24"/>
        </w:rPr>
        <w:t>《交流输变电工程电磁环境监测方法（试行）》（</w:t>
      </w:r>
      <w:r>
        <w:rPr>
          <w:sz w:val="24"/>
        </w:rPr>
        <w:t>HJ681-2013</w:t>
      </w:r>
      <w:r>
        <w:rPr>
          <w:rFonts w:hint="eastAsia"/>
          <w:sz w:val="24"/>
        </w:rPr>
        <w:t>）</w:t>
      </w:r>
      <w:bookmarkEnd w:id="136"/>
      <w:r>
        <w:rPr>
          <w:rFonts w:hint="eastAsia"/>
          <w:sz w:val="24"/>
        </w:rPr>
        <w:t>。</w:t>
      </w:r>
    </w:p>
    <w:p w14:paraId="342D6430">
      <w:pPr>
        <w:pStyle w:val="5"/>
      </w:pPr>
      <w:r>
        <w:t>6.2</w:t>
      </w:r>
      <w:r>
        <w:rPr>
          <w:rFonts w:hint="eastAsia"/>
        </w:rPr>
        <w:t>监测仪器</w:t>
      </w:r>
    </w:p>
    <w:p w14:paraId="00ACF553">
      <w:pPr>
        <w:spacing w:line="360" w:lineRule="auto"/>
        <w:ind w:firstLine="240" w:firstLineChars="100"/>
        <w:rPr>
          <w:sz w:val="24"/>
        </w:rPr>
      </w:pPr>
      <w:r>
        <w:rPr>
          <w:rFonts w:hint="eastAsia"/>
          <w:sz w:val="24"/>
        </w:rPr>
        <w:t>仪器名称：电磁场探头</w:t>
      </w:r>
      <w:r>
        <w:rPr>
          <w:sz w:val="24"/>
        </w:rPr>
        <w:t>/</w:t>
      </w:r>
      <w:r>
        <w:rPr>
          <w:rFonts w:hint="eastAsia"/>
          <w:sz w:val="24"/>
        </w:rPr>
        <w:t>场强分析仪</w:t>
      </w:r>
    </w:p>
    <w:p w14:paraId="722EFF04">
      <w:pPr>
        <w:spacing w:line="360" w:lineRule="auto"/>
        <w:ind w:firstLine="240" w:firstLineChars="100"/>
        <w:rPr>
          <w:sz w:val="24"/>
        </w:rPr>
      </w:pPr>
      <w:r>
        <w:rPr>
          <w:rFonts w:hint="eastAsia"/>
          <w:sz w:val="24"/>
        </w:rPr>
        <w:t>仪器型号：</w:t>
      </w:r>
      <w:r>
        <w:rPr>
          <w:sz w:val="24"/>
        </w:rPr>
        <w:t>LF-01/SEM-600</w:t>
      </w:r>
    </w:p>
    <w:p w14:paraId="7D35AE5F">
      <w:pPr>
        <w:spacing w:line="360" w:lineRule="auto"/>
        <w:ind w:firstLine="240" w:firstLineChars="100"/>
        <w:rPr>
          <w:sz w:val="24"/>
        </w:rPr>
      </w:pPr>
      <w:r>
        <w:rPr>
          <w:rFonts w:hint="eastAsia"/>
          <w:sz w:val="24"/>
        </w:rPr>
        <w:t>仪器编号：</w:t>
      </w:r>
      <w:r>
        <w:rPr>
          <w:sz w:val="24"/>
        </w:rPr>
        <w:t>C-0632</w:t>
      </w:r>
      <w:r>
        <w:rPr>
          <w:rFonts w:hint="eastAsia"/>
          <w:sz w:val="24"/>
        </w:rPr>
        <w:t>（主机）</w:t>
      </w:r>
      <w:r>
        <w:rPr>
          <w:sz w:val="24"/>
        </w:rPr>
        <w:t>/G-0632</w:t>
      </w:r>
      <w:r>
        <w:rPr>
          <w:rFonts w:hint="eastAsia"/>
          <w:sz w:val="24"/>
        </w:rPr>
        <w:t>（探头）</w:t>
      </w:r>
    </w:p>
    <w:p w14:paraId="26C1D6D2">
      <w:pPr>
        <w:spacing w:line="360" w:lineRule="auto"/>
        <w:ind w:firstLine="240" w:firstLineChars="100"/>
        <w:rPr>
          <w:sz w:val="24"/>
        </w:rPr>
      </w:pPr>
      <w:r>
        <w:rPr>
          <w:rFonts w:hint="eastAsia"/>
          <w:sz w:val="24"/>
        </w:rPr>
        <w:t>生产厂家：北京森馥科技股份有限公司</w:t>
      </w:r>
    </w:p>
    <w:p w14:paraId="596853FE">
      <w:pPr>
        <w:spacing w:line="360" w:lineRule="auto"/>
        <w:ind w:firstLine="240" w:firstLineChars="100"/>
        <w:rPr>
          <w:sz w:val="24"/>
        </w:rPr>
      </w:pPr>
      <w:r>
        <w:rPr>
          <w:rFonts w:hint="eastAsia"/>
          <w:sz w:val="24"/>
        </w:rPr>
        <w:t>测量范围：</w:t>
      </w:r>
      <w:r>
        <w:rPr>
          <w:sz w:val="24"/>
        </w:rPr>
        <w:t>0.01V/m~100kV/m</w:t>
      </w:r>
      <w:r>
        <w:rPr>
          <w:rFonts w:hint="eastAsia"/>
          <w:sz w:val="24"/>
        </w:rPr>
        <w:t>（电场）</w:t>
      </w:r>
      <w:r>
        <w:rPr>
          <w:sz w:val="24"/>
        </w:rPr>
        <w:t>1nT~10mT</w:t>
      </w:r>
      <w:r>
        <w:rPr>
          <w:rFonts w:hint="eastAsia"/>
          <w:sz w:val="24"/>
        </w:rPr>
        <w:t>（磁场）</w:t>
      </w:r>
    </w:p>
    <w:p w14:paraId="61F831A2">
      <w:pPr>
        <w:spacing w:line="360" w:lineRule="auto"/>
        <w:ind w:firstLine="240" w:firstLineChars="100"/>
        <w:rPr>
          <w:sz w:val="24"/>
        </w:rPr>
      </w:pPr>
      <w:r>
        <w:rPr>
          <w:rFonts w:hint="eastAsia"/>
          <w:sz w:val="24"/>
        </w:rPr>
        <w:t>校准单位：深圳市计量质量检测研究院</w:t>
      </w:r>
    </w:p>
    <w:p w14:paraId="2529BCA3">
      <w:pPr>
        <w:spacing w:line="360" w:lineRule="auto"/>
        <w:ind w:firstLine="240" w:firstLineChars="100"/>
        <w:rPr>
          <w:sz w:val="24"/>
        </w:rPr>
      </w:pPr>
      <w:r>
        <w:rPr>
          <w:rFonts w:hint="eastAsia"/>
          <w:sz w:val="24"/>
        </w:rPr>
        <w:t>校准证书编号：</w:t>
      </w:r>
      <w:r>
        <w:rPr>
          <w:sz w:val="24"/>
        </w:rPr>
        <w:t>JL2407946781</w:t>
      </w:r>
    </w:p>
    <w:p w14:paraId="6C2D55E1">
      <w:pPr>
        <w:spacing w:line="360" w:lineRule="auto"/>
        <w:ind w:firstLine="240" w:firstLineChars="100"/>
        <w:rPr>
          <w:sz w:val="24"/>
        </w:rPr>
      </w:pPr>
      <w:r>
        <w:rPr>
          <w:rFonts w:hint="eastAsia"/>
          <w:sz w:val="24"/>
        </w:rPr>
        <w:t>校准有效期至：</w:t>
      </w:r>
      <w:r>
        <w:rPr>
          <w:sz w:val="24"/>
        </w:rPr>
        <w:t>2025-06-03</w:t>
      </w:r>
    </w:p>
    <w:p w14:paraId="69B9A2AB">
      <w:pPr>
        <w:pStyle w:val="5"/>
      </w:pPr>
      <w:r>
        <w:t>6.3</w:t>
      </w:r>
      <w:r>
        <w:rPr>
          <w:rFonts w:hint="eastAsia"/>
        </w:rPr>
        <w:t>质量保证</w:t>
      </w:r>
    </w:p>
    <w:p w14:paraId="63A03EDC">
      <w:pPr>
        <w:spacing w:line="360" w:lineRule="auto"/>
        <w:ind w:firstLine="480" w:firstLineChars="200"/>
        <w:rPr>
          <w:sz w:val="24"/>
        </w:rPr>
      </w:pPr>
      <w:r>
        <w:rPr>
          <w:sz w:val="24"/>
        </w:rPr>
        <w:t>本工程环境现状监测单位深圳市源策通检测技术有限公司，通过了计量认证，具备完整、有效的质量控制体系。</w:t>
      </w:r>
    </w:p>
    <w:p w14:paraId="5DFC194C">
      <w:pPr>
        <w:tabs>
          <w:tab w:val="left" w:pos="475"/>
        </w:tabs>
        <w:spacing w:line="360" w:lineRule="auto"/>
        <w:ind w:firstLine="480" w:firstLineChars="200"/>
        <w:rPr>
          <w:sz w:val="24"/>
        </w:rPr>
      </w:pPr>
      <w:r>
        <w:rPr>
          <w:sz w:val="24"/>
        </w:rPr>
        <w:t>深圳市源策通检测技术有限公司质量管理体系：</w:t>
      </w:r>
    </w:p>
    <w:p w14:paraId="491E3CE2">
      <w:pPr>
        <w:snapToGrid w:val="0"/>
        <w:spacing w:line="360" w:lineRule="auto"/>
        <w:ind w:firstLine="480" w:firstLineChars="200"/>
        <w:rPr>
          <w:sz w:val="24"/>
        </w:rPr>
      </w:pPr>
      <w:r>
        <w:rPr>
          <w:sz w:val="24"/>
        </w:rPr>
        <w:t>（1）计量认证</w:t>
      </w:r>
    </w:p>
    <w:p w14:paraId="52F9065E">
      <w:pPr>
        <w:snapToGrid w:val="0"/>
        <w:spacing w:line="360" w:lineRule="auto"/>
        <w:ind w:firstLine="480" w:firstLineChars="200"/>
        <w:rPr>
          <w:sz w:val="24"/>
        </w:rPr>
      </w:pPr>
      <w:r>
        <w:rPr>
          <w:sz w:val="24"/>
        </w:rPr>
        <w:t>深圳市源策通检测技术有限公司通过了广东省市场监督管理局</w:t>
      </w:r>
      <w:r>
        <w:rPr>
          <w:bCs/>
          <w:sz w:val="24"/>
        </w:rPr>
        <w:t>的资质认定（检验检测机构资质认定证书编号：202219113668），有效期至2028年3月02日。</w:t>
      </w:r>
    </w:p>
    <w:p w14:paraId="7DA4894F">
      <w:pPr>
        <w:snapToGrid w:val="0"/>
        <w:spacing w:line="360" w:lineRule="auto"/>
        <w:ind w:firstLine="480" w:firstLineChars="200"/>
        <w:rPr>
          <w:sz w:val="24"/>
        </w:rPr>
      </w:pPr>
      <w:r>
        <w:rPr>
          <w:bCs/>
          <w:sz w:val="24"/>
        </w:rPr>
        <w:t>（2）</w:t>
      </w:r>
      <w:r>
        <w:rPr>
          <w:sz w:val="24"/>
        </w:rPr>
        <w:t>仪器设备管理</w:t>
      </w:r>
    </w:p>
    <w:p w14:paraId="3DC7703F">
      <w:pPr>
        <w:snapToGrid w:val="0"/>
        <w:spacing w:line="360" w:lineRule="auto"/>
        <w:ind w:firstLine="480" w:firstLineChars="200"/>
        <w:rPr>
          <w:sz w:val="24"/>
        </w:rPr>
      </w:pPr>
      <w:r>
        <w:rPr>
          <w:rFonts w:hint="eastAsia" w:ascii="宋体" w:hAnsi="宋体" w:cs="宋体"/>
          <w:sz w:val="24"/>
        </w:rPr>
        <w:t>①</w:t>
      </w:r>
      <w:r>
        <w:rPr>
          <w:sz w:val="24"/>
        </w:rPr>
        <w:t>管理与标准化；</w:t>
      </w:r>
      <w:r>
        <w:rPr>
          <w:rFonts w:hint="eastAsia" w:ascii="宋体" w:hAnsi="宋体" w:cs="宋体"/>
          <w:sz w:val="24"/>
        </w:rPr>
        <w:t>②</w:t>
      </w:r>
      <w:r>
        <w:rPr>
          <w:sz w:val="24"/>
        </w:rPr>
        <w:t>计量器具的标准化；</w:t>
      </w:r>
      <w:r>
        <w:rPr>
          <w:rFonts w:hint="eastAsia" w:ascii="宋体" w:hAnsi="宋体" w:cs="宋体"/>
          <w:sz w:val="24"/>
        </w:rPr>
        <w:t>③</w:t>
      </w:r>
      <w:r>
        <w:rPr>
          <w:sz w:val="24"/>
        </w:rPr>
        <w:t>计量器具、仪器设备的检定。</w:t>
      </w:r>
    </w:p>
    <w:p w14:paraId="3326AE13">
      <w:pPr>
        <w:snapToGrid w:val="0"/>
        <w:spacing w:line="360" w:lineRule="auto"/>
        <w:ind w:firstLine="480" w:firstLineChars="200"/>
        <w:rPr>
          <w:sz w:val="24"/>
        </w:rPr>
      </w:pPr>
      <w:r>
        <w:rPr>
          <w:sz w:val="24"/>
        </w:rPr>
        <w:t>（3）记录与报告</w:t>
      </w:r>
    </w:p>
    <w:p w14:paraId="68374BBC">
      <w:pPr>
        <w:snapToGrid w:val="0"/>
        <w:spacing w:line="360" w:lineRule="auto"/>
        <w:ind w:firstLine="480" w:firstLineChars="200"/>
        <w:rPr>
          <w:sz w:val="24"/>
        </w:rPr>
      </w:pPr>
      <w:r>
        <w:rPr>
          <w:rFonts w:hint="eastAsia" w:ascii="宋体" w:hAnsi="宋体" w:cs="宋体"/>
          <w:sz w:val="24"/>
        </w:rPr>
        <w:t>①</w:t>
      </w:r>
      <w:r>
        <w:rPr>
          <w:sz w:val="24"/>
        </w:rPr>
        <w:t>数据记录制度；</w:t>
      </w:r>
      <w:r>
        <w:rPr>
          <w:rFonts w:hint="eastAsia" w:ascii="宋体" w:hAnsi="宋体" w:cs="宋体"/>
          <w:sz w:val="24"/>
        </w:rPr>
        <w:t>②</w:t>
      </w:r>
      <w:r>
        <w:rPr>
          <w:sz w:val="24"/>
        </w:rPr>
        <w:t>报告质量控制</w:t>
      </w:r>
      <w:r>
        <w:rPr>
          <w:rFonts w:hint="eastAsia"/>
          <w:sz w:val="24"/>
        </w:rPr>
        <w:t>。</w:t>
      </w:r>
    </w:p>
    <w:p w14:paraId="213BC293">
      <w:pPr>
        <w:pStyle w:val="5"/>
      </w:pPr>
      <w:r>
        <w:t>6.4</w:t>
      </w:r>
      <w:r>
        <w:rPr>
          <w:rFonts w:hint="eastAsia"/>
        </w:rPr>
        <w:t>监测时间及气象状况</w:t>
      </w:r>
    </w:p>
    <w:p w14:paraId="30719A91">
      <w:pPr>
        <w:spacing w:line="360" w:lineRule="auto"/>
        <w:ind w:firstLine="480" w:firstLineChars="200"/>
        <w:rPr>
          <w:sz w:val="24"/>
        </w:rPr>
      </w:pPr>
      <w:bookmarkStart w:id="137" w:name="_Toc26051"/>
      <w:bookmarkStart w:id="138" w:name="_Toc16356"/>
      <w:r>
        <w:rPr>
          <w:rFonts w:hint="eastAsia"/>
          <w:sz w:val="24"/>
        </w:rPr>
        <w:t>测量时间为</w:t>
      </w:r>
      <w:r>
        <w:rPr>
          <w:sz w:val="24"/>
        </w:rPr>
        <w:t>2025</w:t>
      </w:r>
      <w:r>
        <w:rPr>
          <w:rFonts w:hint="eastAsia"/>
          <w:sz w:val="24"/>
        </w:rPr>
        <w:t>年</w:t>
      </w:r>
      <w:r>
        <w:rPr>
          <w:sz w:val="24"/>
        </w:rPr>
        <w:t>4</w:t>
      </w:r>
      <w:r>
        <w:rPr>
          <w:rFonts w:hint="eastAsia"/>
          <w:sz w:val="24"/>
        </w:rPr>
        <w:t>月</w:t>
      </w:r>
      <w:r>
        <w:rPr>
          <w:sz w:val="24"/>
        </w:rPr>
        <w:t>29</w:t>
      </w:r>
      <w:r>
        <w:rPr>
          <w:rFonts w:hint="eastAsia"/>
          <w:sz w:val="24"/>
        </w:rPr>
        <w:t>日，天气无晴，风速</w:t>
      </w:r>
      <w:r>
        <w:rPr>
          <w:sz w:val="24"/>
        </w:rPr>
        <w:t>2.5m/s</w:t>
      </w:r>
      <w:r>
        <w:rPr>
          <w:rFonts w:hint="eastAsia"/>
          <w:sz w:val="24"/>
        </w:rPr>
        <w:t>，东南风，温度</w:t>
      </w:r>
      <w:r>
        <w:rPr>
          <w:sz w:val="24"/>
        </w:rPr>
        <w:t>31</w:t>
      </w:r>
      <w:r>
        <w:rPr>
          <w:rFonts w:hint="eastAsia"/>
          <w:sz w:val="24"/>
        </w:rPr>
        <w:t>℃，相对湿度</w:t>
      </w:r>
      <w:r>
        <w:rPr>
          <w:sz w:val="24"/>
        </w:rPr>
        <w:t>52%</w:t>
      </w:r>
      <w:r>
        <w:rPr>
          <w:rFonts w:hint="eastAsia"/>
          <w:sz w:val="24"/>
        </w:rPr>
        <w:t>。</w:t>
      </w:r>
    </w:p>
    <w:bookmarkEnd w:id="137"/>
    <w:bookmarkEnd w:id="138"/>
    <w:p w14:paraId="0D3DAD4D">
      <w:pPr>
        <w:pStyle w:val="5"/>
      </w:pPr>
      <w:r>
        <w:t>6.5</w:t>
      </w:r>
      <w:r>
        <w:rPr>
          <w:rFonts w:hint="eastAsia"/>
        </w:rPr>
        <w:t>电磁环境现状监测与评价</w:t>
      </w:r>
    </w:p>
    <w:p w14:paraId="4840F04E">
      <w:pPr>
        <w:spacing w:line="360" w:lineRule="auto"/>
        <w:rPr>
          <w:b/>
          <w:sz w:val="24"/>
        </w:rPr>
      </w:pPr>
      <w:r>
        <w:rPr>
          <w:b/>
          <w:sz w:val="24"/>
        </w:rPr>
        <w:t>6.5.1</w:t>
      </w:r>
      <w:r>
        <w:rPr>
          <w:rFonts w:hint="eastAsia"/>
          <w:b/>
          <w:sz w:val="24"/>
        </w:rPr>
        <w:t>监测方法</w:t>
      </w:r>
    </w:p>
    <w:p w14:paraId="42C6171F">
      <w:pPr>
        <w:spacing w:line="360" w:lineRule="auto"/>
        <w:ind w:firstLine="480" w:firstLineChars="200"/>
        <w:rPr>
          <w:sz w:val="24"/>
        </w:rPr>
      </w:pPr>
      <w:r>
        <w:rPr>
          <w:rFonts w:hint="eastAsia"/>
          <w:sz w:val="24"/>
        </w:rPr>
        <w:t>工频电场、工频磁场环境现状监测按《辐射环境保护管理导则电磁辐射监测仪器和方法》（</w:t>
      </w:r>
      <w:r>
        <w:rPr>
          <w:sz w:val="24"/>
        </w:rPr>
        <w:t>HJ681-2013</w:t>
      </w:r>
      <w:r>
        <w:rPr>
          <w:rFonts w:hint="eastAsia"/>
          <w:sz w:val="24"/>
        </w:rPr>
        <w:t>）进行，监测时空气湿度小于</w:t>
      </w:r>
      <w:r>
        <w:rPr>
          <w:sz w:val="24"/>
        </w:rPr>
        <w:t>80%</w:t>
      </w:r>
      <w:r>
        <w:rPr>
          <w:rFonts w:hint="eastAsia"/>
          <w:sz w:val="24"/>
        </w:rPr>
        <w:t>。</w:t>
      </w:r>
    </w:p>
    <w:p w14:paraId="0AA33AA3">
      <w:pPr>
        <w:spacing w:line="360" w:lineRule="auto"/>
        <w:rPr>
          <w:b/>
          <w:sz w:val="24"/>
        </w:rPr>
      </w:pPr>
      <w:r>
        <w:rPr>
          <w:b/>
          <w:sz w:val="24"/>
        </w:rPr>
        <w:t>6.5.2</w:t>
      </w:r>
      <w:r>
        <w:rPr>
          <w:rFonts w:hint="eastAsia"/>
          <w:b/>
          <w:sz w:val="24"/>
        </w:rPr>
        <w:t>监测点位布置</w:t>
      </w:r>
    </w:p>
    <w:p w14:paraId="3B8B5612">
      <w:pPr>
        <w:spacing w:line="360" w:lineRule="auto"/>
        <w:rPr>
          <w:b/>
          <w:bCs/>
          <w:sz w:val="24"/>
        </w:rPr>
      </w:pPr>
      <w:r>
        <w:rPr>
          <w:b/>
          <w:sz w:val="24"/>
        </w:rPr>
        <w:t>6.5.2.1</w:t>
      </w:r>
      <w:r>
        <w:rPr>
          <w:rFonts w:hint="eastAsia"/>
          <w:b/>
          <w:bCs/>
          <w:sz w:val="24"/>
        </w:rPr>
        <w:t>布点原则</w:t>
      </w:r>
    </w:p>
    <w:p w14:paraId="727B88B2">
      <w:pPr>
        <w:spacing w:line="360" w:lineRule="auto"/>
        <w:ind w:firstLine="480" w:firstLineChars="200"/>
        <w:rPr>
          <w:sz w:val="24"/>
        </w:rPr>
      </w:pPr>
      <w:r>
        <w:rPr>
          <w:rFonts w:hint="eastAsia"/>
          <w:sz w:val="24"/>
        </w:rPr>
        <w:t>根据《环境影响评价技术导则输变电》（</w:t>
      </w:r>
      <w:r>
        <w:rPr>
          <w:sz w:val="24"/>
        </w:rPr>
        <w:t>HJ24-2020</w:t>
      </w:r>
      <w:r>
        <w:rPr>
          <w:rFonts w:hint="eastAsia"/>
          <w:sz w:val="24"/>
        </w:rPr>
        <w:t>）中</w:t>
      </w:r>
      <w:r>
        <w:rPr>
          <w:sz w:val="24"/>
        </w:rPr>
        <w:t>6.3.2</w:t>
      </w:r>
      <w:r>
        <w:rPr>
          <w:rFonts w:hint="eastAsia"/>
          <w:sz w:val="24"/>
        </w:rPr>
        <w:t>相关要求，本项目电磁环境监测布点应遵循以下原则：</w:t>
      </w:r>
    </w:p>
    <w:p w14:paraId="6BE358A9">
      <w:pPr>
        <w:spacing w:line="360" w:lineRule="auto"/>
        <w:ind w:firstLine="480" w:firstLineChars="200"/>
        <w:rPr>
          <w:sz w:val="24"/>
        </w:rPr>
      </w:pPr>
      <w:r>
        <w:rPr>
          <w:rFonts w:hint="eastAsia"/>
          <w:sz w:val="24"/>
        </w:rPr>
        <w:t>（</w:t>
      </w:r>
      <w:r>
        <w:rPr>
          <w:sz w:val="24"/>
        </w:rPr>
        <w:t>1</w:t>
      </w:r>
      <w:r>
        <w:rPr>
          <w:rFonts w:hint="eastAsia"/>
          <w:sz w:val="24"/>
        </w:rPr>
        <w:t>）电磁环境敏感目标的布点方法以定点监测为主；对于无电磁环境敏感目标的输电线路，需对沿线电磁环境现状进行监测，尽量沿线路路径均匀布点，兼顾行政区、环境特征及各子工程的代表性；</w:t>
      </w:r>
      <w:r>
        <w:rPr>
          <w:rFonts w:hint="eastAsia"/>
          <w:sz w:val="24"/>
          <w:u w:val="single"/>
        </w:rPr>
        <w:t>站址的布点方法以围墙四周均匀布点为主</w:t>
      </w:r>
      <w:r>
        <w:rPr>
          <w:rFonts w:hint="eastAsia"/>
          <w:sz w:val="24"/>
        </w:rPr>
        <w:t>。</w:t>
      </w:r>
    </w:p>
    <w:p w14:paraId="24839489">
      <w:pPr>
        <w:spacing w:line="360" w:lineRule="auto"/>
        <w:ind w:firstLine="480" w:firstLineChars="200"/>
        <w:rPr>
          <w:sz w:val="24"/>
        </w:rPr>
      </w:pPr>
      <w:r>
        <w:rPr>
          <w:rFonts w:hint="eastAsia"/>
          <w:sz w:val="24"/>
        </w:rPr>
        <w:t>（</w:t>
      </w:r>
      <w:r>
        <w:rPr>
          <w:sz w:val="24"/>
        </w:rPr>
        <w:t>2</w:t>
      </w:r>
      <w:r>
        <w:rPr>
          <w:rFonts w:hint="eastAsia"/>
          <w:sz w:val="24"/>
        </w:rPr>
        <w:t>）监测点位附近如有影响监测结果的其他源项存在时，应说明其存在情况并分析其对监测结果的影响。</w:t>
      </w:r>
    </w:p>
    <w:p w14:paraId="699CFA86">
      <w:pPr>
        <w:spacing w:line="360" w:lineRule="auto"/>
        <w:rPr>
          <w:b/>
          <w:sz w:val="24"/>
        </w:rPr>
      </w:pPr>
      <w:r>
        <w:rPr>
          <w:b/>
          <w:sz w:val="24"/>
        </w:rPr>
        <w:t>6.5.2.2</w:t>
      </w:r>
      <w:r>
        <w:rPr>
          <w:rFonts w:hint="eastAsia"/>
          <w:b/>
          <w:sz w:val="24"/>
        </w:rPr>
        <w:t>环境现状监测点位布置</w:t>
      </w:r>
    </w:p>
    <w:p w14:paraId="7726B226">
      <w:pPr>
        <w:spacing w:line="360" w:lineRule="auto"/>
        <w:ind w:firstLine="480" w:firstLineChars="200"/>
        <w:rPr>
          <w:sz w:val="24"/>
        </w:rPr>
      </w:pPr>
      <w:r>
        <w:rPr>
          <w:rFonts w:hint="eastAsia"/>
          <w:sz w:val="24"/>
        </w:rPr>
        <w:t>（</w:t>
      </w:r>
      <w:r>
        <w:rPr>
          <w:sz w:val="24"/>
        </w:rPr>
        <w:t>1</w:t>
      </w:r>
      <w:r>
        <w:rPr>
          <w:rFonts w:hint="eastAsia"/>
          <w:sz w:val="24"/>
        </w:rPr>
        <w:t>）新建储能电站</w:t>
      </w:r>
    </w:p>
    <w:p w14:paraId="5C0F1484">
      <w:pPr>
        <w:spacing w:line="360" w:lineRule="auto"/>
        <w:ind w:firstLine="480" w:firstLineChars="200"/>
        <w:rPr>
          <w:sz w:val="24"/>
        </w:rPr>
      </w:pPr>
      <w:r>
        <w:rPr>
          <w:rFonts w:hint="eastAsia"/>
          <w:sz w:val="24"/>
        </w:rPr>
        <w:t>本次在站址围墙四周均匀布设了</w:t>
      </w:r>
      <w:r>
        <w:rPr>
          <w:sz w:val="24"/>
        </w:rPr>
        <w:t>4</w:t>
      </w:r>
      <w:r>
        <w:rPr>
          <w:rFonts w:hint="eastAsia"/>
          <w:sz w:val="24"/>
        </w:rPr>
        <w:t>个电磁环境监测点，能反映新建站址处电磁环境现状。</w:t>
      </w:r>
    </w:p>
    <w:p w14:paraId="3AA47D07">
      <w:pPr>
        <w:spacing w:line="360" w:lineRule="auto"/>
        <w:ind w:firstLine="480" w:firstLineChars="200"/>
        <w:rPr>
          <w:sz w:val="24"/>
        </w:rPr>
      </w:pPr>
      <w:r>
        <w:rPr>
          <w:rFonts w:hint="eastAsia"/>
          <w:sz w:val="24"/>
        </w:rPr>
        <w:t>（</w:t>
      </w:r>
      <w:r>
        <w:rPr>
          <w:sz w:val="24"/>
        </w:rPr>
        <w:t>2</w:t>
      </w:r>
      <w:r>
        <w:rPr>
          <w:rFonts w:hint="eastAsia"/>
          <w:sz w:val="24"/>
        </w:rPr>
        <w:t>）保护目标</w:t>
      </w:r>
    </w:p>
    <w:p w14:paraId="0D3A0BF1">
      <w:pPr>
        <w:pStyle w:val="125"/>
        <w:rPr>
          <w:color w:val="auto"/>
        </w:rPr>
      </w:pPr>
      <w:r>
        <w:rPr>
          <w:rFonts w:hint="eastAsia"/>
          <w:color w:val="auto"/>
        </w:rPr>
        <w:t>项目储能站评价范围内无电磁环境保护目标，不布设点位。</w:t>
      </w:r>
    </w:p>
    <w:p w14:paraId="00C9B6FC">
      <w:pPr>
        <w:spacing w:line="360" w:lineRule="auto"/>
        <w:ind w:firstLine="480" w:firstLineChars="200"/>
        <w:rPr>
          <w:bCs/>
          <w:sz w:val="24"/>
          <w:highlight w:val="yellow"/>
        </w:rPr>
      </w:pPr>
      <w:r>
        <w:rPr>
          <w:rFonts w:hint="eastAsia"/>
          <w:sz w:val="24"/>
        </w:rPr>
        <w:t>具体监测布点见表</w:t>
      </w:r>
      <w:r>
        <w:rPr>
          <w:sz w:val="24"/>
        </w:rPr>
        <w:t>6-1</w:t>
      </w:r>
      <w:r>
        <w:rPr>
          <w:rFonts w:hint="eastAsia"/>
          <w:sz w:val="24"/>
        </w:rPr>
        <w:t>。监测报告见附件</w:t>
      </w:r>
      <w:r>
        <w:rPr>
          <w:sz w:val="24"/>
        </w:rPr>
        <w:t>8</w:t>
      </w:r>
      <w:r>
        <w:rPr>
          <w:rFonts w:hint="eastAsia"/>
          <w:sz w:val="24"/>
        </w:rPr>
        <w:t>，监测布点见下图</w:t>
      </w:r>
      <w:r>
        <w:rPr>
          <w:sz w:val="24"/>
        </w:rPr>
        <w:t>6-1</w:t>
      </w:r>
      <w:r>
        <w:rPr>
          <w:rFonts w:hint="eastAsia"/>
          <w:sz w:val="24"/>
        </w:rPr>
        <w:t>。</w:t>
      </w:r>
    </w:p>
    <w:p w14:paraId="0D85DE91">
      <w:pPr>
        <w:jc w:val="center"/>
        <w:rPr>
          <w:b/>
          <w:bCs/>
          <w:kern w:val="0"/>
          <w:sz w:val="24"/>
        </w:rPr>
      </w:pPr>
      <w:r>
        <w:rPr>
          <w:rFonts w:hint="eastAsia"/>
          <w:b/>
          <w:bCs/>
          <w:kern w:val="0"/>
          <w:sz w:val="24"/>
        </w:rPr>
        <w:t>表</w:t>
      </w:r>
      <w:r>
        <w:rPr>
          <w:b/>
          <w:bCs/>
          <w:kern w:val="0"/>
          <w:sz w:val="24"/>
        </w:rPr>
        <w:t>6-1</w:t>
      </w:r>
      <w:r>
        <w:rPr>
          <w:rFonts w:hint="eastAsia"/>
          <w:b/>
          <w:bCs/>
          <w:kern w:val="0"/>
          <w:sz w:val="24"/>
        </w:rPr>
        <w:t>项目电磁环境监测布点一览表</w:t>
      </w:r>
    </w:p>
    <w:tbl>
      <w:tblPr>
        <w:tblStyle w:val="150"/>
        <w:tblW w:w="4995"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2653"/>
        <w:gridCol w:w="2751"/>
        <w:gridCol w:w="1963"/>
      </w:tblGrid>
      <w:tr w14:paraId="7AFE97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73" w:type="pct"/>
            <w:vAlign w:val="center"/>
          </w:tcPr>
          <w:p w14:paraId="0298AC15">
            <w:pPr>
              <w:pStyle w:val="149"/>
              <w:rPr>
                <w:rFonts w:hint="default" w:ascii="Times New Roman" w:hAnsi="Times New Roman" w:eastAsia="宋体" w:cs="Times New Roman"/>
                <w:b/>
                <w:i w:val="0"/>
              </w:rPr>
            </w:pPr>
            <w:r>
              <w:rPr>
                <w:rFonts w:hint="eastAsia" w:ascii="Times New Roman" w:hAnsi="Times New Roman" w:eastAsia="宋体" w:cs="Times New Roman"/>
                <w:b/>
                <w:i w:val="0"/>
              </w:rPr>
              <w:t>点位编号</w:t>
            </w:r>
          </w:p>
        </w:tc>
        <w:tc>
          <w:tcPr>
            <w:tcW w:w="1558" w:type="pct"/>
            <w:vAlign w:val="center"/>
          </w:tcPr>
          <w:p w14:paraId="5EF34498">
            <w:pPr>
              <w:pStyle w:val="149"/>
              <w:rPr>
                <w:rFonts w:hint="default" w:ascii="Times New Roman" w:hAnsi="Times New Roman" w:eastAsia="宋体" w:cs="Times New Roman"/>
                <w:b/>
                <w:i w:val="0"/>
              </w:rPr>
            </w:pPr>
            <w:r>
              <w:rPr>
                <w:rFonts w:hint="eastAsia" w:ascii="Times New Roman" w:hAnsi="Times New Roman" w:eastAsia="宋体" w:cs="Times New Roman"/>
                <w:b/>
                <w:i w:val="0"/>
              </w:rPr>
              <w:t>点位名称</w:t>
            </w:r>
          </w:p>
        </w:tc>
        <w:tc>
          <w:tcPr>
            <w:tcW w:w="1616" w:type="pct"/>
            <w:vAlign w:val="center"/>
          </w:tcPr>
          <w:p w14:paraId="4FB99B97">
            <w:pPr>
              <w:pStyle w:val="149"/>
              <w:rPr>
                <w:rFonts w:hint="default" w:ascii="Times New Roman" w:hAnsi="Times New Roman" w:eastAsia="宋体" w:cs="Times New Roman"/>
                <w:b/>
                <w:i w:val="0"/>
              </w:rPr>
            </w:pPr>
            <w:r>
              <w:rPr>
                <w:rFonts w:hint="eastAsia" w:ascii="Times New Roman" w:hAnsi="Times New Roman" w:eastAsia="宋体" w:cs="Times New Roman"/>
                <w:b/>
                <w:i w:val="0"/>
              </w:rPr>
              <w:t>监测内容</w:t>
            </w:r>
          </w:p>
        </w:tc>
        <w:tc>
          <w:tcPr>
            <w:tcW w:w="1153" w:type="pct"/>
            <w:vAlign w:val="center"/>
          </w:tcPr>
          <w:p w14:paraId="0E6EB771">
            <w:pPr>
              <w:pStyle w:val="149"/>
              <w:rPr>
                <w:rFonts w:hint="default" w:ascii="Times New Roman" w:hAnsi="Times New Roman" w:eastAsia="宋体" w:cs="Times New Roman"/>
                <w:b/>
                <w:i w:val="0"/>
              </w:rPr>
            </w:pPr>
            <w:r>
              <w:rPr>
                <w:rFonts w:hint="eastAsia" w:ascii="Times New Roman" w:hAnsi="Times New Roman" w:eastAsia="宋体" w:cs="Times New Roman"/>
                <w:b/>
                <w:i w:val="0"/>
              </w:rPr>
              <w:t>备注</w:t>
            </w:r>
          </w:p>
        </w:tc>
      </w:tr>
      <w:tr w14:paraId="595E41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3" w:type="pct"/>
            <w:vAlign w:val="center"/>
          </w:tcPr>
          <w:p w14:paraId="79A6820B">
            <w:pPr>
              <w:pStyle w:val="149"/>
              <w:rPr>
                <w:rFonts w:eastAsia="Times New Roman"/>
              </w:rPr>
            </w:pPr>
            <w:r>
              <w:rPr>
                <w:rFonts w:eastAsia="Times New Roman"/>
              </w:rPr>
              <w:t>1#</w:t>
            </w:r>
          </w:p>
        </w:tc>
        <w:tc>
          <w:tcPr>
            <w:tcW w:w="1558" w:type="pct"/>
            <w:vAlign w:val="center"/>
          </w:tcPr>
          <w:p w14:paraId="5CF920AF">
            <w:pPr>
              <w:pStyle w:val="149"/>
              <w:rPr>
                <w:rFonts w:eastAsia="Times New Roman"/>
              </w:rPr>
            </w:pPr>
            <w:r>
              <w:rPr>
                <w:rFonts w:hint="eastAsia" w:ascii="宋体" w:hAnsi="宋体" w:eastAsia="宋体" w:cs="宋体"/>
              </w:rPr>
              <w:t>项目储能电站厂界东侧</w:t>
            </w:r>
          </w:p>
        </w:tc>
        <w:tc>
          <w:tcPr>
            <w:tcW w:w="1616" w:type="pct"/>
            <w:vAlign w:val="center"/>
          </w:tcPr>
          <w:p w14:paraId="0FE1C744">
            <w:pPr>
              <w:pStyle w:val="149"/>
              <w:rPr>
                <w:rFonts w:eastAsia="Times New Roman"/>
              </w:rPr>
            </w:pPr>
            <w:r>
              <w:rPr>
                <w:rFonts w:hint="eastAsia" w:ascii="宋体" w:hAnsi="宋体" w:eastAsia="宋体" w:cs="宋体"/>
              </w:rPr>
              <w:t>工频电场、磁感应强度</w:t>
            </w:r>
          </w:p>
        </w:tc>
        <w:tc>
          <w:tcPr>
            <w:tcW w:w="1153" w:type="pct"/>
            <w:vAlign w:val="center"/>
          </w:tcPr>
          <w:p w14:paraId="122E6B18">
            <w:pPr>
              <w:pStyle w:val="149"/>
              <w:rPr>
                <w:rFonts w:eastAsiaTheme="minorEastAsia"/>
              </w:rPr>
            </w:pPr>
            <w:r>
              <w:rPr>
                <w:rFonts w:hint="eastAsia" w:eastAsiaTheme="minorEastAsia"/>
              </w:rPr>
              <w:t>/</w:t>
            </w:r>
          </w:p>
        </w:tc>
      </w:tr>
      <w:tr w14:paraId="45CBAF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3" w:type="pct"/>
            <w:vAlign w:val="center"/>
          </w:tcPr>
          <w:p w14:paraId="768A93D7">
            <w:pPr>
              <w:pStyle w:val="149"/>
              <w:rPr>
                <w:rFonts w:eastAsia="Times New Roman"/>
              </w:rPr>
            </w:pPr>
            <w:r>
              <w:rPr>
                <w:rFonts w:eastAsia="Times New Roman"/>
              </w:rPr>
              <w:t>2#</w:t>
            </w:r>
          </w:p>
        </w:tc>
        <w:tc>
          <w:tcPr>
            <w:tcW w:w="1558" w:type="pct"/>
            <w:vAlign w:val="center"/>
          </w:tcPr>
          <w:p w14:paraId="21E32ED4">
            <w:pPr>
              <w:pStyle w:val="149"/>
              <w:rPr>
                <w:rFonts w:eastAsia="Times New Roman"/>
              </w:rPr>
            </w:pPr>
            <w:r>
              <w:rPr>
                <w:rFonts w:hint="eastAsia" w:ascii="宋体" w:hAnsi="宋体" w:eastAsia="宋体" w:cs="宋体"/>
              </w:rPr>
              <w:t>项目储能电站厂界西侧</w:t>
            </w:r>
          </w:p>
        </w:tc>
        <w:tc>
          <w:tcPr>
            <w:tcW w:w="1616" w:type="pct"/>
            <w:vAlign w:val="center"/>
          </w:tcPr>
          <w:p w14:paraId="7A38A12F">
            <w:pPr>
              <w:pStyle w:val="149"/>
              <w:rPr>
                <w:rFonts w:eastAsia="Times New Roman"/>
              </w:rPr>
            </w:pPr>
            <w:r>
              <w:rPr>
                <w:rFonts w:hint="eastAsia" w:ascii="宋体" w:hAnsi="宋体" w:eastAsia="宋体" w:cs="宋体"/>
              </w:rPr>
              <w:t>工频电场、磁感应强度</w:t>
            </w:r>
          </w:p>
        </w:tc>
        <w:tc>
          <w:tcPr>
            <w:tcW w:w="1153" w:type="pct"/>
            <w:vAlign w:val="center"/>
          </w:tcPr>
          <w:p w14:paraId="67DB4AAE">
            <w:pPr>
              <w:pStyle w:val="149"/>
              <w:rPr>
                <w:rFonts w:eastAsiaTheme="minorEastAsia"/>
              </w:rPr>
            </w:pPr>
            <w:r>
              <w:rPr>
                <w:rFonts w:hint="eastAsia" w:eastAsiaTheme="minorEastAsia"/>
              </w:rPr>
              <w:t>/</w:t>
            </w:r>
          </w:p>
        </w:tc>
      </w:tr>
      <w:tr w14:paraId="1CD720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3" w:type="pct"/>
            <w:vAlign w:val="center"/>
          </w:tcPr>
          <w:p w14:paraId="40A530E1">
            <w:pPr>
              <w:pStyle w:val="149"/>
              <w:rPr>
                <w:rFonts w:eastAsia="Times New Roman"/>
              </w:rPr>
            </w:pPr>
            <w:r>
              <w:rPr>
                <w:rFonts w:eastAsia="Times New Roman"/>
              </w:rPr>
              <w:t>3#</w:t>
            </w:r>
          </w:p>
        </w:tc>
        <w:tc>
          <w:tcPr>
            <w:tcW w:w="1558" w:type="pct"/>
            <w:vAlign w:val="center"/>
          </w:tcPr>
          <w:p w14:paraId="6EADE464">
            <w:pPr>
              <w:pStyle w:val="149"/>
              <w:rPr>
                <w:rFonts w:eastAsia="Times New Roman"/>
              </w:rPr>
            </w:pPr>
            <w:r>
              <w:rPr>
                <w:rFonts w:hint="eastAsia" w:ascii="宋体" w:hAnsi="宋体" w:eastAsia="宋体" w:cs="宋体"/>
              </w:rPr>
              <w:t>项目储能电站厂界南侧</w:t>
            </w:r>
          </w:p>
        </w:tc>
        <w:tc>
          <w:tcPr>
            <w:tcW w:w="1616" w:type="pct"/>
            <w:vAlign w:val="center"/>
          </w:tcPr>
          <w:p w14:paraId="6FDF23CE">
            <w:pPr>
              <w:pStyle w:val="149"/>
              <w:rPr>
                <w:rFonts w:eastAsia="Times New Roman"/>
              </w:rPr>
            </w:pPr>
            <w:r>
              <w:rPr>
                <w:rFonts w:hint="eastAsia" w:ascii="宋体" w:hAnsi="宋体" w:eastAsia="宋体" w:cs="宋体"/>
              </w:rPr>
              <w:t>工频电场、磁感应强度</w:t>
            </w:r>
          </w:p>
        </w:tc>
        <w:tc>
          <w:tcPr>
            <w:tcW w:w="1153" w:type="pct"/>
            <w:vAlign w:val="center"/>
          </w:tcPr>
          <w:p w14:paraId="272E4847">
            <w:pPr>
              <w:pStyle w:val="149"/>
              <w:rPr>
                <w:rFonts w:eastAsiaTheme="minorEastAsia"/>
              </w:rPr>
            </w:pPr>
            <w:r>
              <w:rPr>
                <w:rFonts w:hint="eastAsia" w:eastAsiaTheme="minorEastAsia"/>
              </w:rPr>
              <w:t>/</w:t>
            </w:r>
          </w:p>
        </w:tc>
      </w:tr>
      <w:tr w14:paraId="0A79F9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3" w:type="pct"/>
            <w:vAlign w:val="center"/>
          </w:tcPr>
          <w:p w14:paraId="58EC2C49">
            <w:pPr>
              <w:pStyle w:val="149"/>
              <w:rPr>
                <w:rFonts w:eastAsia="Times New Roman"/>
              </w:rPr>
            </w:pPr>
            <w:r>
              <w:rPr>
                <w:rFonts w:eastAsia="Times New Roman"/>
              </w:rPr>
              <w:t>4#</w:t>
            </w:r>
          </w:p>
        </w:tc>
        <w:tc>
          <w:tcPr>
            <w:tcW w:w="1558" w:type="pct"/>
            <w:vAlign w:val="center"/>
          </w:tcPr>
          <w:p w14:paraId="025E96C1">
            <w:pPr>
              <w:pStyle w:val="149"/>
              <w:rPr>
                <w:rFonts w:eastAsia="Times New Roman"/>
              </w:rPr>
            </w:pPr>
            <w:r>
              <w:rPr>
                <w:rFonts w:hint="eastAsia" w:ascii="宋体" w:hAnsi="宋体" w:eastAsia="宋体" w:cs="宋体"/>
              </w:rPr>
              <w:t>项目储能电站厂界北侧</w:t>
            </w:r>
          </w:p>
        </w:tc>
        <w:tc>
          <w:tcPr>
            <w:tcW w:w="1616" w:type="pct"/>
            <w:vAlign w:val="center"/>
          </w:tcPr>
          <w:p w14:paraId="297136DC">
            <w:pPr>
              <w:pStyle w:val="149"/>
              <w:rPr>
                <w:rFonts w:eastAsia="Times New Roman"/>
              </w:rPr>
            </w:pPr>
            <w:r>
              <w:rPr>
                <w:rFonts w:hint="eastAsia" w:ascii="宋体" w:hAnsi="宋体" w:eastAsia="宋体" w:cs="宋体"/>
              </w:rPr>
              <w:t>工频电场、磁感应强度</w:t>
            </w:r>
          </w:p>
        </w:tc>
        <w:tc>
          <w:tcPr>
            <w:tcW w:w="1153" w:type="pct"/>
            <w:vAlign w:val="center"/>
          </w:tcPr>
          <w:p w14:paraId="63BD0C07">
            <w:pPr>
              <w:pStyle w:val="149"/>
              <w:rPr>
                <w:rFonts w:eastAsiaTheme="minorEastAsia"/>
              </w:rPr>
            </w:pPr>
            <w:r>
              <w:rPr>
                <w:rFonts w:hint="eastAsia" w:eastAsiaTheme="minorEastAsia"/>
              </w:rPr>
              <w:t>/</w:t>
            </w:r>
          </w:p>
        </w:tc>
      </w:tr>
    </w:tbl>
    <w:p w14:paraId="6081B94A">
      <w:pPr>
        <w:pStyle w:val="149"/>
        <w:rPr>
          <w:rFonts w:eastAsia="黑体"/>
        </w:rPr>
      </w:pPr>
      <w:r>
        <w:drawing>
          <wp:inline distT="0" distB="0" distL="0" distR="0">
            <wp:extent cx="5615305" cy="3928110"/>
            <wp:effectExtent l="0" t="0" r="4445" b="0"/>
            <wp:docPr id="1134240111" name="图片 1134240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240111" name="图片 1134240111"/>
                    <pic:cNvPicPr>
                      <a:picLocks noChangeAspect="1"/>
                    </pic:cNvPicPr>
                  </pic:nvPicPr>
                  <pic:blipFill>
                    <a:blip r:embed="rId25"/>
                    <a:stretch>
                      <a:fillRect/>
                    </a:stretch>
                  </pic:blipFill>
                  <pic:spPr>
                    <a:xfrm>
                      <a:off x="0" y="0"/>
                      <a:ext cx="5615305" cy="3928110"/>
                    </a:xfrm>
                    <a:prstGeom prst="rect">
                      <a:avLst/>
                    </a:prstGeom>
                  </pic:spPr>
                </pic:pic>
              </a:graphicData>
            </a:graphic>
          </wp:inline>
        </w:drawing>
      </w:r>
    </w:p>
    <w:p w14:paraId="0B43087C">
      <w:pPr>
        <w:jc w:val="center"/>
        <w:rPr>
          <w:rFonts w:eastAsia="黑体"/>
          <w:szCs w:val="21"/>
        </w:rPr>
      </w:pPr>
      <w:r>
        <w:rPr>
          <w:rFonts w:hint="eastAsia"/>
          <w:b/>
          <w:bCs/>
          <w:sz w:val="24"/>
        </w:rPr>
        <w:t>图</w:t>
      </w:r>
      <w:r>
        <w:rPr>
          <w:b/>
          <w:bCs/>
          <w:sz w:val="24"/>
        </w:rPr>
        <w:t>6-1</w:t>
      </w:r>
      <w:r>
        <w:rPr>
          <w:rFonts w:hint="eastAsia"/>
          <w:b/>
          <w:bCs/>
          <w:sz w:val="24"/>
        </w:rPr>
        <w:t>检测点位示意图</w:t>
      </w:r>
    </w:p>
    <w:p w14:paraId="501686B9">
      <w:pPr>
        <w:spacing w:line="360" w:lineRule="auto"/>
        <w:rPr>
          <w:b/>
          <w:sz w:val="24"/>
        </w:rPr>
      </w:pPr>
      <w:r>
        <w:rPr>
          <w:b/>
          <w:sz w:val="24"/>
        </w:rPr>
        <w:t>6.5.2.3</w:t>
      </w:r>
      <w:r>
        <w:rPr>
          <w:rFonts w:hint="eastAsia"/>
          <w:b/>
          <w:sz w:val="24"/>
        </w:rPr>
        <w:t>现状监测合理性分析</w:t>
      </w:r>
    </w:p>
    <w:p w14:paraId="3921B490">
      <w:pPr>
        <w:pStyle w:val="10"/>
      </w:pPr>
      <w:r>
        <w:rPr>
          <w:rFonts w:hint="eastAsia"/>
        </w:rPr>
        <w:t>（</w:t>
      </w:r>
      <w:r>
        <w:t>1</w:t>
      </w:r>
      <w:r>
        <w:rPr>
          <w:rFonts w:hint="eastAsia"/>
        </w:rPr>
        <w:t>）本次在站址围墙四周均匀布设了</w:t>
      </w:r>
      <w:r>
        <w:t>4</w:t>
      </w:r>
      <w:r>
        <w:rPr>
          <w:rFonts w:hint="eastAsia"/>
        </w:rPr>
        <w:t>个电磁环境监测点，能反映新建站址处电磁环境现状。满足《环境影响评价技术导则输变电》</w:t>
      </w:r>
      <w:r>
        <w:t>(HJ24-2020)</w:t>
      </w:r>
      <w:r>
        <w:rPr>
          <w:rFonts w:hint="eastAsia"/>
        </w:rPr>
        <w:t>中关于“</w:t>
      </w:r>
      <w:r>
        <w:rPr>
          <w:rFonts w:hint="eastAsia"/>
          <w:u w:val="single"/>
        </w:rPr>
        <w:t>站址的布点方法以围墙四周均匀布点为主</w:t>
      </w:r>
      <w:r>
        <w:rPr>
          <w:rFonts w:hint="eastAsia"/>
        </w:rPr>
        <w:t>”的要求。</w:t>
      </w:r>
    </w:p>
    <w:p w14:paraId="47FBE9B7">
      <w:pPr>
        <w:spacing w:line="360" w:lineRule="auto"/>
        <w:ind w:firstLine="480" w:firstLineChars="200"/>
        <w:rPr>
          <w:sz w:val="24"/>
        </w:rPr>
      </w:pPr>
      <w:r>
        <w:rPr>
          <w:rFonts w:hint="eastAsia"/>
          <w:sz w:val="24"/>
        </w:rPr>
        <w:t>（</w:t>
      </w:r>
      <w:r>
        <w:rPr>
          <w:sz w:val="24"/>
        </w:rPr>
        <w:t>2</w:t>
      </w:r>
      <w:r>
        <w:rPr>
          <w:rFonts w:hint="eastAsia"/>
          <w:sz w:val="24"/>
        </w:rPr>
        <w:t>）项目储能站评价范围内无电磁环境保护目标，不再单独布点。</w:t>
      </w:r>
    </w:p>
    <w:p w14:paraId="78244F37">
      <w:pPr>
        <w:spacing w:line="360" w:lineRule="auto"/>
        <w:rPr>
          <w:b/>
          <w:sz w:val="24"/>
        </w:rPr>
      </w:pPr>
      <w:r>
        <w:rPr>
          <w:b/>
          <w:sz w:val="24"/>
        </w:rPr>
        <w:t>6.5.2.4</w:t>
      </w:r>
      <w:r>
        <w:rPr>
          <w:rFonts w:hint="eastAsia"/>
          <w:b/>
          <w:sz w:val="24"/>
        </w:rPr>
        <w:t>现状监测布点与监测规范符合性分析</w:t>
      </w:r>
    </w:p>
    <w:p w14:paraId="5F4ED216">
      <w:pPr>
        <w:spacing w:line="360" w:lineRule="auto"/>
        <w:ind w:firstLine="480" w:firstLineChars="200"/>
        <w:rPr>
          <w:sz w:val="24"/>
        </w:rPr>
      </w:pPr>
      <w:r>
        <w:rPr>
          <w:rFonts w:hint="eastAsia"/>
          <w:sz w:val="24"/>
        </w:rPr>
        <w:t>监测工频电场时，监测人员与监测探头距离不小于</w:t>
      </w:r>
      <w:r>
        <w:rPr>
          <w:sz w:val="24"/>
        </w:rPr>
        <w:t>2.5m</w:t>
      </w:r>
      <w:r>
        <w:rPr>
          <w:rFonts w:hint="eastAsia"/>
          <w:sz w:val="24"/>
        </w:rPr>
        <w:t>，监测探头与固定物体的距离不小于</w:t>
      </w:r>
      <w:r>
        <w:rPr>
          <w:sz w:val="24"/>
        </w:rPr>
        <w:t>1m</w:t>
      </w:r>
      <w:r>
        <w:rPr>
          <w:rFonts w:hint="eastAsia"/>
          <w:sz w:val="24"/>
        </w:rPr>
        <w:t>；监测工频磁场时，监测探头用</w:t>
      </w:r>
      <w:r>
        <w:rPr>
          <w:sz w:val="24"/>
        </w:rPr>
        <w:t>1</w:t>
      </w:r>
      <w:r>
        <w:rPr>
          <w:rFonts w:hint="eastAsia"/>
          <w:sz w:val="24"/>
        </w:rPr>
        <w:t>个小的手柄支撑，并调整探头，使其位置在监测值最大方向。</w:t>
      </w:r>
    </w:p>
    <w:p w14:paraId="386FCC23">
      <w:pPr>
        <w:pStyle w:val="10"/>
      </w:pPr>
      <w:r>
        <w:rPr>
          <w:rFonts w:hint="eastAsia"/>
        </w:rPr>
        <w:t>上述监测点位符合《交流输变电工程电磁环境监测方法（试行）》（</w:t>
      </w:r>
      <w:r>
        <w:t>HJ681-2013</w:t>
      </w:r>
      <w:r>
        <w:rPr>
          <w:rFonts w:hint="eastAsia"/>
        </w:rPr>
        <w:t>）规范。</w:t>
      </w:r>
    </w:p>
    <w:p w14:paraId="11F0E8E4">
      <w:pPr>
        <w:spacing w:line="360" w:lineRule="auto"/>
        <w:rPr>
          <w:b/>
          <w:sz w:val="24"/>
        </w:rPr>
      </w:pPr>
      <w:r>
        <w:rPr>
          <w:b/>
          <w:sz w:val="24"/>
        </w:rPr>
        <w:t>6.5.3</w:t>
      </w:r>
      <w:r>
        <w:rPr>
          <w:rFonts w:hint="eastAsia"/>
          <w:b/>
          <w:sz w:val="24"/>
        </w:rPr>
        <w:t>监测频次</w:t>
      </w:r>
    </w:p>
    <w:p w14:paraId="3AD3E163">
      <w:pPr>
        <w:spacing w:line="360" w:lineRule="auto"/>
        <w:ind w:firstLine="480" w:firstLineChars="200"/>
        <w:rPr>
          <w:sz w:val="24"/>
        </w:rPr>
      </w:pPr>
      <w:r>
        <w:rPr>
          <w:rFonts w:hint="eastAsia"/>
          <w:sz w:val="24"/>
        </w:rPr>
        <w:t>每个点每天监测</w:t>
      </w:r>
      <w:r>
        <w:rPr>
          <w:sz w:val="24"/>
        </w:rPr>
        <w:t>1</w:t>
      </w:r>
      <w:r>
        <w:rPr>
          <w:rFonts w:hint="eastAsia"/>
          <w:sz w:val="24"/>
        </w:rPr>
        <w:t>次，每次测量观测时间≥15s，共测</w:t>
      </w:r>
      <w:r>
        <w:rPr>
          <w:sz w:val="24"/>
        </w:rPr>
        <w:t>1</w:t>
      </w:r>
      <w:r>
        <w:rPr>
          <w:rFonts w:hint="eastAsia"/>
          <w:sz w:val="24"/>
        </w:rPr>
        <w:t>天。</w:t>
      </w:r>
    </w:p>
    <w:p w14:paraId="12AAFD70">
      <w:pPr>
        <w:spacing w:line="360" w:lineRule="auto"/>
        <w:rPr>
          <w:b/>
          <w:sz w:val="24"/>
        </w:rPr>
      </w:pPr>
      <w:r>
        <w:rPr>
          <w:b/>
          <w:sz w:val="24"/>
        </w:rPr>
        <w:t>6.5.4</w:t>
      </w:r>
      <w:r>
        <w:rPr>
          <w:rFonts w:hint="eastAsia"/>
          <w:b/>
          <w:sz w:val="24"/>
        </w:rPr>
        <w:t>监测项目</w:t>
      </w:r>
    </w:p>
    <w:p w14:paraId="15F73F95">
      <w:pPr>
        <w:spacing w:line="360" w:lineRule="auto"/>
        <w:ind w:firstLine="480" w:firstLineChars="200"/>
        <w:rPr>
          <w:sz w:val="24"/>
        </w:rPr>
      </w:pPr>
      <w:r>
        <w:rPr>
          <w:rFonts w:hint="eastAsia"/>
          <w:sz w:val="24"/>
        </w:rPr>
        <w:t>测距离地面</w:t>
      </w:r>
      <w:r>
        <w:rPr>
          <w:sz w:val="24"/>
        </w:rPr>
        <w:t>1.5m</w:t>
      </w:r>
      <w:r>
        <w:rPr>
          <w:rFonts w:hint="eastAsia"/>
          <w:sz w:val="24"/>
        </w:rPr>
        <w:t>高处的工频电场强度、工频磁感应强度。</w:t>
      </w:r>
    </w:p>
    <w:p w14:paraId="15EF3668">
      <w:pPr>
        <w:adjustRightInd w:val="0"/>
        <w:spacing w:before="120" w:beforeLines="50" w:line="360" w:lineRule="auto"/>
        <w:textAlignment w:val="baseline"/>
        <w:rPr>
          <w:b/>
          <w:sz w:val="24"/>
        </w:rPr>
      </w:pPr>
      <w:r>
        <w:rPr>
          <w:b/>
          <w:sz w:val="24"/>
        </w:rPr>
        <w:t>6.5.5</w:t>
      </w:r>
      <w:r>
        <w:rPr>
          <w:rFonts w:hint="eastAsia"/>
          <w:b/>
          <w:sz w:val="24"/>
        </w:rPr>
        <w:t>工频电场、工频磁场环境现状监测结果</w:t>
      </w:r>
    </w:p>
    <w:p w14:paraId="73B8F75D">
      <w:pPr>
        <w:spacing w:line="360" w:lineRule="auto"/>
        <w:ind w:firstLine="480" w:firstLineChars="200"/>
        <w:rPr>
          <w:sz w:val="24"/>
        </w:rPr>
      </w:pPr>
      <w:r>
        <w:rPr>
          <w:rFonts w:hint="eastAsia"/>
          <w:sz w:val="24"/>
        </w:rPr>
        <w:t>工频电场、</w:t>
      </w:r>
      <w:r>
        <w:rPr>
          <w:rFonts w:hint="eastAsia"/>
          <w:bCs/>
          <w:sz w:val="24"/>
        </w:rPr>
        <w:t>工频磁场</w:t>
      </w:r>
      <w:r>
        <w:rPr>
          <w:rFonts w:hint="eastAsia"/>
          <w:sz w:val="24"/>
        </w:rPr>
        <w:t>环境现状监测结果见下表。</w:t>
      </w:r>
    </w:p>
    <w:p w14:paraId="0C1EA8D2">
      <w:pPr>
        <w:pStyle w:val="132"/>
        <w:rPr>
          <w:b/>
        </w:rPr>
      </w:pPr>
      <w:r>
        <w:rPr>
          <w:rFonts w:hint="eastAsia"/>
          <w:b/>
        </w:rPr>
        <w:t>表</w:t>
      </w:r>
      <w:r>
        <w:rPr>
          <w:b/>
        </w:rPr>
        <w:t>6-2</w:t>
      </w:r>
      <w:r>
        <w:rPr>
          <w:rFonts w:hint="eastAsia"/>
          <w:b/>
        </w:rPr>
        <w:t>本工程工频电场强度、工频磁感应强度现状值监测结果</w:t>
      </w:r>
    </w:p>
    <w:tbl>
      <w:tblPr>
        <w:tblStyle w:val="150"/>
        <w:tblW w:w="4998" w:type="pct"/>
        <w:tblInd w:w="3"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695"/>
        <w:gridCol w:w="1763"/>
        <w:gridCol w:w="1464"/>
        <w:gridCol w:w="1365"/>
        <w:gridCol w:w="1232"/>
      </w:tblGrid>
      <w:tr w14:paraId="3165BC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582" w:type="pct"/>
            <w:vAlign w:val="center"/>
          </w:tcPr>
          <w:p w14:paraId="78808317">
            <w:pPr>
              <w:pStyle w:val="149"/>
              <w:rPr>
                <w:rFonts w:hint="default" w:ascii="Times New Roman" w:hAnsi="Times New Roman" w:eastAsia="宋体" w:cs="Times New Roman"/>
                <w:b/>
                <w:i w:val="0"/>
              </w:rPr>
            </w:pPr>
            <w:r>
              <w:rPr>
                <w:rFonts w:hint="eastAsia" w:ascii="Times New Roman" w:hAnsi="Times New Roman" w:eastAsia="宋体" w:cs="Times New Roman"/>
                <w:b/>
                <w:i w:val="0"/>
              </w:rPr>
              <w:t>监测点位</w:t>
            </w:r>
          </w:p>
        </w:tc>
        <w:tc>
          <w:tcPr>
            <w:tcW w:w="1035" w:type="pct"/>
            <w:vAlign w:val="center"/>
          </w:tcPr>
          <w:p w14:paraId="3B57B97C">
            <w:pPr>
              <w:pStyle w:val="149"/>
              <w:rPr>
                <w:rFonts w:hint="default" w:ascii="Times New Roman" w:hAnsi="Times New Roman" w:eastAsia="宋体" w:cs="Times New Roman"/>
                <w:b/>
                <w:i w:val="0"/>
              </w:rPr>
            </w:pPr>
            <w:r>
              <w:rPr>
                <w:rFonts w:hint="eastAsia" w:ascii="Times New Roman" w:hAnsi="Times New Roman" w:eastAsia="宋体" w:cs="Times New Roman"/>
                <w:b/>
                <w:i w:val="0"/>
              </w:rPr>
              <w:t>测量项目</w:t>
            </w:r>
          </w:p>
        </w:tc>
        <w:tc>
          <w:tcPr>
            <w:tcW w:w="859" w:type="pct"/>
            <w:vAlign w:val="center"/>
          </w:tcPr>
          <w:p w14:paraId="7C1A2E87">
            <w:pPr>
              <w:pStyle w:val="149"/>
              <w:rPr>
                <w:rFonts w:hint="default" w:ascii="Times New Roman" w:hAnsi="Times New Roman" w:eastAsia="宋体" w:cs="Times New Roman"/>
                <w:b/>
                <w:i w:val="0"/>
              </w:rPr>
            </w:pPr>
            <w:r>
              <w:rPr>
                <w:rFonts w:hint="eastAsia" w:ascii="Times New Roman" w:hAnsi="Times New Roman" w:eastAsia="宋体" w:cs="Times New Roman"/>
                <w:b/>
                <w:i w:val="0"/>
              </w:rPr>
              <w:t>测量结果</w:t>
            </w:r>
          </w:p>
        </w:tc>
        <w:tc>
          <w:tcPr>
            <w:tcW w:w="801" w:type="pct"/>
            <w:vAlign w:val="center"/>
          </w:tcPr>
          <w:p w14:paraId="02CBFF50">
            <w:pPr>
              <w:pStyle w:val="149"/>
              <w:rPr>
                <w:rFonts w:hint="default" w:ascii="Times New Roman" w:hAnsi="Times New Roman" w:eastAsia="宋体" w:cs="Times New Roman"/>
                <w:b/>
                <w:i w:val="0"/>
              </w:rPr>
            </w:pPr>
            <w:r>
              <w:rPr>
                <w:rFonts w:hint="eastAsia" w:ascii="Times New Roman" w:hAnsi="Times New Roman" w:eastAsia="宋体" w:cs="Times New Roman"/>
                <w:b/>
                <w:i w:val="0"/>
              </w:rPr>
              <w:t>标准限值</w:t>
            </w:r>
          </w:p>
        </w:tc>
        <w:tc>
          <w:tcPr>
            <w:tcW w:w="723" w:type="pct"/>
            <w:vAlign w:val="center"/>
          </w:tcPr>
          <w:p w14:paraId="636C6A69">
            <w:pPr>
              <w:pStyle w:val="149"/>
              <w:rPr>
                <w:rFonts w:hint="default" w:ascii="Times New Roman" w:hAnsi="Times New Roman" w:eastAsia="宋体" w:cs="Times New Roman"/>
                <w:b/>
                <w:i w:val="0"/>
              </w:rPr>
            </w:pPr>
            <w:r>
              <w:rPr>
                <w:rFonts w:hint="eastAsia" w:ascii="Times New Roman" w:hAnsi="Times New Roman" w:eastAsia="宋体" w:cs="Times New Roman"/>
                <w:b/>
                <w:i w:val="0"/>
              </w:rPr>
              <w:t>单位</w:t>
            </w:r>
          </w:p>
        </w:tc>
      </w:tr>
      <w:tr w14:paraId="45288B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82" w:type="pct"/>
            <w:vMerge w:val="restart"/>
            <w:vAlign w:val="center"/>
          </w:tcPr>
          <w:p w14:paraId="3484530E">
            <w:pPr>
              <w:pStyle w:val="149"/>
              <w:rPr>
                <w:rFonts w:eastAsia="Times New Roman"/>
              </w:rPr>
            </w:pPr>
            <w:r>
              <w:rPr>
                <w:rFonts w:hint="eastAsia" w:ascii="宋体" w:hAnsi="宋体" w:eastAsia="宋体" w:cs="宋体"/>
              </w:rPr>
              <w:t>项目储能电站厂界东侧</w:t>
            </w:r>
          </w:p>
        </w:tc>
        <w:tc>
          <w:tcPr>
            <w:tcW w:w="1035" w:type="pct"/>
            <w:vAlign w:val="center"/>
          </w:tcPr>
          <w:p w14:paraId="7B4567FE">
            <w:pPr>
              <w:pStyle w:val="149"/>
              <w:rPr>
                <w:rFonts w:eastAsia="Times New Roman"/>
              </w:rPr>
            </w:pPr>
            <w:r>
              <w:rPr>
                <w:rFonts w:hint="eastAsia" w:ascii="宋体" w:hAnsi="宋体" w:eastAsia="宋体" w:cs="宋体"/>
              </w:rPr>
              <w:t>工频电场强度</w:t>
            </w:r>
          </w:p>
        </w:tc>
        <w:tc>
          <w:tcPr>
            <w:tcW w:w="859" w:type="pct"/>
            <w:vAlign w:val="center"/>
          </w:tcPr>
          <w:p w14:paraId="484C3206">
            <w:pPr>
              <w:pStyle w:val="149"/>
              <w:rPr>
                <w:rFonts w:eastAsia="Times New Roman"/>
              </w:rPr>
            </w:pPr>
            <w:r>
              <w:rPr>
                <w:rFonts w:eastAsia="Times New Roman"/>
              </w:rPr>
              <w:t>0.23</w:t>
            </w:r>
          </w:p>
        </w:tc>
        <w:tc>
          <w:tcPr>
            <w:tcW w:w="801" w:type="pct"/>
            <w:vAlign w:val="center"/>
          </w:tcPr>
          <w:p w14:paraId="2B0DF652">
            <w:pPr>
              <w:pStyle w:val="149"/>
              <w:rPr>
                <w:rFonts w:eastAsia="Times New Roman"/>
              </w:rPr>
            </w:pPr>
            <w:r>
              <w:rPr>
                <w:rFonts w:eastAsia="Times New Roman"/>
              </w:rPr>
              <w:t>4000</w:t>
            </w:r>
          </w:p>
        </w:tc>
        <w:tc>
          <w:tcPr>
            <w:tcW w:w="723" w:type="pct"/>
            <w:vAlign w:val="center"/>
          </w:tcPr>
          <w:p w14:paraId="468F1364">
            <w:pPr>
              <w:pStyle w:val="149"/>
              <w:rPr>
                <w:rFonts w:eastAsia="Times New Roman"/>
              </w:rPr>
            </w:pPr>
            <w:r>
              <w:rPr>
                <w:rFonts w:eastAsia="Times New Roman"/>
              </w:rPr>
              <w:t>V/m</w:t>
            </w:r>
          </w:p>
        </w:tc>
      </w:tr>
      <w:tr w14:paraId="265982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82" w:type="pct"/>
            <w:vMerge w:val="continue"/>
            <w:vAlign w:val="center"/>
          </w:tcPr>
          <w:p w14:paraId="6B131630">
            <w:pPr>
              <w:pStyle w:val="149"/>
              <w:rPr>
                <w:rFonts w:eastAsia="Times New Roman"/>
              </w:rPr>
            </w:pPr>
          </w:p>
        </w:tc>
        <w:tc>
          <w:tcPr>
            <w:tcW w:w="1035" w:type="pct"/>
            <w:vAlign w:val="center"/>
          </w:tcPr>
          <w:p w14:paraId="4D37940C">
            <w:pPr>
              <w:pStyle w:val="149"/>
              <w:rPr>
                <w:rFonts w:eastAsia="Times New Roman"/>
              </w:rPr>
            </w:pPr>
            <w:r>
              <w:rPr>
                <w:rFonts w:hint="eastAsia" w:ascii="宋体" w:hAnsi="宋体" w:eastAsia="宋体" w:cs="宋体"/>
              </w:rPr>
              <w:t>工频磁感应强度</w:t>
            </w:r>
          </w:p>
        </w:tc>
        <w:tc>
          <w:tcPr>
            <w:tcW w:w="859" w:type="pct"/>
            <w:vAlign w:val="center"/>
          </w:tcPr>
          <w:p w14:paraId="32DF94BF">
            <w:pPr>
              <w:pStyle w:val="149"/>
              <w:rPr>
                <w:rFonts w:eastAsia="Times New Roman"/>
              </w:rPr>
            </w:pPr>
            <w:r>
              <w:rPr>
                <w:rFonts w:eastAsia="Times New Roman"/>
              </w:rPr>
              <w:t>0.0068</w:t>
            </w:r>
          </w:p>
        </w:tc>
        <w:tc>
          <w:tcPr>
            <w:tcW w:w="801" w:type="pct"/>
            <w:vAlign w:val="center"/>
          </w:tcPr>
          <w:p w14:paraId="45C756BE">
            <w:pPr>
              <w:pStyle w:val="149"/>
              <w:rPr>
                <w:rFonts w:eastAsia="Times New Roman"/>
              </w:rPr>
            </w:pPr>
            <w:r>
              <w:rPr>
                <w:rFonts w:eastAsia="Times New Roman"/>
              </w:rPr>
              <w:t>100</w:t>
            </w:r>
          </w:p>
        </w:tc>
        <w:tc>
          <w:tcPr>
            <w:tcW w:w="723" w:type="pct"/>
            <w:vAlign w:val="center"/>
          </w:tcPr>
          <w:p w14:paraId="6ACA121B">
            <w:pPr>
              <w:pStyle w:val="149"/>
              <w:rPr>
                <w:rFonts w:eastAsia="Times New Roman"/>
              </w:rPr>
            </w:pPr>
            <w:r>
              <w:rPr>
                <w:rFonts w:eastAsia="Times New Roman"/>
              </w:rPr>
              <w:t>μT</w:t>
            </w:r>
          </w:p>
        </w:tc>
      </w:tr>
      <w:tr w14:paraId="3CBFCF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82" w:type="pct"/>
            <w:vMerge w:val="restart"/>
            <w:vAlign w:val="center"/>
          </w:tcPr>
          <w:p w14:paraId="657BA0E2">
            <w:pPr>
              <w:pStyle w:val="149"/>
              <w:rPr>
                <w:rFonts w:eastAsia="Times New Roman"/>
              </w:rPr>
            </w:pPr>
            <w:r>
              <w:rPr>
                <w:rFonts w:hint="eastAsia" w:ascii="宋体" w:hAnsi="宋体" w:eastAsia="宋体" w:cs="宋体"/>
              </w:rPr>
              <w:t>项目储能电站厂界西侧</w:t>
            </w:r>
          </w:p>
        </w:tc>
        <w:tc>
          <w:tcPr>
            <w:tcW w:w="1035" w:type="pct"/>
            <w:vAlign w:val="center"/>
          </w:tcPr>
          <w:p w14:paraId="11B3D10F">
            <w:pPr>
              <w:pStyle w:val="149"/>
              <w:rPr>
                <w:rFonts w:eastAsia="Times New Roman"/>
              </w:rPr>
            </w:pPr>
            <w:r>
              <w:rPr>
                <w:rFonts w:hint="eastAsia" w:ascii="宋体" w:hAnsi="宋体" w:eastAsia="宋体" w:cs="宋体"/>
              </w:rPr>
              <w:t>工频电场强度</w:t>
            </w:r>
          </w:p>
        </w:tc>
        <w:tc>
          <w:tcPr>
            <w:tcW w:w="859" w:type="pct"/>
            <w:vAlign w:val="center"/>
          </w:tcPr>
          <w:p w14:paraId="58A1101D">
            <w:pPr>
              <w:pStyle w:val="149"/>
              <w:rPr>
                <w:rFonts w:eastAsia="Times New Roman"/>
              </w:rPr>
            </w:pPr>
            <w:r>
              <w:rPr>
                <w:rFonts w:eastAsia="Times New Roman"/>
              </w:rPr>
              <w:t>0.23</w:t>
            </w:r>
          </w:p>
        </w:tc>
        <w:tc>
          <w:tcPr>
            <w:tcW w:w="801" w:type="pct"/>
            <w:vAlign w:val="center"/>
          </w:tcPr>
          <w:p w14:paraId="72F16556">
            <w:pPr>
              <w:pStyle w:val="149"/>
              <w:rPr>
                <w:rFonts w:eastAsia="Times New Roman"/>
              </w:rPr>
            </w:pPr>
            <w:r>
              <w:rPr>
                <w:rFonts w:eastAsia="Times New Roman"/>
              </w:rPr>
              <w:t>4000</w:t>
            </w:r>
          </w:p>
        </w:tc>
        <w:tc>
          <w:tcPr>
            <w:tcW w:w="723" w:type="pct"/>
            <w:vAlign w:val="center"/>
          </w:tcPr>
          <w:p w14:paraId="1837804C">
            <w:pPr>
              <w:pStyle w:val="149"/>
              <w:rPr>
                <w:rFonts w:eastAsia="Times New Roman"/>
              </w:rPr>
            </w:pPr>
            <w:r>
              <w:rPr>
                <w:rFonts w:eastAsia="Times New Roman"/>
              </w:rPr>
              <w:t>V/m</w:t>
            </w:r>
          </w:p>
        </w:tc>
      </w:tr>
      <w:tr w14:paraId="333A75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82" w:type="pct"/>
            <w:vMerge w:val="continue"/>
            <w:vAlign w:val="center"/>
          </w:tcPr>
          <w:p w14:paraId="2A09AFF4">
            <w:pPr>
              <w:pStyle w:val="149"/>
              <w:rPr>
                <w:rFonts w:eastAsia="Times New Roman"/>
              </w:rPr>
            </w:pPr>
          </w:p>
        </w:tc>
        <w:tc>
          <w:tcPr>
            <w:tcW w:w="1035" w:type="pct"/>
            <w:vAlign w:val="center"/>
          </w:tcPr>
          <w:p w14:paraId="6957A305">
            <w:pPr>
              <w:pStyle w:val="149"/>
              <w:rPr>
                <w:rFonts w:eastAsia="Times New Roman"/>
              </w:rPr>
            </w:pPr>
            <w:r>
              <w:rPr>
                <w:rFonts w:hint="eastAsia" w:ascii="宋体" w:hAnsi="宋体" w:eastAsia="宋体" w:cs="宋体"/>
              </w:rPr>
              <w:t>工频磁感应强度</w:t>
            </w:r>
          </w:p>
        </w:tc>
        <w:tc>
          <w:tcPr>
            <w:tcW w:w="859" w:type="pct"/>
            <w:vAlign w:val="center"/>
          </w:tcPr>
          <w:p w14:paraId="49871162">
            <w:pPr>
              <w:pStyle w:val="149"/>
              <w:rPr>
                <w:rFonts w:eastAsia="Times New Roman"/>
              </w:rPr>
            </w:pPr>
            <w:r>
              <w:rPr>
                <w:rFonts w:eastAsia="Times New Roman"/>
              </w:rPr>
              <w:t>0.0058</w:t>
            </w:r>
          </w:p>
        </w:tc>
        <w:tc>
          <w:tcPr>
            <w:tcW w:w="801" w:type="pct"/>
            <w:vAlign w:val="center"/>
          </w:tcPr>
          <w:p w14:paraId="0D472BD1">
            <w:pPr>
              <w:pStyle w:val="149"/>
              <w:rPr>
                <w:rFonts w:eastAsia="Times New Roman"/>
              </w:rPr>
            </w:pPr>
            <w:r>
              <w:rPr>
                <w:rFonts w:eastAsia="Times New Roman"/>
              </w:rPr>
              <w:t>100</w:t>
            </w:r>
          </w:p>
        </w:tc>
        <w:tc>
          <w:tcPr>
            <w:tcW w:w="723" w:type="pct"/>
            <w:vAlign w:val="center"/>
          </w:tcPr>
          <w:p w14:paraId="3A3F584E">
            <w:pPr>
              <w:pStyle w:val="149"/>
              <w:rPr>
                <w:rFonts w:eastAsia="Times New Roman"/>
              </w:rPr>
            </w:pPr>
            <w:r>
              <w:rPr>
                <w:rFonts w:eastAsia="Times New Roman"/>
              </w:rPr>
              <w:t>μT</w:t>
            </w:r>
          </w:p>
        </w:tc>
      </w:tr>
      <w:tr w14:paraId="58B657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82" w:type="pct"/>
            <w:vMerge w:val="restart"/>
            <w:vAlign w:val="center"/>
          </w:tcPr>
          <w:p w14:paraId="33A3F66D">
            <w:pPr>
              <w:pStyle w:val="149"/>
              <w:rPr>
                <w:rFonts w:eastAsia="Times New Roman"/>
              </w:rPr>
            </w:pPr>
            <w:r>
              <w:rPr>
                <w:rFonts w:hint="eastAsia" w:ascii="宋体" w:hAnsi="宋体" w:eastAsia="宋体" w:cs="宋体"/>
              </w:rPr>
              <w:t>项目储能电站厂界南侧</w:t>
            </w:r>
          </w:p>
        </w:tc>
        <w:tc>
          <w:tcPr>
            <w:tcW w:w="1035" w:type="pct"/>
            <w:vAlign w:val="center"/>
          </w:tcPr>
          <w:p w14:paraId="463183D6">
            <w:pPr>
              <w:pStyle w:val="149"/>
              <w:rPr>
                <w:rFonts w:eastAsia="Times New Roman"/>
              </w:rPr>
            </w:pPr>
            <w:r>
              <w:rPr>
                <w:rFonts w:hint="eastAsia" w:ascii="宋体" w:hAnsi="宋体" w:eastAsia="宋体" w:cs="宋体"/>
              </w:rPr>
              <w:t>工频电场强度</w:t>
            </w:r>
          </w:p>
        </w:tc>
        <w:tc>
          <w:tcPr>
            <w:tcW w:w="859" w:type="pct"/>
            <w:vAlign w:val="center"/>
          </w:tcPr>
          <w:p w14:paraId="16DB28D5">
            <w:pPr>
              <w:pStyle w:val="149"/>
              <w:rPr>
                <w:rFonts w:eastAsia="Times New Roman"/>
              </w:rPr>
            </w:pPr>
            <w:r>
              <w:rPr>
                <w:rFonts w:eastAsia="Times New Roman"/>
              </w:rPr>
              <w:t>0.58</w:t>
            </w:r>
          </w:p>
        </w:tc>
        <w:tc>
          <w:tcPr>
            <w:tcW w:w="801" w:type="pct"/>
            <w:vAlign w:val="center"/>
          </w:tcPr>
          <w:p w14:paraId="692811D4">
            <w:pPr>
              <w:pStyle w:val="149"/>
              <w:rPr>
                <w:rFonts w:eastAsia="Times New Roman"/>
              </w:rPr>
            </w:pPr>
            <w:r>
              <w:rPr>
                <w:rFonts w:eastAsia="Times New Roman"/>
              </w:rPr>
              <w:t>4000</w:t>
            </w:r>
          </w:p>
        </w:tc>
        <w:tc>
          <w:tcPr>
            <w:tcW w:w="723" w:type="pct"/>
            <w:vAlign w:val="center"/>
          </w:tcPr>
          <w:p w14:paraId="209A6465">
            <w:pPr>
              <w:pStyle w:val="149"/>
              <w:rPr>
                <w:rFonts w:eastAsia="Times New Roman"/>
              </w:rPr>
            </w:pPr>
            <w:r>
              <w:rPr>
                <w:rFonts w:eastAsia="Times New Roman"/>
              </w:rPr>
              <w:t>V/m</w:t>
            </w:r>
          </w:p>
        </w:tc>
      </w:tr>
      <w:tr w14:paraId="28843F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82" w:type="pct"/>
            <w:vMerge w:val="continue"/>
            <w:vAlign w:val="center"/>
          </w:tcPr>
          <w:p w14:paraId="40A6933E">
            <w:pPr>
              <w:pStyle w:val="149"/>
              <w:rPr>
                <w:rFonts w:eastAsia="Times New Roman"/>
              </w:rPr>
            </w:pPr>
          </w:p>
        </w:tc>
        <w:tc>
          <w:tcPr>
            <w:tcW w:w="1035" w:type="pct"/>
            <w:vAlign w:val="center"/>
          </w:tcPr>
          <w:p w14:paraId="1820B6FA">
            <w:pPr>
              <w:pStyle w:val="149"/>
              <w:rPr>
                <w:rFonts w:eastAsia="Times New Roman"/>
              </w:rPr>
            </w:pPr>
            <w:r>
              <w:rPr>
                <w:rFonts w:hint="eastAsia" w:ascii="宋体" w:hAnsi="宋体" w:eastAsia="宋体" w:cs="宋体"/>
              </w:rPr>
              <w:t>工频磁感应强度</w:t>
            </w:r>
          </w:p>
        </w:tc>
        <w:tc>
          <w:tcPr>
            <w:tcW w:w="859" w:type="pct"/>
            <w:vAlign w:val="center"/>
          </w:tcPr>
          <w:p w14:paraId="6E3C64F2">
            <w:pPr>
              <w:pStyle w:val="149"/>
              <w:rPr>
                <w:rFonts w:eastAsia="Times New Roman"/>
              </w:rPr>
            </w:pPr>
            <w:r>
              <w:rPr>
                <w:rFonts w:eastAsia="Times New Roman"/>
              </w:rPr>
              <w:t>0.0060</w:t>
            </w:r>
          </w:p>
        </w:tc>
        <w:tc>
          <w:tcPr>
            <w:tcW w:w="801" w:type="pct"/>
            <w:vAlign w:val="center"/>
          </w:tcPr>
          <w:p w14:paraId="523F7D47">
            <w:pPr>
              <w:pStyle w:val="149"/>
              <w:rPr>
                <w:rFonts w:eastAsia="Times New Roman"/>
              </w:rPr>
            </w:pPr>
            <w:r>
              <w:rPr>
                <w:rFonts w:eastAsia="Times New Roman"/>
              </w:rPr>
              <w:t>100</w:t>
            </w:r>
          </w:p>
        </w:tc>
        <w:tc>
          <w:tcPr>
            <w:tcW w:w="723" w:type="pct"/>
            <w:vAlign w:val="center"/>
          </w:tcPr>
          <w:p w14:paraId="52D60FAA">
            <w:pPr>
              <w:pStyle w:val="149"/>
              <w:rPr>
                <w:rFonts w:eastAsia="Times New Roman"/>
              </w:rPr>
            </w:pPr>
            <w:r>
              <w:rPr>
                <w:rFonts w:eastAsia="Times New Roman"/>
              </w:rPr>
              <w:t>μT</w:t>
            </w:r>
          </w:p>
        </w:tc>
      </w:tr>
      <w:tr w14:paraId="5B0C62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82" w:type="pct"/>
            <w:vMerge w:val="restart"/>
            <w:vAlign w:val="center"/>
          </w:tcPr>
          <w:p w14:paraId="565D067F">
            <w:pPr>
              <w:pStyle w:val="149"/>
              <w:rPr>
                <w:rFonts w:eastAsia="Times New Roman"/>
              </w:rPr>
            </w:pPr>
            <w:r>
              <w:rPr>
                <w:rFonts w:hint="eastAsia" w:ascii="宋体" w:hAnsi="宋体" w:eastAsia="宋体" w:cs="宋体"/>
              </w:rPr>
              <w:t>项目储能电站厂界北侧</w:t>
            </w:r>
          </w:p>
        </w:tc>
        <w:tc>
          <w:tcPr>
            <w:tcW w:w="1035" w:type="pct"/>
            <w:vAlign w:val="center"/>
          </w:tcPr>
          <w:p w14:paraId="22D6D9C8">
            <w:pPr>
              <w:pStyle w:val="149"/>
              <w:rPr>
                <w:rFonts w:eastAsia="Times New Roman"/>
              </w:rPr>
            </w:pPr>
            <w:r>
              <w:rPr>
                <w:rFonts w:hint="eastAsia" w:ascii="宋体" w:hAnsi="宋体" w:eastAsia="宋体" w:cs="宋体"/>
              </w:rPr>
              <w:t>工频电场强度</w:t>
            </w:r>
          </w:p>
        </w:tc>
        <w:tc>
          <w:tcPr>
            <w:tcW w:w="859" w:type="pct"/>
            <w:vAlign w:val="center"/>
          </w:tcPr>
          <w:p w14:paraId="3FD4CF4F">
            <w:pPr>
              <w:pStyle w:val="149"/>
              <w:rPr>
                <w:rFonts w:eastAsia="Times New Roman"/>
              </w:rPr>
            </w:pPr>
            <w:r>
              <w:rPr>
                <w:rFonts w:eastAsia="Times New Roman"/>
              </w:rPr>
              <w:t>0.35</w:t>
            </w:r>
          </w:p>
        </w:tc>
        <w:tc>
          <w:tcPr>
            <w:tcW w:w="801" w:type="pct"/>
            <w:vAlign w:val="center"/>
          </w:tcPr>
          <w:p w14:paraId="712AF9A3">
            <w:pPr>
              <w:pStyle w:val="149"/>
              <w:rPr>
                <w:rFonts w:eastAsia="Times New Roman"/>
              </w:rPr>
            </w:pPr>
            <w:r>
              <w:rPr>
                <w:rFonts w:eastAsia="Times New Roman"/>
              </w:rPr>
              <w:t>4000</w:t>
            </w:r>
          </w:p>
        </w:tc>
        <w:tc>
          <w:tcPr>
            <w:tcW w:w="723" w:type="pct"/>
            <w:vAlign w:val="center"/>
          </w:tcPr>
          <w:p w14:paraId="1F0ED67A">
            <w:pPr>
              <w:pStyle w:val="149"/>
              <w:rPr>
                <w:rFonts w:eastAsia="Times New Roman"/>
              </w:rPr>
            </w:pPr>
            <w:r>
              <w:rPr>
                <w:rFonts w:eastAsia="Times New Roman"/>
              </w:rPr>
              <w:t>V/m</w:t>
            </w:r>
          </w:p>
        </w:tc>
      </w:tr>
      <w:tr w14:paraId="4F441D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82" w:type="pct"/>
            <w:vMerge w:val="continue"/>
            <w:vAlign w:val="center"/>
          </w:tcPr>
          <w:p w14:paraId="2E334606">
            <w:pPr>
              <w:pStyle w:val="149"/>
              <w:rPr>
                <w:rFonts w:eastAsia="Times New Roman"/>
              </w:rPr>
            </w:pPr>
          </w:p>
        </w:tc>
        <w:tc>
          <w:tcPr>
            <w:tcW w:w="1035" w:type="pct"/>
            <w:vAlign w:val="center"/>
          </w:tcPr>
          <w:p w14:paraId="0F4A6447">
            <w:pPr>
              <w:pStyle w:val="149"/>
              <w:rPr>
                <w:rFonts w:eastAsia="Times New Roman"/>
              </w:rPr>
            </w:pPr>
            <w:r>
              <w:rPr>
                <w:rFonts w:hint="eastAsia" w:ascii="宋体" w:hAnsi="宋体" w:eastAsia="宋体" w:cs="宋体"/>
              </w:rPr>
              <w:t>工频磁感应强度</w:t>
            </w:r>
          </w:p>
        </w:tc>
        <w:tc>
          <w:tcPr>
            <w:tcW w:w="859" w:type="pct"/>
            <w:vAlign w:val="center"/>
          </w:tcPr>
          <w:p w14:paraId="275CC1D9">
            <w:pPr>
              <w:pStyle w:val="149"/>
              <w:rPr>
                <w:rFonts w:eastAsia="Times New Roman"/>
              </w:rPr>
            </w:pPr>
            <w:r>
              <w:rPr>
                <w:rFonts w:eastAsia="Times New Roman"/>
              </w:rPr>
              <w:t>0.0059</w:t>
            </w:r>
          </w:p>
        </w:tc>
        <w:tc>
          <w:tcPr>
            <w:tcW w:w="801" w:type="pct"/>
            <w:vAlign w:val="center"/>
          </w:tcPr>
          <w:p w14:paraId="5FBCA561">
            <w:pPr>
              <w:pStyle w:val="149"/>
              <w:rPr>
                <w:rFonts w:eastAsia="Times New Roman"/>
              </w:rPr>
            </w:pPr>
            <w:r>
              <w:rPr>
                <w:rFonts w:eastAsia="Times New Roman"/>
              </w:rPr>
              <w:t>100</w:t>
            </w:r>
          </w:p>
        </w:tc>
        <w:tc>
          <w:tcPr>
            <w:tcW w:w="723" w:type="pct"/>
            <w:vAlign w:val="center"/>
          </w:tcPr>
          <w:p w14:paraId="78F3FBA4">
            <w:pPr>
              <w:pStyle w:val="149"/>
              <w:rPr>
                <w:rFonts w:eastAsia="Times New Roman"/>
              </w:rPr>
            </w:pPr>
            <w:r>
              <w:rPr>
                <w:rFonts w:eastAsia="Times New Roman"/>
              </w:rPr>
              <w:t>μT</w:t>
            </w:r>
          </w:p>
        </w:tc>
      </w:tr>
      <w:tr w14:paraId="33C35C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5000" w:type="pct"/>
            <w:gridSpan w:val="5"/>
            <w:vAlign w:val="center"/>
          </w:tcPr>
          <w:p w14:paraId="46854C24">
            <w:pPr>
              <w:pStyle w:val="149"/>
              <w:rPr>
                <w:rFonts w:eastAsia="Times New Roman"/>
              </w:rPr>
            </w:pPr>
            <w:r>
              <w:rPr>
                <w:rFonts w:hint="eastAsia" w:ascii="宋体" w:hAnsi="宋体" w:eastAsia="宋体" w:cs="宋体"/>
              </w:rPr>
              <w:t>备注：参照《电磁环境控制限值》</w:t>
            </w:r>
            <w:r>
              <w:rPr>
                <w:rFonts w:eastAsia="Times New Roman"/>
              </w:rPr>
              <w:t>(GB8702-2014</w:t>
            </w:r>
            <w:r>
              <w:rPr>
                <w:rFonts w:hint="eastAsia" w:ascii="宋体" w:hAnsi="宋体" w:eastAsia="宋体" w:cs="宋体"/>
              </w:rPr>
              <w:t>）表</w:t>
            </w:r>
            <w:r>
              <w:rPr>
                <w:rFonts w:eastAsia="Times New Roman"/>
              </w:rPr>
              <w:t>1</w:t>
            </w:r>
            <w:r>
              <w:rPr>
                <w:rFonts w:hint="eastAsia" w:ascii="宋体" w:hAnsi="宋体" w:eastAsia="宋体" w:cs="宋体"/>
              </w:rPr>
              <w:t>中</w:t>
            </w:r>
            <w:r>
              <w:rPr>
                <w:rFonts w:eastAsia="Times New Roman"/>
              </w:rPr>
              <w:t>0.05kHz</w:t>
            </w:r>
            <w:r>
              <w:rPr>
                <w:rFonts w:hint="eastAsia" w:ascii="宋体" w:hAnsi="宋体" w:eastAsia="宋体" w:cs="宋体"/>
              </w:rPr>
              <w:t>的公众曝露控制限值。</w:t>
            </w:r>
          </w:p>
        </w:tc>
      </w:tr>
    </w:tbl>
    <w:p w14:paraId="2DBE44B9">
      <w:pPr>
        <w:adjustRightInd w:val="0"/>
        <w:spacing w:before="120" w:beforeLines="50" w:line="360" w:lineRule="auto"/>
        <w:textAlignment w:val="baseline"/>
        <w:rPr>
          <w:b/>
          <w:sz w:val="24"/>
        </w:rPr>
      </w:pPr>
      <w:r>
        <w:rPr>
          <w:b/>
          <w:sz w:val="24"/>
        </w:rPr>
        <w:t>6.5.6</w:t>
      </w:r>
      <w:r>
        <w:rPr>
          <w:rFonts w:hint="eastAsia"/>
          <w:b/>
          <w:sz w:val="24"/>
        </w:rPr>
        <w:t>工频电场、工频磁场环境现状评价</w:t>
      </w:r>
    </w:p>
    <w:p w14:paraId="598BCBCF">
      <w:pPr>
        <w:spacing w:line="360" w:lineRule="auto"/>
        <w:ind w:firstLine="480" w:firstLineChars="200"/>
        <w:rPr>
          <w:sz w:val="24"/>
        </w:rPr>
      </w:pPr>
      <w:r>
        <w:rPr>
          <w:rFonts w:hint="eastAsia"/>
          <w:sz w:val="24"/>
        </w:rPr>
        <w:t>综上，本次监测</w:t>
      </w:r>
      <w:r>
        <w:rPr>
          <w:sz w:val="24"/>
        </w:rPr>
        <w:t>4</w:t>
      </w:r>
      <w:r>
        <w:rPr>
          <w:rFonts w:hint="eastAsia"/>
          <w:sz w:val="24"/>
        </w:rPr>
        <w:t>个点位的工频电场强度均远小于《电磁环境控制限值》（</w:t>
      </w:r>
      <w:r>
        <w:rPr>
          <w:sz w:val="24"/>
        </w:rPr>
        <w:t>GB8702-2014</w:t>
      </w:r>
      <w:r>
        <w:rPr>
          <w:rFonts w:hint="eastAsia"/>
          <w:sz w:val="24"/>
        </w:rPr>
        <w:t>）中公众曝露区</w:t>
      </w:r>
      <w:r>
        <w:rPr>
          <w:sz w:val="24"/>
        </w:rPr>
        <w:t>4kV/m</w:t>
      </w:r>
      <w:r>
        <w:rPr>
          <w:rFonts w:hint="eastAsia"/>
          <w:sz w:val="24"/>
        </w:rPr>
        <w:t>的评价限值；本次监测</w:t>
      </w:r>
      <w:r>
        <w:rPr>
          <w:sz w:val="24"/>
        </w:rPr>
        <w:t>4</w:t>
      </w:r>
      <w:r>
        <w:rPr>
          <w:rFonts w:hint="eastAsia"/>
          <w:sz w:val="24"/>
        </w:rPr>
        <w:t>个点位的工频磁感应强度远小于《电磁环境控制限值》（</w:t>
      </w:r>
      <w:r>
        <w:rPr>
          <w:sz w:val="24"/>
        </w:rPr>
        <w:t>GB8702-2014</w:t>
      </w:r>
      <w:r>
        <w:rPr>
          <w:rFonts w:hint="eastAsia"/>
          <w:sz w:val="24"/>
        </w:rPr>
        <w:t>）中公众曝露区</w:t>
      </w:r>
      <w:r>
        <w:rPr>
          <w:sz w:val="24"/>
        </w:rPr>
        <w:t>100μT</w:t>
      </w:r>
      <w:r>
        <w:rPr>
          <w:rFonts w:hint="eastAsia"/>
          <w:sz w:val="24"/>
        </w:rPr>
        <w:t>的评价限值。项目区电磁环境质量良好。</w:t>
      </w:r>
    </w:p>
    <w:p w14:paraId="442130F9">
      <w:pPr>
        <w:pStyle w:val="3"/>
      </w:pPr>
      <w:r>
        <w:t>7</w:t>
      </w:r>
      <w:r>
        <w:rPr>
          <w:rFonts w:hint="eastAsia"/>
        </w:rPr>
        <w:t>项目电磁环境影响预测与评价</w:t>
      </w:r>
    </w:p>
    <w:p w14:paraId="406CA2E3">
      <w:pPr>
        <w:pStyle w:val="5"/>
      </w:pPr>
      <w:bookmarkStart w:id="139" w:name="_Toc276475172"/>
      <w:bookmarkStart w:id="140" w:name="_Toc32264"/>
      <w:bookmarkStart w:id="141" w:name="_Toc399688147"/>
      <w:bookmarkStart w:id="142" w:name="_Toc401151229"/>
      <w:r>
        <w:t>7.1</w:t>
      </w:r>
      <w:r>
        <w:rPr>
          <w:rFonts w:hint="eastAsia"/>
        </w:rPr>
        <w:t>评价方法</w:t>
      </w:r>
    </w:p>
    <w:p w14:paraId="060DF94D">
      <w:pPr>
        <w:spacing w:line="360" w:lineRule="auto"/>
        <w:ind w:firstLine="480" w:firstLineChars="200"/>
        <w:rPr>
          <w:bCs/>
          <w:sz w:val="24"/>
        </w:rPr>
      </w:pPr>
      <w:r>
        <w:rPr>
          <w:rFonts w:hint="eastAsia"/>
          <w:bCs/>
          <w:sz w:val="24"/>
        </w:rPr>
        <w:t>根据</w:t>
      </w:r>
      <w:r>
        <w:rPr>
          <w:rFonts w:hint="eastAsia"/>
          <w:sz w:val="24"/>
        </w:rPr>
        <w:t>《环境影响评价技术导则输变电》（</w:t>
      </w:r>
      <w:r>
        <w:rPr>
          <w:sz w:val="24"/>
        </w:rPr>
        <w:t>HJ24-2020</w:t>
      </w:r>
      <w:r>
        <w:rPr>
          <w:rFonts w:hint="eastAsia"/>
          <w:sz w:val="24"/>
        </w:rPr>
        <w:t>）</w:t>
      </w:r>
      <w:r>
        <w:rPr>
          <w:rFonts w:hint="eastAsia"/>
          <w:bCs/>
          <w:sz w:val="24"/>
        </w:rPr>
        <w:t>相应规定，本工程升压站电磁环境影响评价采用类比分析的方法进行预测评价，类比变电站为惠州220kV荣田变电站。</w:t>
      </w:r>
    </w:p>
    <w:p w14:paraId="3A5D2628">
      <w:pPr>
        <w:pStyle w:val="5"/>
      </w:pPr>
      <w:r>
        <w:t>7.2</w:t>
      </w:r>
      <w:r>
        <w:rPr>
          <w:rFonts w:hint="eastAsia"/>
        </w:rPr>
        <w:t>类比对象选择的原则</w:t>
      </w:r>
    </w:p>
    <w:p w14:paraId="5D34E54A">
      <w:pPr>
        <w:widowControl/>
        <w:spacing w:line="360" w:lineRule="auto"/>
        <w:ind w:firstLine="480" w:firstLineChars="200"/>
        <w:jc w:val="left"/>
        <w:rPr>
          <w:rFonts w:ascii="宋体" w:hAnsi="宋体"/>
          <w:kern w:val="0"/>
          <w:sz w:val="24"/>
        </w:rPr>
      </w:pPr>
      <w:r>
        <w:rPr>
          <w:rFonts w:hint="eastAsia" w:ascii="宋体" w:hAnsi="宋体"/>
          <w:kern w:val="0"/>
          <w:sz w:val="24"/>
        </w:rPr>
        <w:t>工频电场主要取决于电压等级及关心点与源的距离，并与环境湿度、植被及地理地形因子等屏蔽条件相关；工频磁场主要取决于电流及关心点与源的距离。</w:t>
      </w:r>
    </w:p>
    <w:p w14:paraId="0262D86F">
      <w:pPr>
        <w:widowControl/>
        <w:spacing w:line="360" w:lineRule="auto"/>
        <w:ind w:firstLine="480" w:firstLineChars="200"/>
        <w:rPr>
          <w:rFonts w:ascii="宋体" w:hAnsi="宋体"/>
          <w:kern w:val="0"/>
          <w:sz w:val="24"/>
        </w:rPr>
      </w:pPr>
      <w:r>
        <w:rPr>
          <w:rFonts w:hint="eastAsia" w:ascii="宋体" w:hAnsi="宋体"/>
          <w:kern w:val="0"/>
          <w:sz w:val="24"/>
        </w:rPr>
        <w:t>储能电站电磁环境类比测量，从严格意义讲，具有相同的储能电站型式、完全相同的设备型号（决定了电压等级及额定功率、额定电流等）、布置情况（决定了距离因子）和环境条件是最理想的，即：不仅有相同储能电站型式、主变压器数量和容量，而且一次主接线也相同，布置情况及环境条件也相同。但是要满足这样的条件是很困难的，要解决这一实际困难，可以在关键部分相同，而达到进行类比的条件。所谓关键部分，就是主要的工频电场、工频磁场产生源。</w:t>
      </w:r>
    </w:p>
    <w:p w14:paraId="4D0A0CE2">
      <w:pPr>
        <w:widowControl/>
        <w:spacing w:line="360" w:lineRule="auto"/>
        <w:ind w:firstLine="480" w:firstLineChars="200"/>
        <w:rPr>
          <w:rFonts w:ascii="宋体" w:hAnsi="宋体"/>
          <w:kern w:val="0"/>
          <w:sz w:val="24"/>
        </w:rPr>
      </w:pPr>
      <w:r>
        <w:rPr>
          <w:rFonts w:hint="eastAsia" w:ascii="宋体" w:hAnsi="宋体"/>
          <w:kern w:val="0"/>
          <w:sz w:val="24"/>
        </w:rPr>
        <w:t>对于储能电站围墙外的工频电场，要求最近的高压带电构架布置一致、电压相同，此时就可以认为具有可比性；同样对于储能电站围墙外的工频磁场，也要求最近的通流导体的布置和电流相同才具有可比性。实际情况是，工频电场的类比条件相对容易实现，因为储能电站主设备和母线电压是基本稳定的，不会随时间和负荷的变化而产生大的变化。但是产生工频磁场的电流却是随负荷变化而有较大的变化。</w:t>
      </w:r>
    </w:p>
    <w:p w14:paraId="6FD42D89">
      <w:pPr>
        <w:widowControl/>
        <w:spacing w:line="360" w:lineRule="auto"/>
        <w:ind w:firstLine="480" w:firstLineChars="200"/>
        <w:jc w:val="left"/>
      </w:pPr>
      <w:r>
        <w:rPr>
          <w:rFonts w:hint="eastAsia" w:ascii="宋体" w:hAnsi="宋体"/>
          <w:kern w:val="0"/>
          <w:sz w:val="24"/>
        </w:rPr>
        <w:t>根据以往对诸多储能电站的电磁环境的类比监测结果，储能电站周围的工频磁场远小于100</w:t>
      </w:r>
      <w:r>
        <w:rPr>
          <w:kern w:val="0"/>
          <w:sz w:val="24"/>
        </w:rPr>
        <w:t>μT</w:t>
      </w:r>
      <w:r>
        <w:rPr>
          <w:rFonts w:hint="eastAsia" w:ascii="宋体" w:hAnsi="宋体"/>
          <w:kern w:val="0"/>
          <w:sz w:val="24"/>
        </w:rPr>
        <w:t>的限值标准，因此本工程主要针对工频电场选取类比对象。</w:t>
      </w:r>
    </w:p>
    <w:p w14:paraId="0B849D5E">
      <w:pPr>
        <w:pStyle w:val="5"/>
      </w:pPr>
      <w:r>
        <w:t>7.3</w:t>
      </w:r>
      <w:r>
        <w:rPr>
          <w:rFonts w:hint="eastAsia"/>
        </w:rPr>
        <w:t>类比对象</w:t>
      </w:r>
    </w:p>
    <w:p w14:paraId="7B268DDC">
      <w:pPr>
        <w:spacing w:before="120" w:beforeLines="50" w:line="360" w:lineRule="auto"/>
        <w:ind w:firstLine="435"/>
        <w:rPr>
          <w:rFonts w:ascii="宋体" w:hAnsi="宋体"/>
          <w:bCs/>
          <w:sz w:val="24"/>
        </w:rPr>
      </w:pPr>
      <w:r>
        <w:rPr>
          <w:rFonts w:hint="eastAsia" w:ascii="宋体" w:hAnsi="宋体"/>
          <w:bCs/>
          <w:sz w:val="24"/>
        </w:rPr>
        <w:t>根据《环境影响评价技术导则 输变电》（HJ 24-2020）中8.1.1.1节类比对象的选取原则，类比对象的建设规模、电压等级、容量、总平面布置、占地面积、架线型式、电气形式、围墙形式、环境条件及运行工况应与本建设项目相类似，本工程选择惠州220kV荣田变电站作为的类比对象。本工程升压站与类比变电站的可比性分析情况见下表。</w:t>
      </w:r>
    </w:p>
    <w:p w14:paraId="1DE80CE9">
      <w:pPr>
        <w:spacing w:before="120" w:beforeLines="50" w:line="360" w:lineRule="auto"/>
        <w:ind w:firstLine="435"/>
        <w:rPr>
          <w:rFonts w:ascii="宋体" w:hAnsi="宋体"/>
          <w:bCs/>
          <w:sz w:val="24"/>
        </w:rPr>
      </w:pPr>
      <w:r>
        <w:rPr>
          <w:rFonts w:hint="eastAsia" w:ascii="宋体" w:hAnsi="宋体"/>
          <w:bCs/>
          <w:sz w:val="24"/>
        </w:rPr>
        <w:t>。</w:t>
      </w:r>
    </w:p>
    <w:p w14:paraId="50559712">
      <w:pPr>
        <w:pStyle w:val="132"/>
        <w:rPr>
          <w:b/>
        </w:rPr>
      </w:pPr>
      <w:r>
        <w:rPr>
          <w:rFonts w:hint="eastAsia"/>
          <w:b/>
        </w:rPr>
        <w:t>表</w:t>
      </w:r>
      <w:r>
        <w:rPr>
          <w:b/>
        </w:rPr>
        <w:t>7-1</w:t>
      </w:r>
      <w:r>
        <w:rPr>
          <w:rFonts w:hint="eastAsia"/>
          <w:b/>
        </w:rPr>
        <w:t>类别升压站与本工程升压站比较表</w:t>
      </w:r>
    </w:p>
    <w:tbl>
      <w:tblPr>
        <w:tblStyle w:val="150"/>
        <w:tblW w:w="4998" w:type="pct"/>
        <w:tblInd w:w="10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92"/>
        <w:gridCol w:w="2678"/>
        <w:gridCol w:w="2126"/>
        <w:gridCol w:w="2408"/>
      </w:tblGrid>
      <w:tr w14:paraId="193DA1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1190" w:type="dxa"/>
            <w:vMerge w:val="restart"/>
            <w:tcBorders>
              <w:top w:val="single" w:color="auto" w:sz="12" w:space="0"/>
              <w:left w:val="nil"/>
              <w:bottom w:val="single" w:color="auto" w:sz="4" w:space="0"/>
              <w:right w:val="single" w:color="auto" w:sz="4" w:space="0"/>
            </w:tcBorders>
            <w:vAlign w:val="center"/>
          </w:tcPr>
          <w:p w14:paraId="63D64002">
            <w:pPr>
              <w:pStyle w:val="59"/>
              <w:spacing w:before="0" w:beforeLines="0" w:after="0" w:afterLines="0"/>
              <w:rPr>
                <w:rFonts w:hint="default" w:ascii="Times New Roman" w:eastAsia="宋体" w:cs="Times New Roman"/>
                <w:b/>
                <w:i w:val="0"/>
              </w:rPr>
            </w:pPr>
            <w:r>
              <w:rPr>
                <w:rFonts w:hint="eastAsia" w:ascii="宋体" w:hAnsi="宋体" w:eastAsia="宋体" w:cs="Times New Roman"/>
                <w:b w:val="0"/>
                <w:i w:val="0"/>
              </w:rPr>
              <w:t>主要指标</w:t>
            </w:r>
          </w:p>
        </w:tc>
        <w:tc>
          <w:tcPr>
            <w:tcW w:w="2921" w:type="dxa"/>
            <w:tcBorders>
              <w:top w:val="single" w:color="auto" w:sz="12" w:space="0"/>
              <w:left w:val="single" w:color="auto" w:sz="4" w:space="0"/>
              <w:bottom w:val="single" w:color="auto" w:sz="4" w:space="0"/>
              <w:right w:val="single" w:color="auto" w:sz="4" w:space="0"/>
            </w:tcBorders>
            <w:vAlign w:val="center"/>
          </w:tcPr>
          <w:p w14:paraId="179438FA">
            <w:pPr>
              <w:pStyle w:val="59"/>
              <w:spacing w:before="0" w:beforeLines="0" w:after="0" w:afterLines="0"/>
              <w:rPr>
                <w:rFonts w:hint="default" w:ascii="Times New Roman" w:eastAsia="宋体" w:cs="Times New Roman"/>
                <w:b w:val="0"/>
                <w:i w:val="0"/>
              </w:rPr>
            </w:pPr>
            <w:r>
              <w:rPr>
                <w:rFonts w:hint="eastAsia" w:ascii="宋体" w:hAnsi="宋体" w:eastAsia="宋体" w:cs="Times New Roman"/>
                <w:b w:val="0"/>
                <w:i w:val="0"/>
              </w:rPr>
              <w:t>类比工程</w:t>
            </w:r>
          </w:p>
        </w:tc>
        <w:tc>
          <w:tcPr>
            <w:tcW w:w="2318" w:type="dxa"/>
            <w:tcBorders>
              <w:top w:val="single" w:color="auto" w:sz="12" w:space="0"/>
              <w:left w:val="single" w:color="auto" w:sz="4" w:space="0"/>
              <w:bottom w:val="single" w:color="auto" w:sz="4" w:space="0"/>
              <w:right w:val="single" w:color="auto" w:sz="4" w:space="0"/>
            </w:tcBorders>
            <w:vAlign w:val="center"/>
          </w:tcPr>
          <w:p w14:paraId="68AEA686">
            <w:pPr>
              <w:pStyle w:val="59"/>
              <w:spacing w:before="0" w:beforeLines="0" w:after="0" w:afterLines="0"/>
              <w:rPr>
                <w:rFonts w:hint="default" w:ascii="Times New Roman" w:eastAsia="宋体" w:cs="Times New Roman"/>
                <w:b w:val="0"/>
                <w:i w:val="0"/>
              </w:rPr>
            </w:pPr>
            <w:r>
              <w:rPr>
                <w:rFonts w:hint="eastAsia" w:ascii="宋体" w:hAnsi="宋体" w:eastAsia="宋体" w:cs="Times New Roman"/>
                <w:b w:val="0"/>
                <w:i w:val="0"/>
              </w:rPr>
              <w:t>评价工程</w:t>
            </w:r>
          </w:p>
        </w:tc>
        <w:tc>
          <w:tcPr>
            <w:tcW w:w="2626" w:type="dxa"/>
            <w:vMerge w:val="restart"/>
            <w:tcBorders>
              <w:top w:val="single" w:color="auto" w:sz="12" w:space="0"/>
              <w:left w:val="single" w:color="auto" w:sz="4" w:space="0"/>
              <w:bottom w:val="single" w:color="auto" w:sz="4" w:space="0"/>
              <w:right w:val="nil"/>
            </w:tcBorders>
            <w:vAlign w:val="center"/>
          </w:tcPr>
          <w:p w14:paraId="429C3E92">
            <w:pPr>
              <w:pStyle w:val="59"/>
              <w:spacing w:before="0" w:beforeLines="0" w:after="0" w:afterLines="0"/>
              <w:rPr>
                <w:rFonts w:hint="default" w:ascii="Times New Roman" w:eastAsia="宋体" w:cs="Times New Roman"/>
                <w:b w:val="0"/>
                <w:i w:val="0"/>
              </w:rPr>
            </w:pPr>
            <w:r>
              <w:rPr>
                <w:rFonts w:hint="eastAsia" w:ascii="宋体" w:hAnsi="宋体" w:eastAsia="宋体" w:cs="Times New Roman"/>
                <w:b w:val="0"/>
                <w:i w:val="0"/>
              </w:rPr>
              <w:t>备注</w:t>
            </w:r>
          </w:p>
        </w:tc>
      </w:tr>
      <w:tr w14:paraId="638DEB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1190" w:type="dxa"/>
            <w:vMerge w:val="continue"/>
            <w:tcBorders>
              <w:top w:val="single" w:color="auto" w:sz="12" w:space="0"/>
              <w:left w:val="nil"/>
              <w:bottom w:val="single" w:color="auto" w:sz="4" w:space="0"/>
              <w:right w:val="single" w:color="auto" w:sz="4" w:space="0"/>
            </w:tcBorders>
            <w:vAlign w:val="center"/>
          </w:tcPr>
          <w:p w14:paraId="2F85FC00">
            <w:pPr>
              <w:widowControl/>
              <w:spacing w:beforeAutospacing="1" w:afterAutospacing="1"/>
              <w:rPr>
                <w:rFonts w:eastAsia="宋体"/>
                <w:b/>
                <w:kern w:val="0"/>
                <w:szCs w:val="21"/>
              </w:rPr>
            </w:pPr>
          </w:p>
        </w:tc>
        <w:tc>
          <w:tcPr>
            <w:tcW w:w="2921" w:type="dxa"/>
            <w:tcBorders>
              <w:top w:val="single" w:color="auto" w:sz="4" w:space="0"/>
              <w:left w:val="single" w:color="auto" w:sz="4" w:space="0"/>
              <w:bottom w:val="single" w:color="auto" w:sz="4" w:space="0"/>
              <w:right w:val="single" w:color="auto" w:sz="4" w:space="0"/>
            </w:tcBorders>
            <w:vAlign w:val="center"/>
          </w:tcPr>
          <w:p w14:paraId="7DCCD598">
            <w:pPr>
              <w:pStyle w:val="59"/>
              <w:spacing w:before="0" w:beforeLines="0" w:after="0" w:afterLines="0"/>
              <w:rPr>
                <w:rFonts w:eastAsia="Times New Roman"/>
              </w:rPr>
            </w:pPr>
            <w:r>
              <w:rPr>
                <w:rFonts w:hint="eastAsia" w:ascii="宋体" w:hAnsi="宋体" w:eastAsia="Times New Roman"/>
              </w:rPr>
              <w:t>惠州220kV荣田变电站</w:t>
            </w:r>
          </w:p>
        </w:tc>
        <w:tc>
          <w:tcPr>
            <w:tcW w:w="2318" w:type="dxa"/>
            <w:tcBorders>
              <w:top w:val="single" w:color="auto" w:sz="4" w:space="0"/>
              <w:left w:val="single" w:color="auto" w:sz="4" w:space="0"/>
              <w:bottom w:val="single" w:color="auto" w:sz="4" w:space="0"/>
              <w:right w:val="single" w:color="auto" w:sz="4" w:space="0"/>
            </w:tcBorders>
            <w:vAlign w:val="center"/>
          </w:tcPr>
          <w:p w14:paraId="2E33A4A3">
            <w:pPr>
              <w:pStyle w:val="59"/>
              <w:spacing w:before="0" w:beforeLines="0" w:after="0" w:afterLines="0"/>
              <w:rPr>
                <w:rFonts w:eastAsia="Times New Roman"/>
              </w:rPr>
            </w:pPr>
            <w:r>
              <w:rPr>
                <w:rFonts w:hint="eastAsia" w:ascii="宋体" w:hAnsi="宋体" w:eastAsia="Times New Roman"/>
              </w:rPr>
              <w:t>本项目</w:t>
            </w:r>
            <w:r>
              <w:rPr>
                <w:rFonts w:eastAsia="Times New Roman"/>
              </w:rPr>
              <w:t>220kV</w:t>
            </w:r>
            <w:r>
              <w:rPr>
                <w:rFonts w:hint="eastAsia" w:ascii="宋体" w:hAnsi="宋体" w:eastAsia="Times New Roman"/>
              </w:rPr>
              <w:t>升压站</w:t>
            </w:r>
          </w:p>
        </w:tc>
        <w:tc>
          <w:tcPr>
            <w:tcW w:w="2626" w:type="dxa"/>
            <w:vMerge w:val="continue"/>
            <w:tcBorders>
              <w:top w:val="single" w:color="auto" w:sz="12" w:space="0"/>
              <w:left w:val="single" w:color="auto" w:sz="4" w:space="0"/>
              <w:bottom w:val="single" w:color="auto" w:sz="4" w:space="0"/>
              <w:right w:val="nil"/>
            </w:tcBorders>
            <w:vAlign w:val="center"/>
          </w:tcPr>
          <w:p w14:paraId="39E09F8C">
            <w:pPr>
              <w:widowControl/>
              <w:spacing w:beforeAutospacing="1" w:afterAutospacing="1"/>
              <w:rPr>
                <w:rFonts w:eastAsia="宋体"/>
                <w:b/>
                <w:kern w:val="0"/>
                <w:szCs w:val="21"/>
              </w:rPr>
            </w:pPr>
          </w:p>
        </w:tc>
      </w:tr>
      <w:tr w14:paraId="13BCC0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1190" w:type="dxa"/>
            <w:tcBorders>
              <w:top w:val="single" w:color="auto" w:sz="4" w:space="0"/>
              <w:left w:val="nil"/>
              <w:bottom w:val="single" w:color="auto" w:sz="4" w:space="0"/>
              <w:right w:val="single" w:color="auto" w:sz="4" w:space="0"/>
            </w:tcBorders>
            <w:vAlign w:val="center"/>
          </w:tcPr>
          <w:p w14:paraId="3B577CC4">
            <w:pPr>
              <w:pStyle w:val="59"/>
              <w:spacing w:before="0" w:beforeLines="0" w:after="0" w:afterLines="0"/>
              <w:rPr>
                <w:rFonts w:eastAsia="Times New Roman"/>
              </w:rPr>
            </w:pPr>
            <w:r>
              <w:rPr>
                <w:rFonts w:hint="eastAsia" w:asciiTheme="minorEastAsia" w:hAnsiTheme="minorEastAsia" w:eastAsiaTheme="minorEastAsia"/>
              </w:rPr>
              <w:t>主变</w:t>
            </w:r>
            <w:r>
              <w:rPr>
                <w:rFonts w:hint="eastAsia" w:ascii="宋体" w:hAnsi="宋体" w:eastAsia="Times New Roman"/>
              </w:rPr>
              <w:t>电压等级</w:t>
            </w:r>
          </w:p>
        </w:tc>
        <w:tc>
          <w:tcPr>
            <w:tcW w:w="2921" w:type="dxa"/>
            <w:tcBorders>
              <w:top w:val="single" w:color="auto" w:sz="4" w:space="0"/>
              <w:left w:val="single" w:color="auto" w:sz="4" w:space="0"/>
              <w:bottom w:val="single" w:color="auto" w:sz="4" w:space="0"/>
              <w:right w:val="single" w:color="auto" w:sz="4" w:space="0"/>
            </w:tcBorders>
            <w:vAlign w:val="center"/>
          </w:tcPr>
          <w:p w14:paraId="15C0B013">
            <w:pPr>
              <w:pStyle w:val="59"/>
              <w:spacing w:before="0" w:beforeLines="0" w:after="0" w:afterLines="0"/>
              <w:rPr>
                <w:rFonts w:eastAsia="Times New Roman"/>
              </w:rPr>
            </w:pPr>
            <w:r>
              <w:rPr>
                <w:rFonts w:eastAsia="Times New Roman"/>
              </w:rPr>
              <w:t>220kV</w:t>
            </w:r>
          </w:p>
        </w:tc>
        <w:tc>
          <w:tcPr>
            <w:tcW w:w="2318" w:type="dxa"/>
            <w:tcBorders>
              <w:top w:val="single" w:color="auto" w:sz="4" w:space="0"/>
              <w:left w:val="single" w:color="auto" w:sz="4" w:space="0"/>
              <w:bottom w:val="single" w:color="auto" w:sz="4" w:space="0"/>
              <w:right w:val="single" w:color="auto" w:sz="4" w:space="0"/>
            </w:tcBorders>
            <w:vAlign w:val="center"/>
          </w:tcPr>
          <w:p w14:paraId="34BA788D">
            <w:pPr>
              <w:pStyle w:val="59"/>
              <w:spacing w:before="0" w:beforeLines="0" w:after="0" w:afterLines="0"/>
              <w:rPr>
                <w:rFonts w:eastAsia="Times New Roman"/>
              </w:rPr>
            </w:pPr>
            <w:r>
              <w:rPr>
                <w:rFonts w:eastAsia="Times New Roman"/>
              </w:rPr>
              <w:t>220kV</w:t>
            </w:r>
          </w:p>
        </w:tc>
        <w:tc>
          <w:tcPr>
            <w:tcW w:w="2626" w:type="dxa"/>
            <w:tcBorders>
              <w:top w:val="single" w:color="auto" w:sz="4" w:space="0"/>
              <w:left w:val="single" w:color="auto" w:sz="4" w:space="0"/>
              <w:bottom w:val="single" w:color="auto" w:sz="4" w:space="0"/>
              <w:right w:val="nil"/>
            </w:tcBorders>
            <w:vAlign w:val="center"/>
          </w:tcPr>
          <w:p w14:paraId="584F77EF">
            <w:pPr>
              <w:pStyle w:val="59"/>
              <w:spacing w:before="0" w:beforeLines="0" w:after="0" w:afterLines="0"/>
              <w:jc w:val="both"/>
              <w:rPr>
                <w:rFonts w:eastAsia="Times New Roman"/>
              </w:rPr>
            </w:pPr>
            <w:r>
              <w:rPr>
                <w:rFonts w:hint="eastAsia" w:ascii="宋体" w:hAnsi="宋体" w:eastAsia="Times New Roman"/>
              </w:rPr>
              <w:t>此项为关键因素。相同，可类比。</w:t>
            </w:r>
          </w:p>
        </w:tc>
      </w:tr>
      <w:tr w14:paraId="132FB2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1190" w:type="dxa"/>
            <w:tcBorders>
              <w:top w:val="single" w:color="auto" w:sz="4" w:space="0"/>
              <w:left w:val="nil"/>
              <w:bottom w:val="single" w:color="auto" w:sz="4" w:space="0"/>
              <w:right w:val="single" w:color="auto" w:sz="4" w:space="0"/>
            </w:tcBorders>
            <w:vAlign w:val="center"/>
          </w:tcPr>
          <w:p w14:paraId="33910C25">
            <w:pPr>
              <w:pStyle w:val="59"/>
              <w:spacing w:before="0" w:beforeLines="0" w:after="0" w:afterLines="0"/>
              <w:rPr>
                <w:rFonts w:eastAsia="Times New Roman"/>
              </w:rPr>
            </w:pPr>
            <w:r>
              <w:rPr>
                <w:rFonts w:hint="eastAsia" w:ascii="宋体" w:hAnsi="宋体" w:eastAsia="Times New Roman"/>
              </w:rPr>
              <w:t>主变数量及容量</w:t>
            </w:r>
          </w:p>
        </w:tc>
        <w:tc>
          <w:tcPr>
            <w:tcW w:w="2921" w:type="dxa"/>
            <w:tcBorders>
              <w:top w:val="single" w:color="auto" w:sz="4" w:space="0"/>
              <w:left w:val="single" w:color="auto" w:sz="4" w:space="0"/>
              <w:bottom w:val="single" w:color="auto" w:sz="4" w:space="0"/>
              <w:right w:val="single" w:color="auto" w:sz="4" w:space="0"/>
            </w:tcBorders>
            <w:vAlign w:val="center"/>
          </w:tcPr>
          <w:p w14:paraId="262B0988">
            <w:pPr>
              <w:pStyle w:val="59"/>
              <w:spacing w:before="0" w:beforeLines="0" w:after="0" w:afterLines="0"/>
              <w:rPr>
                <w:rFonts w:eastAsia="Times New Roman"/>
              </w:rPr>
            </w:pPr>
            <w:r>
              <w:rPr>
                <w:rFonts w:eastAsia="Times New Roman"/>
              </w:rPr>
              <w:t>3×240MVA(</w:t>
            </w:r>
            <w:r>
              <w:rPr>
                <w:rFonts w:hint="eastAsia" w:ascii="宋体" w:hAnsi="宋体" w:eastAsia="Times New Roman"/>
              </w:rPr>
              <w:t>测量时</w:t>
            </w:r>
            <w:r>
              <w:rPr>
                <w:rFonts w:eastAsia="Times New Roman"/>
              </w:rPr>
              <w:t>)</w:t>
            </w:r>
          </w:p>
        </w:tc>
        <w:tc>
          <w:tcPr>
            <w:tcW w:w="2318" w:type="dxa"/>
            <w:tcBorders>
              <w:top w:val="single" w:color="auto" w:sz="4" w:space="0"/>
              <w:left w:val="single" w:color="auto" w:sz="4" w:space="0"/>
              <w:bottom w:val="single" w:color="auto" w:sz="4" w:space="0"/>
              <w:right w:val="single" w:color="auto" w:sz="4" w:space="0"/>
            </w:tcBorders>
            <w:vAlign w:val="center"/>
          </w:tcPr>
          <w:p w14:paraId="16074CD9">
            <w:pPr>
              <w:pStyle w:val="59"/>
              <w:spacing w:before="0" w:beforeLines="0" w:after="0" w:afterLines="0"/>
              <w:rPr>
                <w:rFonts w:eastAsia="Times New Roman"/>
              </w:rPr>
            </w:pPr>
            <w:r>
              <w:rPr>
                <w:rFonts w:eastAsia="Times New Roman"/>
              </w:rPr>
              <w:t>1×240MVA</w:t>
            </w:r>
          </w:p>
        </w:tc>
        <w:tc>
          <w:tcPr>
            <w:tcW w:w="2626" w:type="dxa"/>
            <w:tcBorders>
              <w:top w:val="single" w:color="auto" w:sz="4" w:space="0"/>
              <w:left w:val="single" w:color="auto" w:sz="4" w:space="0"/>
              <w:bottom w:val="single" w:color="auto" w:sz="4" w:space="0"/>
              <w:right w:val="nil"/>
            </w:tcBorders>
            <w:vAlign w:val="center"/>
          </w:tcPr>
          <w:p w14:paraId="50B0B438">
            <w:pPr>
              <w:pStyle w:val="59"/>
              <w:jc w:val="both"/>
              <w:rPr>
                <w:rFonts w:eastAsia="Times New Roman"/>
              </w:rPr>
            </w:pPr>
            <w:r>
              <w:rPr>
                <w:rFonts w:hint="eastAsia" w:ascii="宋体" w:hAnsi="宋体" w:eastAsia="Times New Roman"/>
              </w:rPr>
              <w:t>此项为关键因素。本项目总容量小于类比项目,按保守考虑，可类比。</w:t>
            </w:r>
          </w:p>
        </w:tc>
      </w:tr>
      <w:tr w14:paraId="239BB9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1190" w:type="dxa"/>
            <w:tcBorders>
              <w:top w:val="single" w:color="auto" w:sz="4" w:space="0"/>
              <w:left w:val="nil"/>
              <w:bottom w:val="single" w:color="auto" w:sz="4" w:space="0"/>
              <w:right w:val="single" w:color="auto" w:sz="4" w:space="0"/>
            </w:tcBorders>
            <w:vAlign w:val="center"/>
          </w:tcPr>
          <w:p w14:paraId="4C1966CA">
            <w:pPr>
              <w:pStyle w:val="59"/>
              <w:spacing w:before="0" w:beforeLines="0" w:after="0" w:afterLines="0"/>
              <w:rPr>
                <w:rFonts w:eastAsia="Times New Roman"/>
              </w:rPr>
            </w:pPr>
            <w:r>
              <w:rPr>
                <w:rFonts w:hint="eastAsia" w:ascii="宋体" w:hAnsi="宋体" w:eastAsia="Times New Roman"/>
              </w:rPr>
              <w:t>电气布置形式</w:t>
            </w:r>
          </w:p>
        </w:tc>
        <w:tc>
          <w:tcPr>
            <w:tcW w:w="2921" w:type="dxa"/>
            <w:tcBorders>
              <w:top w:val="single" w:color="auto" w:sz="4" w:space="0"/>
              <w:left w:val="single" w:color="auto" w:sz="4" w:space="0"/>
              <w:bottom w:val="single" w:color="auto" w:sz="4" w:space="0"/>
              <w:right w:val="single" w:color="auto" w:sz="4" w:space="0"/>
            </w:tcBorders>
            <w:vAlign w:val="center"/>
          </w:tcPr>
          <w:p w14:paraId="0F3AF693">
            <w:pPr>
              <w:pStyle w:val="59"/>
              <w:spacing w:before="0" w:beforeLines="0" w:after="0" w:afterLines="0"/>
              <w:rPr>
                <w:rFonts w:eastAsia="Times New Roman"/>
              </w:rPr>
            </w:pPr>
            <w:r>
              <w:rPr>
                <w:rFonts w:hint="eastAsia" w:ascii="宋体" w:hAnsi="宋体" w:eastAsia="Times New Roman"/>
              </w:rPr>
              <w:t>主变，</w:t>
            </w:r>
            <w:r>
              <w:rPr>
                <w:rFonts w:eastAsia="Times New Roman"/>
              </w:rPr>
              <w:t>GIS</w:t>
            </w:r>
            <w:r>
              <w:rPr>
                <w:rFonts w:hint="eastAsia" w:ascii="宋体" w:hAnsi="宋体" w:eastAsia="Times New Roman"/>
              </w:rPr>
              <w:t>：户外布置</w:t>
            </w:r>
          </w:p>
        </w:tc>
        <w:tc>
          <w:tcPr>
            <w:tcW w:w="2318" w:type="dxa"/>
            <w:tcBorders>
              <w:top w:val="single" w:color="auto" w:sz="4" w:space="0"/>
              <w:left w:val="single" w:color="auto" w:sz="4" w:space="0"/>
              <w:bottom w:val="single" w:color="auto" w:sz="4" w:space="0"/>
              <w:right w:val="single" w:color="auto" w:sz="4" w:space="0"/>
            </w:tcBorders>
            <w:vAlign w:val="center"/>
          </w:tcPr>
          <w:p w14:paraId="3E14D5AF">
            <w:pPr>
              <w:pStyle w:val="59"/>
              <w:spacing w:before="0" w:beforeLines="0" w:after="0" w:afterLines="0"/>
              <w:rPr>
                <w:rFonts w:eastAsia="Times New Roman"/>
              </w:rPr>
            </w:pPr>
            <w:r>
              <w:rPr>
                <w:rFonts w:hint="eastAsia" w:ascii="宋体" w:hAnsi="宋体" w:eastAsia="Times New Roman"/>
              </w:rPr>
              <w:t>主变，</w:t>
            </w:r>
            <w:r>
              <w:rPr>
                <w:rFonts w:eastAsia="Times New Roman"/>
              </w:rPr>
              <w:t>GIS</w:t>
            </w:r>
            <w:r>
              <w:rPr>
                <w:rFonts w:hint="eastAsia" w:ascii="宋体" w:hAnsi="宋体" w:eastAsia="Times New Roman"/>
              </w:rPr>
              <w:t>：户外布置</w:t>
            </w:r>
          </w:p>
        </w:tc>
        <w:tc>
          <w:tcPr>
            <w:tcW w:w="2626" w:type="dxa"/>
            <w:tcBorders>
              <w:top w:val="single" w:color="auto" w:sz="4" w:space="0"/>
              <w:left w:val="single" w:color="auto" w:sz="4" w:space="0"/>
              <w:bottom w:val="single" w:color="auto" w:sz="4" w:space="0"/>
              <w:right w:val="nil"/>
            </w:tcBorders>
            <w:vAlign w:val="center"/>
          </w:tcPr>
          <w:p w14:paraId="51329290">
            <w:pPr>
              <w:pStyle w:val="59"/>
              <w:spacing w:before="0" w:beforeLines="0" w:after="0" w:afterLines="0"/>
              <w:jc w:val="both"/>
              <w:rPr>
                <w:rFonts w:eastAsia="Times New Roman"/>
              </w:rPr>
            </w:pPr>
            <w:r>
              <w:rPr>
                <w:rFonts w:hint="eastAsia" w:ascii="宋体" w:hAnsi="宋体" w:eastAsia="Times New Roman"/>
              </w:rPr>
              <w:t>此项为关键因素。电气布置形式一致，可类比</w:t>
            </w:r>
          </w:p>
        </w:tc>
      </w:tr>
      <w:tr w14:paraId="72F5C1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1190" w:type="dxa"/>
            <w:tcBorders>
              <w:top w:val="single" w:color="auto" w:sz="4" w:space="0"/>
              <w:left w:val="nil"/>
              <w:bottom w:val="single" w:color="auto" w:sz="4" w:space="0"/>
              <w:right w:val="single" w:color="auto" w:sz="4" w:space="0"/>
            </w:tcBorders>
            <w:vAlign w:val="center"/>
          </w:tcPr>
          <w:p w14:paraId="13BFB383">
            <w:pPr>
              <w:pStyle w:val="59"/>
              <w:spacing w:before="0" w:beforeLines="0" w:after="0" w:afterLines="0"/>
              <w:rPr>
                <w:rFonts w:eastAsia="Times New Roman"/>
              </w:rPr>
            </w:pPr>
            <w:r>
              <w:rPr>
                <w:rFonts w:eastAsia="Times New Roman"/>
              </w:rPr>
              <w:t>220kV</w:t>
            </w:r>
            <w:r>
              <w:rPr>
                <w:rFonts w:hint="eastAsia" w:ascii="宋体" w:hAnsi="宋体" w:eastAsia="Times New Roman"/>
              </w:rPr>
              <w:t>出线数量和型式</w:t>
            </w:r>
          </w:p>
        </w:tc>
        <w:tc>
          <w:tcPr>
            <w:tcW w:w="2921" w:type="dxa"/>
            <w:tcBorders>
              <w:top w:val="single" w:color="auto" w:sz="4" w:space="0"/>
              <w:left w:val="single" w:color="auto" w:sz="4" w:space="0"/>
              <w:bottom w:val="single" w:color="auto" w:sz="4" w:space="0"/>
              <w:right w:val="single" w:color="auto" w:sz="4" w:space="0"/>
            </w:tcBorders>
            <w:vAlign w:val="center"/>
          </w:tcPr>
          <w:p w14:paraId="321F6EB0">
            <w:pPr>
              <w:pStyle w:val="59"/>
              <w:spacing w:before="0" w:beforeLines="0" w:after="0" w:afterLines="0"/>
              <w:rPr>
                <w:rFonts w:eastAsia="Times New Roman"/>
              </w:rPr>
            </w:pPr>
            <w:r>
              <w:rPr>
                <w:rFonts w:eastAsia="Times New Roman"/>
              </w:rPr>
              <w:t>6</w:t>
            </w:r>
            <w:r>
              <w:rPr>
                <w:rFonts w:hint="eastAsia" w:ascii="宋体" w:hAnsi="宋体" w:eastAsia="Times New Roman"/>
              </w:rPr>
              <w:t>回，架空出线</w:t>
            </w:r>
          </w:p>
        </w:tc>
        <w:tc>
          <w:tcPr>
            <w:tcW w:w="2318" w:type="dxa"/>
            <w:tcBorders>
              <w:top w:val="single" w:color="auto" w:sz="4" w:space="0"/>
              <w:left w:val="single" w:color="auto" w:sz="4" w:space="0"/>
              <w:bottom w:val="single" w:color="auto" w:sz="4" w:space="0"/>
              <w:right w:val="single" w:color="auto" w:sz="4" w:space="0"/>
            </w:tcBorders>
            <w:vAlign w:val="center"/>
          </w:tcPr>
          <w:p w14:paraId="4BE75DBF">
            <w:pPr>
              <w:pStyle w:val="59"/>
              <w:spacing w:before="0" w:beforeLines="0" w:after="0" w:afterLines="0"/>
              <w:rPr>
                <w:rFonts w:eastAsia="Times New Roman"/>
              </w:rPr>
            </w:pPr>
            <w:r>
              <w:rPr>
                <w:rFonts w:eastAsia="Times New Roman"/>
              </w:rPr>
              <w:t>1</w:t>
            </w:r>
            <w:r>
              <w:rPr>
                <w:rFonts w:hint="eastAsia" w:ascii="宋体" w:hAnsi="宋体" w:eastAsia="Times New Roman"/>
              </w:rPr>
              <w:t>回，架空出线</w:t>
            </w:r>
          </w:p>
        </w:tc>
        <w:tc>
          <w:tcPr>
            <w:tcW w:w="2626" w:type="dxa"/>
            <w:tcBorders>
              <w:top w:val="single" w:color="auto" w:sz="4" w:space="0"/>
              <w:left w:val="single" w:color="auto" w:sz="4" w:space="0"/>
              <w:bottom w:val="single" w:color="auto" w:sz="4" w:space="0"/>
              <w:right w:val="nil"/>
            </w:tcBorders>
            <w:vAlign w:val="center"/>
          </w:tcPr>
          <w:p w14:paraId="1408C155">
            <w:pPr>
              <w:pStyle w:val="59"/>
              <w:spacing w:before="0" w:beforeLines="0" w:after="0" w:afterLines="0"/>
              <w:jc w:val="both"/>
              <w:rPr>
                <w:rFonts w:eastAsia="Times New Roman"/>
              </w:rPr>
            </w:pPr>
            <w:r>
              <w:rPr>
                <w:rFonts w:hint="eastAsia" w:ascii="宋体" w:hAnsi="宋体" w:eastAsia="Times New Roman"/>
              </w:rPr>
              <w:t>此项为关键因素。本项目出线回数小于类比项目，按保守考虑可类比（送出线工程不在本次评价范围内）。</w:t>
            </w:r>
          </w:p>
        </w:tc>
      </w:tr>
      <w:tr w14:paraId="1D5F50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1190" w:type="dxa"/>
            <w:tcBorders>
              <w:top w:val="single" w:color="auto" w:sz="4" w:space="0"/>
              <w:left w:val="nil"/>
              <w:bottom w:val="single" w:color="auto" w:sz="4" w:space="0"/>
              <w:right w:val="single" w:color="auto" w:sz="4" w:space="0"/>
            </w:tcBorders>
            <w:vAlign w:val="center"/>
          </w:tcPr>
          <w:p w14:paraId="65524462">
            <w:pPr>
              <w:pStyle w:val="59"/>
              <w:spacing w:before="0" w:beforeLines="0" w:after="0" w:afterLines="0"/>
              <w:rPr>
                <w:rFonts w:eastAsia="Times New Roman"/>
              </w:rPr>
            </w:pPr>
            <w:r>
              <w:rPr>
                <w:rFonts w:hint="eastAsia" w:ascii="宋体" w:hAnsi="宋体" w:eastAsia="Times New Roman"/>
              </w:rPr>
              <w:t>占地面积</w:t>
            </w:r>
            <w:r>
              <w:rPr>
                <w:rFonts w:eastAsia="Times New Roman"/>
              </w:rPr>
              <w:t>m</w:t>
            </w:r>
            <w:r>
              <w:rPr>
                <w:rFonts w:eastAsia="Times New Roman"/>
                <w:vertAlign w:val="superscript"/>
              </w:rPr>
              <w:t>2</w:t>
            </w:r>
          </w:p>
        </w:tc>
        <w:tc>
          <w:tcPr>
            <w:tcW w:w="2921" w:type="dxa"/>
            <w:tcBorders>
              <w:top w:val="single" w:color="auto" w:sz="4" w:space="0"/>
              <w:left w:val="single" w:color="auto" w:sz="4" w:space="0"/>
              <w:bottom w:val="single" w:color="auto" w:sz="4" w:space="0"/>
              <w:right w:val="single" w:color="auto" w:sz="4" w:space="0"/>
            </w:tcBorders>
            <w:vAlign w:val="center"/>
          </w:tcPr>
          <w:p w14:paraId="3E9572CB">
            <w:pPr>
              <w:pStyle w:val="59"/>
              <w:spacing w:before="0" w:beforeLines="0" w:after="0" w:afterLines="0"/>
              <w:rPr>
                <w:rFonts w:eastAsia="Times New Roman"/>
              </w:rPr>
            </w:pPr>
            <w:r>
              <w:rPr>
                <w:rFonts w:eastAsia="Times New Roman"/>
              </w:rPr>
              <w:t>11500</w:t>
            </w:r>
          </w:p>
        </w:tc>
        <w:tc>
          <w:tcPr>
            <w:tcW w:w="2318" w:type="dxa"/>
            <w:tcBorders>
              <w:top w:val="single" w:color="auto" w:sz="4" w:space="0"/>
              <w:left w:val="single" w:color="auto" w:sz="4" w:space="0"/>
              <w:bottom w:val="single" w:color="auto" w:sz="4" w:space="0"/>
              <w:right w:val="single" w:color="auto" w:sz="4" w:space="0"/>
            </w:tcBorders>
            <w:vAlign w:val="center"/>
          </w:tcPr>
          <w:p w14:paraId="798EBE84">
            <w:pPr>
              <w:pStyle w:val="59"/>
              <w:spacing w:before="0" w:beforeLines="0" w:after="0" w:afterLines="0"/>
              <w:rPr>
                <w:rFonts w:eastAsia="Times New Roman"/>
              </w:rPr>
            </w:pPr>
            <w:r>
              <w:rPr>
                <w:rFonts w:eastAsia="Times New Roman"/>
              </w:rPr>
              <w:t>2906</w:t>
            </w:r>
            <w:r>
              <w:rPr>
                <w:rFonts w:hint="eastAsia" w:ascii="宋体" w:hAnsi="宋体" w:eastAsia="Times New Roman"/>
              </w:rPr>
              <w:t>升压站区）</w:t>
            </w:r>
          </w:p>
        </w:tc>
        <w:tc>
          <w:tcPr>
            <w:tcW w:w="2626" w:type="dxa"/>
            <w:tcBorders>
              <w:top w:val="single" w:color="auto" w:sz="4" w:space="0"/>
              <w:left w:val="single" w:color="auto" w:sz="4" w:space="0"/>
              <w:bottom w:val="single" w:color="auto" w:sz="4" w:space="0"/>
              <w:right w:val="nil"/>
            </w:tcBorders>
            <w:vAlign w:val="center"/>
          </w:tcPr>
          <w:p w14:paraId="2564D6A9">
            <w:pPr>
              <w:pStyle w:val="59"/>
              <w:spacing w:before="0" w:beforeLines="0" w:after="0" w:afterLines="0"/>
              <w:jc w:val="both"/>
              <w:rPr>
                <w:rFonts w:eastAsia="Times New Roman"/>
              </w:rPr>
            </w:pPr>
            <w:r>
              <w:rPr>
                <w:rFonts w:hint="eastAsia" w:ascii="宋体" w:hAnsi="宋体" w:eastAsia="Times New Roman"/>
              </w:rPr>
              <w:t>本项目升压站区占地面积小于类比项目，但占地面积为非关键因素，并且本项目升压站与四周厂界的距离为</w:t>
            </w:r>
            <w:r>
              <w:rPr>
                <w:rFonts w:eastAsia="Times New Roman"/>
              </w:rPr>
              <w:t>19～108</w:t>
            </w:r>
            <w:r>
              <w:rPr>
                <w:rFonts w:hint="eastAsia" w:ascii="宋体" w:hAnsi="宋体" w:eastAsia="Times New Roman"/>
              </w:rPr>
              <w:t>米，类比项目变电站与四周厂界的距离为</w:t>
            </w:r>
            <w:r>
              <w:rPr>
                <w:rFonts w:eastAsia="Times New Roman"/>
              </w:rPr>
              <w:t>19～65</w:t>
            </w:r>
            <w:r>
              <w:rPr>
                <w:rFonts w:hint="eastAsia" w:ascii="宋体" w:hAnsi="宋体" w:eastAsia="Times New Roman"/>
              </w:rPr>
              <w:t>米，类比项目变压站与厂界距离比本项目小，按保守考虑，可类比。</w:t>
            </w:r>
          </w:p>
        </w:tc>
      </w:tr>
      <w:tr w14:paraId="6CF50D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1190" w:type="dxa"/>
            <w:tcBorders>
              <w:top w:val="single" w:color="auto" w:sz="4" w:space="0"/>
              <w:left w:val="nil"/>
              <w:bottom w:val="single" w:color="auto" w:sz="4" w:space="0"/>
              <w:right w:val="single" w:color="auto" w:sz="4" w:space="0"/>
            </w:tcBorders>
            <w:vAlign w:val="center"/>
          </w:tcPr>
          <w:p w14:paraId="5AFDA1B1">
            <w:pPr>
              <w:pStyle w:val="59"/>
              <w:spacing w:before="0" w:beforeLines="0" w:after="0" w:afterLines="0"/>
              <w:rPr>
                <w:rFonts w:eastAsia="Times New Roman"/>
              </w:rPr>
            </w:pPr>
            <w:r>
              <w:rPr>
                <w:rFonts w:hint="eastAsia" w:ascii="宋体" w:hAnsi="宋体" w:eastAsia="Times New Roman"/>
              </w:rPr>
              <w:t>环境条件</w:t>
            </w:r>
          </w:p>
        </w:tc>
        <w:tc>
          <w:tcPr>
            <w:tcW w:w="2921" w:type="dxa"/>
            <w:tcBorders>
              <w:top w:val="single" w:color="auto" w:sz="4" w:space="0"/>
              <w:left w:val="single" w:color="auto" w:sz="4" w:space="0"/>
              <w:bottom w:val="single" w:color="auto" w:sz="4" w:space="0"/>
              <w:right w:val="single" w:color="auto" w:sz="4" w:space="0"/>
            </w:tcBorders>
            <w:vAlign w:val="center"/>
          </w:tcPr>
          <w:p w14:paraId="5A992785">
            <w:pPr>
              <w:pStyle w:val="59"/>
              <w:spacing w:before="0" w:beforeLines="0" w:after="0" w:afterLines="0"/>
              <w:jc w:val="both"/>
              <w:rPr>
                <w:rFonts w:eastAsia="Times New Roman"/>
              </w:rPr>
            </w:pPr>
            <w:r>
              <w:rPr>
                <w:rFonts w:hint="eastAsia" w:ascii="宋体" w:hAnsi="宋体" w:eastAsia="Times New Roman"/>
              </w:rPr>
              <w:t>变电站评价范围内无变电站、电视塔、广播电台、雷达、卫星通信、微波等产生影响电磁环境的设施。</w:t>
            </w:r>
          </w:p>
        </w:tc>
        <w:tc>
          <w:tcPr>
            <w:tcW w:w="2318" w:type="dxa"/>
            <w:tcBorders>
              <w:top w:val="single" w:color="auto" w:sz="4" w:space="0"/>
              <w:left w:val="single" w:color="auto" w:sz="4" w:space="0"/>
              <w:bottom w:val="single" w:color="auto" w:sz="4" w:space="0"/>
              <w:right w:val="single" w:color="auto" w:sz="4" w:space="0"/>
            </w:tcBorders>
            <w:vAlign w:val="center"/>
          </w:tcPr>
          <w:p w14:paraId="6370AFDA">
            <w:pPr>
              <w:pStyle w:val="59"/>
              <w:spacing w:before="0" w:beforeLines="0" w:after="0" w:afterLines="0"/>
              <w:jc w:val="both"/>
              <w:rPr>
                <w:rFonts w:eastAsia="Times New Roman"/>
              </w:rPr>
            </w:pPr>
            <w:r>
              <w:rPr>
                <w:rFonts w:hint="eastAsia" w:asciiTheme="minorEastAsia" w:hAnsiTheme="minorEastAsia" w:eastAsiaTheme="minorEastAsia"/>
              </w:rPr>
              <w:t>项目</w:t>
            </w:r>
            <w:r>
              <w:rPr>
                <w:rFonts w:hint="eastAsia" w:ascii="宋体" w:hAnsi="宋体" w:eastAsia="Times New Roman"/>
              </w:rPr>
              <w:t>评价范围内无变电站、电视塔、广播电台、雷达、卫星通信、微波等产生影响电磁环境的设施。</w:t>
            </w:r>
          </w:p>
        </w:tc>
        <w:tc>
          <w:tcPr>
            <w:tcW w:w="2626" w:type="dxa"/>
            <w:tcBorders>
              <w:top w:val="single" w:color="auto" w:sz="4" w:space="0"/>
              <w:left w:val="single" w:color="auto" w:sz="4" w:space="0"/>
              <w:bottom w:val="single" w:color="auto" w:sz="4" w:space="0"/>
              <w:right w:val="nil"/>
            </w:tcBorders>
            <w:vAlign w:val="center"/>
          </w:tcPr>
          <w:p w14:paraId="75C0B1BE">
            <w:pPr>
              <w:pStyle w:val="59"/>
              <w:spacing w:before="0" w:beforeLines="0" w:after="0" w:afterLines="0"/>
              <w:rPr>
                <w:rFonts w:eastAsia="Times New Roman"/>
              </w:rPr>
            </w:pPr>
            <w:r>
              <w:rPr>
                <w:rFonts w:hint="eastAsia" w:ascii="宋体" w:hAnsi="宋体" w:eastAsia="Times New Roman"/>
              </w:rPr>
              <w:t>相同</w:t>
            </w:r>
            <w:r>
              <w:rPr>
                <w:rFonts w:hint="eastAsia" w:ascii="宋体" w:hAnsi="宋体" w:eastAsia="宋体" w:cs="宋体"/>
              </w:rPr>
              <w:t>，</w:t>
            </w:r>
            <w:r>
              <w:rPr>
                <w:rFonts w:hint="eastAsia" w:ascii="宋体" w:hAnsi="宋体" w:eastAsia="Times New Roman"/>
              </w:rPr>
              <w:t>可类比。</w:t>
            </w:r>
          </w:p>
        </w:tc>
      </w:tr>
      <w:tr w14:paraId="612352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1190" w:type="dxa"/>
            <w:tcBorders>
              <w:top w:val="single" w:color="auto" w:sz="4" w:space="0"/>
              <w:left w:val="nil"/>
              <w:bottom w:val="single" w:color="auto" w:sz="12" w:space="0"/>
              <w:right w:val="single" w:color="auto" w:sz="4" w:space="0"/>
            </w:tcBorders>
            <w:vAlign w:val="center"/>
          </w:tcPr>
          <w:p w14:paraId="19E6AE23">
            <w:pPr>
              <w:pStyle w:val="59"/>
              <w:spacing w:before="0" w:beforeLines="0" w:after="0" w:afterLines="0"/>
              <w:rPr>
                <w:rFonts w:ascii="宋体" w:hAnsi="宋体" w:eastAsia="Times New Roman" w:cs="宋体"/>
              </w:rPr>
            </w:pPr>
            <w:r>
              <w:rPr>
                <w:rFonts w:hint="eastAsia" w:ascii="宋体" w:hAnsi="宋体" w:eastAsia="Times New Roman"/>
              </w:rPr>
              <w:t>运行工况</w:t>
            </w:r>
          </w:p>
        </w:tc>
        <w:tc>
          <w:tcPr>
            <w:tcW w:w="2921" w:type="dxa"/>
            <w:tcBorders>
              <w:top w:val="single" w:color="auto" w:sz="4" w:space="0"/>
              <w:left w:val="single" w:color="auto" w:sz="4" w:space="0"/>
              <w:bottom w:val="single" w:color="auto" w:sz="12" w:space="0"/>
              <w:right w:val="single" w:color="auto" w:sz="4" w:space="0"/>
            </w:tcBorders>
            <w:vAlign w:val="center"/>
          </w:tcPr>
          <w:p w14:paraId="66EC7099">
            <w:pPr>
              <w:pStyle w:val="59"/>
              <w:spacing w:before="0" w:beforeLines="0" w:after="0" w:afterLines="0"/>
              <w:rPr>
                <w:rFonts w:ascii="宋体" w:hAnsi="宋体" w:eastAsia="Times New Roman" w:cs="宋体"/>
              </w:rPr>
            </w:pPr>
            <w:r>
              <w:rPr>
                <w:rFonts w:hint="eastAsia" w:ascii="宋体" w:hAnsi="宋体" w:eastAsia="Times New Roman"/>
              </w:rPr>
              <w:t>正常运行</w:t>
            </w:r>
          </w:p>
        </w:tc>
        <w:tc>
          <w:tcPr>
            <w:tcW w:w="2318" w:type="dxa"/>
            <w:tcBorders>
              <w:top w:val="single" w:color="auto" w:sz="4" w:space="0"/>
              <w:left w:val="single" w:color="auto" w:sz="4" w:space="0"/>
              <w:bottom w:val="single" w:color="auto" w:sz="12" w:space="0"/>
              <w:right w:val="single" w:color="auto" w:sz="4" w:space="0"/>
            </w:tcBorders>
            <w:vAlign w:val="center"/>
          </w:tcPr>
          <w:p w14:paraId="2D07E4E9">
            <w:pPr>
              <w:pStyle w:val="59"/>
              <w:spacing w:before="0" w:beforeLines="0" w:after="0" w:afterLines="0"/>
              <w:rPr>
                <w:rFonts w:ascii="宋体" w:hAnsi="宋体" w:eastAsia="Times New Roman" w:cs="宋体"/>
              </w:rPr>
            </w:pPr>
            <w:r>
              <w:rPr>
                <w:rFonts w:hint="eastAsia" w:ascii="宋体" w:hAnsi="宋体" w:eastAsia="Times New Roman"/>
              </w:rPr>
              <w:t>正常运行</w:t>
            </w:r>
          </w:p>
        </w:tc>
        <w:tc>
          <w:tcPr>
            <w:tcW w:w="2626" w:type="dxa"/>
            <w:tcBorders>
              <w:top w:val="single" w:color="auto" w:sz="4" w:space="0"/>
              <w:left w:val="single" w:color="auto" w:sz="4" w:space="0"/>
              <w:bottom w:val="single" w:color="auto" w:sz="12" w:space="0"/>
              <w:right w:val="nil"/>
            </w:tcBorders>
            <w:vAlign w:val="center"/>
          </w:tcPr>
          <w:p w14:paraId="219E37D7">
            <w:pPr>
              <w:pStyle w:val="59"/>
              <w:spacing w:before="0" w:beforeLines="0" w:after="0" w:afterLines="0"/>
              <w:rPr>
                <w:rFonts w:ascii="宋体" w:hAnsi="宋体" w:eastAsia="Times New Roman" w:cs="宋体"/>
              </w:rPr>
            </w:pPr>
            <w:r>
              <w:rPr>
                <w:rFonts w:hint="eastAsia" w:ascii="宋体" w:hAnsi="宋体" w:eastAsia="Times New Roman"/>
              </w:rPr>
              <w:t>相同</w:t>
            </w:r>
            <w:r>
              <w:rPr>
                <w:rFonts w:eastAsia="Times New Roman"/>
              </w:rPr>
              <w:t>，</w:t>
            </w:r>
            <w:r>
              <w:rPr>
                <w:rFonts w:hint="eastAsia" w:ascii="宋体" w:hAnsi="宋体" w:eastAsia="Times New Roman"/>
              </w:rPr>
              <w:t>可类比。</w:t>
            </w:r>
          </w:p>
        </w:tc>
      </w:tr>
    </w:tbl>
    <w:p w14:paraId="16DA77DE">
      <w:pPr>
        <w:pStyle w:val="29"/>
      </w:pPr>
      <w:r>
        <w:rPr>
          <w:rFonts w:hint="eastAsia" w:ascii="宋体" w:hAnsi="宋体"/>
        </w:rPr>
        <w:t>由上表可知，本项目升压站和</w:t>
      </w:r>
      <w:r>
        <w:rPr>
          <w:rFonts w:hint="eastAsia" w:ascii="宋体" w:hAnsi="宋体"/>
          <w:bCs/>
        </w:rPr>
        <w:t>惠州</w:t>
      </w:r>
      <w:r>
        <w:rPr>
          <w:rFonts w:hint="eastAsia"/>
          <w:bCs/>
        </w:rPr>
        <w:t>220kV</w:t>
      </w:r>
      <w:r>
        <w:rPr>
          <w:rFonts w:hint="eastAsia" w:ascii="宋体" w:hAnsi="宋体"/>
          <w:bCs/>
        </w:rPr>
        <w:t>荣田变电站</w:t>
      </w:r>
      <w:r>
        <w:rPr>
          <w:rFonts w:hint="eastAsia" w:ascii="宋体" w:hAnsi="宋体"/>
        </w:rPr>
        <w:t>平面布置情况（均为户外布置）、电压等级（均为</w:t>
      </w:r>
      <w:r>
        <w:t>220kV</w:t>
      </w:r>
      <w:r>
        <w:rPr>
          <w:rFonts w:hint="eastAsia" w:ascii="宋体" w:hAnsi="宋体"/>
        </w:rPr>
        <w:t>）一致。</w:t>
      </w:r>
      <w:r>
        <w:rPr>
          <w:rFonts w:hint="eastAsia"/>
        </w:rPr>
        <w:t>2</w:t>
      </w:r>
      <w:r>
        <w:rPr>
          <w:rFonts w:hint="eastAsia" w:ascii="宋体" w:hAnsi="宋体"/>
        </w:rPr>
        <w:t>荣田变电站主变数量为</w:t>
      </w:r>
      <w:r>
        <w:rPr>
          <w:rFonts w:hint="eastAsia"/>
        </w:rPr>
        <w:t>3</w:t>
      </w:r>
      <w:r>
        <w:rPr>
          <w:rFonts w:hint="eastAsia" w:ascii="宋体" w:hAnsi="宋体"/>
        </w:rPr>
        <w:t>台，大于本项目升压站主变数量</w:t>
      </w:r>
      <w:r>
        <w:t>1</w:t>
      </w:r>
      <w:r>
        <w:rPr>
          <w:rFonts w:hint="eastAsia" w:ascii="宋体" w:hAnsi="宋体"/>
        </w:rPr>
        <w:t>台。荣田站的</w:t>
      </w:r>
      <w:r>
        <w:t>220kV</w:t>
      </w:r>
      <w:r>
        <w:rPr>
          <w:rFonts w:hint="eastAsia" w:ascii="宋体" w:hAnsi="宋体"/>
        </w:rPr>
        <w:t>出线方式为</w:t>
      </w:r>
      <w:r>
        <w:rPr>
          <w:rFonts w:hint="eastAsia"/>
        </w:rPr>
        <w:t>6</w:t>
      </w:r>
      <w:r>
        <w:rPr>
          <w:rFonts w:hint="eastAsia" w:ascii="宋体" w:hAnsi="宋体"/>
        </w:rPr>
        <w:t>回，大于本项目</w:t>
      </w:r>
      <w:r>
        <w:t>220kV</w:t>
      </w:r>
      <w:r>
        <w:rPr>
          <w:rFonts w:hint="eastAsia" w:ascii="宋体" w:hAnsi="宋体"/>
        </w:rPr>
        <w:t>出线方式</w:t>
      </w:r>
      <w:r>
        <w:t>1</w:t>
      </w:r>
      <w:r>
        <w:rPr>
          <w:rFonts w:hint="eastAsia" w:ascii="宋体" w:hAnsi="宋体"/>
        </w:rPr>
        <w:t>回。荣田站占地面积大于本项目。类比项目及本项目周边无其他设备干扰。因此，理论上荣田站工频电磁场对环境的影响比本的影响更大。</w:t>
      </w:r>
    </w:p>
    <w:p w14:paraId="6159B520">
      <w:pPr>
        <w:spacing w:line="360" w:lineRule="auto"/>
        <w:ind w:firstLine="480" w:firstLineChars="200"/>
      </w:pPr>
      <w:r>
        <w:rPr>
          <w:rFonts w:hint="eastAsia" w:ascii="宋体" w:hAnsi="宋体"/>
          <w:sz w:val="24"/>
        </w:rPr>
        <w:t>综上，采用</w:t>
      </w:r>
      <w:r>
        <w:rPr>
          <w:rFonts w:hint="eastAsia" w:ascii="宋体" w:hAnsi="宋体"/>
          <w:bCs/>
          <w:sz w:val="24"/>
        </w:rPr>
        <w:t>惠州</w:t>
      </w:r>
      <w:r>
        <w:rPr>
          <w:rFonts w:hint="eastAsia"/>
          <w:bCs/>
          <w:sz w:val="24"/>
        </w:rPr>
        <w:t>220kV</w:t>
      </w:r>
      <w:r>
        <w:rPr>
          <w:rFonts w:hint="eastAsia" w:ascii="宋体" w:hAnsi="宋体"/>
          <w:bCs/>
          <w:sz w:val="24"/>
        </w:rPr>
        <w:t>荣田变电站项目</w:t>
      </w:r>
      <w:r>
        <w:rPr>
          <w:rFonts w:hint="eastAsia" w:ascii="宋体" w:hAnsi="宋体"/>
          <w:sz w:val="24"/>
        </w:rPr>
        <w:t>类比预测本项目建成后的工频电场、工频磁场是合理可行的。</w:t>
      </w:r>
    </w:p>
    <w:p w14:paraId="2CD8E19A">
      <w:pPr>
        <w:spacing w:line="360" w:lineRule="auto"/>
        <w:rPr>
          <w:b/>
          <w:bCs/>
          <w:sz w:val="24"/>
        </w:rPr>
      </w:pPr>
      <w:r>
        <w:rPr>
          <w:b/>
          <w:bCs/>
          <w:sz w:val="24"/>
        </w:rPr>
        <w:t>7.1.2</w:t>
      </w:r>
      <w:r>
        <w:rPr>
          <w:rFonts w:hint="eastAsia"/>
          <w:b/>
          <w:bCs/>
          <w:sz w:val="24"/>
        </w:rPr>
        <w:t>类比监测</w:t>
      </w:r>
    </w:p>
    <w:p w14:paraId="10197BD3">
      <w:pPr>
        <w:spacing w:line="360" w:lineRule="auto"/>
        <w:ind w:firstLine="480" w:firstLineChars="200"/>
        <w:rPr>
          <w:sz w:val="24"/>
        </w:rPr>
      </w:pPr>
      <w:r>
        <w:rPr>
          <w:rFonts w:ascii="宋体" w:hAnsi="宋体"/>
          <w:bCs/>
          <w:sz w:val="24"/>
        </w:rPr>
        <w:t>（</w:t>
      </w:r>
      <w:r>
        <w:rPr>
          <w:bCs/>
          <w:sz w:val="24"/>
        </w:rPr>
        <w:t>1</w:t>
      </w:r>
      <w:r>
        <w:rPr>
          <w:rFonts w:ascii="宋体" w:hAnsi="宋体"/>
          <w:bCs/>
          <w:sz w:val="24"/>
        </w:rPr>
        <w:t>）监测方法</w:t>
      </w:r>
      <w:r>
        <w:rPr>
          <w:rFonts w:hint="eastAsia" w:ascii="宋体" w:hAnsi="宋体"/>
          <w:bCs/>
          <w:sz w:val="24"/>
        </w:rPr>
        <w:t>：</w:t>
      </w:r>
      <w:r>
        <w:rPr>
          <w:rFonts w:ascii="宋体" w:hAnsi="宋体"/>
          <w:sz w:val="24"/>
        </w:rPr>
        <w:t>《交流输变电工程电磁环境监测方法（试行）》（</w:t>
      </w:r>
      <w:r>
        <w:rPr>
          <w:sz w:val="24"/>
        </w:rPr>
        <w:t>HJ681-2013</w:t>
      </w:r>
      <w:r>
        <w:rPr>
          <w:rFonts w:ascii="宋体" w:hAnsi="宋体"/>
          <w:sz w:val="24"/>
        </w:rPr>
        <w:t>）</w:t>
      </w:r>
      <w:r>
        <w:rPr>
          <w:rFonts w:hint="eastAsia" w:ascii="宋体" w:hAnsi="宋体"/>
          <w:sz w:val="24"/>
        </w:rPr>
        <w:t>；</w:t>
      </w:r>
    </w:p>
    <w:p w14:paraId="580B4E97">
      <w:pPr>
        <w:spacing w:line="360" w:lineRule="auto"/>
        <w:ind w:firstLine="480" w:firstLineChars="200"/>
        <w:rPr>
          <w:sz w:val="24"/>
        </w:rPr>
      </w:pPr>
      <w:r>
        <w:rPr>
          <w:rFonts w:ascii="宋体" w:hAnsi="宋体"/>
          <w:sz w:val="24"/>
        </w:rPr>
        <w:t>（</w:t>
      </w:r>
      <w:r>
        <w:rPr>
          <w:sz w:val="24"/>
        </w:rPr>
        <w:t>2</w:t>
      </w:r>
      <w:r>
        <w:rPr>
          <w:rFonts w:ascii="宋体" w:hAnsi="宋体"/>
          <w:sz w:val="24"/>
        </w:rPr>
        <w:t>）测量仪器</w:t>
      </w:r>
      <w:r>
        <w:rPr>
          <w:rFonts w:hint="eastAsia" w:ascii="宋体" w:hAnsi="宋体"/>
          <w:sz w:val="24"/>
        </w:rPr>
        <w:t>：</w:t>
      </w:r>
      <w:r>
        <w:rPr>
          <w:rFonts w:ascii="宋体" w:hAnsi="宋体"/>
          <w:sz w:val="24"/>
        </w:rPr>
        <w:t>仪器名称：</w:t>
      </w:r>
      <w:r>
        <w:rPr>
          <w:rFonts w:hint="eastAsia"/>
          <w:sz w:val="24"/>
        </w:rPr>
        <w:t>NBM-550/EHP-50D</w:t>
      </w:r>
      <w:r>
        <w:rPr>
          <w:rFonts w:hint="eastAsia" w:ascii="宋体" w:hAnsi="宋体"/>
          <w:sz w:val="24"/>
        </w:rPr>
        <w:t>型综合场强测量仪；</w:t>
      </w:r>
    </w:p>
    <w:p w14:paraId="6FF46DCC">
      <w:pPr>
        <w:pStyle w:val="112"/>
        <w:spacing w:line="360" w:lineRule="auto"/>
        <w:ind w:firstLine="480" w:firstLineChars="200"/>
        <w:rPr>
          <w:sz w:val="24"/>
        </w:rPr>
      </w:pPr>
      <w:r>
        <w:rPr>
          <w:rFonts w:ascii="宋体" w:hAnsi="宋体"/>
          <w:sz w:val="24"/>
        </w:rPr>
        <w:t>（</w:t>
      </w:r>
      <w:r>
        <w:rPr>
          <w:sz w:val="24"/>
        </w:rPr>
        <w:t>3</w:t>
      </w:r>
      <w:r>
        <w:rPr>
          <w:rFonts w:ascii="宋体" w:hAnsi="宋体"/>
          <w:sz w:val="24"/>
        </w:rPr>
        <w:t>）监测单位</w:t>
      </w:r>
      <w:r>
        <w:rPr>
          <w:rFonts w:hint="eastAsia" w:ascii="宋体" w:hAnsi="宋体"/>
          <w:sz w:val="24"/>
        </w:rPr>
        <w:t>：广州穗证环境检测有限公司；</w:t>
      </w:r>
    </w:p>
    <w:p w14:paraId="6665F28D">
      <w:pPr>
        <w:spacing w:line="360" w:lineRule="auto"/>
        <w:ind w:firstLine="480" w:firstLineChars="200"/>
        <w:rPr>
          <w:bCs/>
          <w:sz w:val="24"/>
        </w:rPr>
      </w:pPr>
      <w:r>
        <w:rPr>
          <w:rFonts w:ascii="宋体" w:hAnsi="宋体"/>
          <w:bCs/>
          <w:sz w:val="24"/>
        </w:rPr>
        <w:t>（</w:t>
      </w:r>
      <w:r>
        <w:rPr>
          <w:bCs/>
          <w:sz w:val="24"/>
        </w:rPr>
        <w:t>4</w:t>
      </w:r>
      <w:r>
        <w:rPr>
          <w:rFonts w:ascii="宋体" w:hAnsi="宋体"/>
          <w:bCs/>
          <w:sz w:val="24"/>
        </w:rPr>
        <w:t>）测量布点</w:t>
      </w:r>
    </w:p>
    <w:p w14:paraId="20301A3E">
      <w:pPr>
        <w:spacing w:line="360" w:lineRule="auto"/>
        <w:ind w:firstLine="480" w:firstLineChars="200"/>
        <w:rPr>
          <w:bCs/>
          <w:sz w:val="24"/>
        </w:rPr>
      </w:pPr>
      <w:r>
        <w:rPr>
          <w:rFonts w:hint="eastAsia" w:ascii="宋体" w:hAnsi="宋体"/>
          <w:bCs/>
          <w:sz w:val="24"/>
        </w:rPr>
        <w:t>变电站四个边界及站内，以及以变电站南侧围墙为监测原点，沿垂直于围墙方向进行，测点间距</w:t>
      </w:r>
      <w:r>
        <w:rPr>
          <w:rFonts w:hint="eastAsia"/>
          <w:bCs/>
          <w:sz w:val="24"/>
        </w:rPr>
        <w:t>5m</w:t>
      </w:r>
      <w:r>
        <w:rPr>
          <w:rFonts w:hint="eastAsia" w:ascii="宋体" w:hAnsi="宋体"/>
          <w:bCs/>
          <w:sz w:val="24"/>
        </w:rPr>
        <w:t>，顺序测至围墙外</w:t>
      </w:r>
      <w:r>
        <w:rPr>
          <w:rFonts w:hint="eastAsia"/>
          <w:bCs/>
          <w:sz w:val="24"/>
        </w:rPr>
        <w:t>50m</w:t>
      </w:r>
      <w:r>
        <w:rPr>
          <w:rFonts w:hint="eastAsia" w:ascii="宋体" w:hAnsi="宋体"/>
          <w:bCs/>
          <w:sz w:val="24"/>
        </w:rPr>
        <w:t>处止。监测布点图见下图。具体</w:t>
      </w:r>
      <w:r>
        <w:rPr>
          <w:rFonts w:ascii="宋体" w:hAnsi="宋体"/>
          <w:bCs/>
          <w:sz w:val="24"/>
        </w:rPr>
        <w:t>布点图详见图</w:t>
      </w:r>
      <w:r>
        <w:rPr>
          <w:bCs/>
          <w:sz w:val="24"/>
        </w:rPr>
        <w:t>7.4-1</w:t>
      </w:r>
      <w:r>
        <w:rPr>
          <w:rFonts w:ascii="宋体" w:hAnsi="宋体"/>
          <w:bCs/>
          <w:sz w:val="24"/>
        </w:rPr>
        <w:t>。</w:t>
      </w:r>
    </w:p>
    <w:p w14:paraId="63EE1E7A">
      <w:pPr>
        <w:spacing w:line="360" w:lineRule="auto"/>
        <w:ind w:firstLine="480" w:firstLineChars="200"/>
        <w:rPr>
          <w:bCs/>
          <w:sz w:val="24"/>
        </w:rPr>
      </w:pPr>
      <w:r>
        <w:rPr>
          <w:rFonts w:ascii="宋体" w:hAnsi="宋体"/>
          <w:bCs/>
          <w:sz w:val="24"/>
        </w:rPr>
        <w:t>（</w:t>
      </w:r>
      <w:r>
        <w:rPr>
          <w:bCs/>
          <w:sz w:val="24"/>
        </w:rPr>
        <w:t>5</w:t>
      </w:r>
      <w:r>
        <w:rPr>
          <w:rFonts w:ascii="宋体" w:hAnsi="宋体"/>
          <w:bCs/>
          <w:sz w:val="24"/>
        </w:rPr>
        <w:t>）监测时间及气象状况</w:t>
      </w:r>
    </w:p>
    <w:p w14:paraId="1A8FF5C6">
      <w:pPr>
        <w:spacing w:line="360" w:lineRule="auto"/>
        <w:ind w:firstLine="480" w:firstLineChars="200"/>
        <w:rPr>
          <w:bCs/>
          <w:sz w:val="24"/>
        </w:rPr>
      </w:pPr>
      <w:r>
        <w:rPr>
          <w:rFonts w:hint="eastAsia"/>
          <w:bCs/>
          <w:sz w:val="24"/>
        </w:rPr>
        <w:t>2021</w:t>
      </w:r>
      <w:r>
        <w:rPr>
          <w:rFonts w:hint="eastAsia" w:ascii="宋体" w:hAnsi="宋体"/>
          <w:bCs/>
          <w:sz w:val="24"/>
        </w:rPr>
        <w:t>年</w:t>
      </w:r>
      <w:r>
        <w:rPr>
          <w:rFonts w:hint="eastAsia"/>
          <w:bCs/>
          <w:sz w:val="24"/>
        </w:rPr>
        <w:t>11</w:t>
      </w:r>
      <w:r>
        <w:rPr>
          <w:rFonts w:hint="eastAsia" w:ascii="宋体" w:hAnsi="宋体"/>
          <w:bCs/>
          <w:sz w:val="24"/>
        </w:rPr>
        <w:t>月</w:t>
      </w:r>
      <w:r>
        <w:rPr>
          <w:rFonts w:hint="eastAsia"/>
          <w:bCs/>
          <w:sz w:val="24"/>
        </w:rPr>
        <w:t>6</w:t>
      </w:r>
      <w:r>
        <w:rPr>
          <w:rFonts w:hint="eastAsia" w:ascii="宋体" w:hAnsi="宋体"/>
          <w:bCs/>
          <w:sz w:val="24"/>
        </w:rPr>
        <w:t>日</w:t>
      </w:r>
      <w:r>
        <w:rPr>
          <w:rFonts w:hint="eastAsia"/>
          <w:bCs/>
          <w:sz w:val="24"/>
        </w:rPr>
        <w:t>10</w:t>
      </w:r>
      <w:r>
        <w:rPr>
          <w:rFonts w:hint="eastAsia" w:ascii="宋体" w:hAnsi="宋体"/>
          <w:bCs/>
          <w:sz w:val="24"/>
        </w:rPr>
        <w:t>：</w:t>
      </w:r>
      <w:r>
        <w:rPr>
          <w:rFonts w:hint="eastAsia"/>
          <w:bCs/>
          <w:sz w:val="24"/>
        </w:rPr>
        <w:t>00~11</w:t>
      </w:r>
      <w:r>
        <w:rPr>
          <w:rFonts w:hint="eastAsia" w:ascii="宋体" w:hAnsi="宋体"/>
          <w:bCs/>
          <w:sz w:val="24"/>
        </w:rPr>
        <w:t>：</w:t>
      </w:r>
      <w:r>
        <w:rPr>
          <w:rFonts w:hint="eastAsia"/>
          <w:bCs/>
          <w:sz w:val="24"/>
        </w:rPr>
        <w:t>00</w:t>
      </w:r>
      <w:r>
        <w:rPr>
          <w:rFonts w:hint="eastAsia" w:ascii="宋体" w:hAnsi="宋体"/>
          <w:bCs/>
          <w:sz w:val="24"/>
        </w:rPr>
        <w:t>；天气多云，温度</w:t>
      </w:r>
      <w:r>
        <w:rPr>
          <w:rFonts w:hint="eastAsia"/>
          <w:bCs/>
          <w:sz w:val="24"/>
        </w:rPr>
        <w:t>19~31</w:t>
      </w:r>
      <w:r>
        <w:rPr>
          <w:rFonts w:hint="eastAsia" w:ascii="宋体" w:hAnsi="宋体"/>
          <w:bCs/>
          <w:sz w:val="24"/>
        </w:rPr>
        <w:t>℃，相对湿度</w:t>
      </w:r>
      <w:r>
        <w:rPr>
          <w:rFonts w:hint="eastAsia"/>
          <w:bCs/>
          <w:sz w:val="24"/>
        </w:rPr>
        <w:t>65%</w:t>
      </w:r>
      <w:r>
        <w:rPr>
          <w:rFonts w:hint="eastAsia" w:ascii="宋体" w:hAnsi="宋体"/>
          <w:bCs/>
          <w:sz w:val="24"/>
        </w:rPr>
        <w:t>，气压</w:t>
      </w:r>
      <w:r>
        <w:rPr>
          <w:rFonts w:hint="eastAsia"/>
          <w:bCs/>
          <w:sz w:val="24"/>
        </w:rPr>
        <w:t>101.8kPa</w:t>
      </w:r>
      <w:r>
        <w:rPr>
          <w:rFonts w:hint="eastAsia" w:ascii="宋体" w:hAnsi="宋体"/>
          <w:bCs/>
          <w:sz w:val="24"/>
        </w:rPr>
        <w:t>，风速</w:t>
      </w:r>
      <w:r>
        <w:rPr>
          <w:rFonts w:hint="eastAsia"/>
          <w:bCs/>
          <w:sz w:val="24"/>
        </w:rPr>
        <w:t>1.8m/s</w:t>
      </w:r>
      <w:r>
        <w:rPr>
          <w:rFonts w:ascii="宋体" w:hAnsi="宋体"/>
          <w:bCs/>
          <w:sz w:val="24"/>
        </w:rPr>
        <w:t>。</w:t>
      </w:r>
    </w:p>
    <w:p w14:paraId="118C45D8">
      <w:pPr>
        <w:widowControl/>
        <w:jc w:val="center"/>
        <w:rPr>
          <w:rFonts w:eastAsia="黑体"/>
          <w:bdr w:val="single" w:color="auto" w:sz="4" w:space="0"/>
        </w:rPr>
      </w:pPr>
      <w:r>
        <w:drawing>
          <wp:inline distT="0" distB="0" distL="0" distR="0">
            <wp:extent cx="5143500" cy="5153025"/>
            <wp:effectExtent l="0" t="0" r="0" b="9525"/>
            <wp:docPr id="1847403011" name="图片 1847403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403011" name="图片 1847403011"/>
                    <pic:cNvPicPr>
                      <a:picLocks noChangeAspect="1"/>
                    </pic:cNvPicPr>
                  </pic:nvPicPr>
                  <pic:blipFill>
                    <a:blip r:embed="rId26"/>
                    <a:stretch>
                      <a:fillRect/>
                    </a:stretch>
                  </pic:blipFill>
                  <pic:spPr>
                    <a:xfrm>
                      <a:off x="0" y="0"/>
                      <a:ext cx="5147020" cy="5156996"/>
                    </a:xfrm>
                    <a:prstGeom prst="rect">
                      <a:avLst/>
                    </a:prstGeom>
                  </pic:spPr>
                </pic:pic>
              </a:graphicData>
            </a:graphic>
          </wp:inline>
        </w:drawing>
      </w:r>
    </w:p>
    <w:p w14:paraId="422B169A">
      <w:pPr>
        <w:spacing w:line="360" w:lineRule="auto"/>
        <w:jc w:val="center"/>
        <w:rPr>
          <w:rFonts w:eastAsia="黑体"/>
          <w:b/>
          <w:bCs/>
          <w:sz w:val="24"/>
        </w:rPr>
      </w:pPr>
      <w:r>
        <w:rPr>
          <w:rFonts w:hint="eastAsia" w:eastAsia="黑体"/>
          <w:b/>
          <w:bCs/>
          <w:sz w:val="24"/>
        </w:rPr>
        <w:t>图</w:t>
      </w:r>
      <w:r>
        <w:rPr>
          <w:rFonts w:eastAsia="黑体"/>
          <w:b/>
          <w:bCs/>
          <w:sz w:val="24"/>
        </w:rPr>
        <w:t>7-1</w:t>
      </w:r>
      <w:r>
        <w:rPr>
          <w:rFonts w:hint="eastAsia" w:eastAsia="黑体"/>
          <w:b/>
          <w:bCs/>
          <w:sz w:val="24"/>
        </w:rPr>
        <w:t>惠州220kV荣田变电站监测布点示意图</w:t>
      </w:r>
    </w:p>
    <w:p w14:paraId="4050C400">
      <w:pPr>
        <w:spacing w:line="360" w:lineRule="auto"/>
        <w:ind w:firstLine="480" w:firstLineChars="200"/>
        <w:rPr>
          <w:bCs/>
          <w:sz w:val="24"/>
        </w:rPr>
      </w:pPr>
      <w:r>
        <w:rPr>
          <w:rFonts w:hint="eastAsia"/>
          <w:bCs/>
          <w:sz w:val="24"/>
        </w:rPr>
        <w:t>（</w:t>
      </w:r>
      <w:r>
        <w:rPr>
          <w:bCs/>
          <w:sz w:val="24"/>
        </w:rPr>
        <w:t>6</w:t>
      </w:r>
      <w:r>
        <w:rPr>
          <w:rFonts w:hint="eastAsia"/>
          <w:bCs/>
          <w:sz w:val="24"/>
        </w:rPr>
        <w:t>）监测期间运行工况</w:t>
      </w:r>
    </w:p>
    <w:p w14:paraId="057548DD">
      <w:pPr>
        <w:spacing w:before="120" w:beforeLines="50"/>
        <w:jc w:val="center"/>
        <w:rPr>
          <w:rFonts w:eastAsiaTheme="minorEastAsia"/>
          <w:b/>
          <w:sz w:val="24"/>
        </w:rPr>
      </w:pPr>
      <w:r>
        <w:rPr>
          <w:rFonts w:eastAsiaTheme="minorEastAsia"/>
          <w:b/>
          <w:sz w:val="24"/>
        </w:rPr>
        <w:t>表7-2</w:t>
      </w:r>
      <w:r>
        <w:rPr>
          <w:rFonts w:hint="eastAsia" w:eastAsiaTheme="minorEastAsia"/>
          <w:b/>
          <w:sz w:val="24"/>
        </w:rPr>
        <w:t>惠州220kV荣田变电站</w:t>
      </w:r>
      <w:r>
        <w:rPr>
          <w:rFonts w:eastAsiaTheme="minorEastAsia"/>
          <w:b/>
          <w:sz w:val="24"/>
        </w:rPr>
        <w:t>监测时运行工况一览表</w:t>
      </w:r>
    </w:p>
    <w:tbl>
      <w:tblPr>
        <w:tblStyle w:val="150"/>
        <w:tblW w:w="8952" w:type="dxa"/>
        <w:tblInd w:w="107"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1282"/>
        <w:gridCol w:w="2085"/>
        <w:gridCol w:w="1971"/>
        <w:gridCol w:w="1971"/>
      </w:tblGrid>
      <w:tr w14:paraId="503336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643" w:type="dxa"/>
            <w:tcBorders>
              <w:top w:val="single" w:color="auto" w:sz="12" w:space="0"/>
              <w:left w:val="nil"/>
              <w:bottom w:val="single" w:color="auto" w:sz="4" w:space="0"/>
              <w:right w:val="single" w:color="auto" w:sz="4" w:space="0"/>
            </w:tcBorders>
            <w:vAlign w:val="center"/>
          </w:tcPr>
          <w:p w14:paraId="63F93283">
            <w:pPr>
              <w:pStyle w:val="59"/>
              <w:spacing w:before="0" w:beforeLines="0" w:after="0" w:afterLines="0"/>
              <w:rPr>
                <w:rFonts w:hint="default" w:ascii="Times New Roman" w:eastAsia="宋体" w:cs="Times New Roman"/>
                <w:b/>
                <w:i w:val="0"/>
              </w:rPr>
            </w:pPr>
            <w:r>
              <w:rPr>
                <w:rFonts w:hint="default" w:ascii="宋体" w:hAnsi="宋体" w:eastAsia="宋体" w:cs="Times New Roman"/>
                <w:b w:val="0"/>
                <w:i w:val="0"/>
              </w:rPr>
              <w:t>项目</w:t>
            </w:r>
          </w:p>
        </w:tc>
        <w:tc>
          <w:tcPr>
            <w:tcW w:w="1282" w:type="dxa"/>
            <w:tcBorders>
              <w:top w:val="single" w:color="auto" w:sz="12" w:space="0"/>
              <w:left w:val="single" w:color="auto" w:sz="4" w:space="0"/>
              <w:bottom w:val="single" w:color="auto" w:sz="4" w:space="0"/>
              <w:right w:val="single" w:color="auto" w:sz="4" w:space="0"/>
            </w:tcBorders>
            <w:vAlign w:val="center"/>
          </w:tcPr>
          <w:p w14:paraId="701C2327">
            <w:pPr>
              <w:pStyle w:val="59"/>
              <w:spacing w:before="0" w:beforeLines="0" w:after="0" w:afterLines="0"/>
              <w:rPr>
                <w:rFonts w:hint="default" w:ascii="Times New Roman" w:eastAsia="宋体" w:cs="Times New Roman"/>
                <w:b w:val="0"/>
                <w:i w:val="0"/>
              </w:rPr>
            </w:pPr>
            <w:r>
              <w:rPr>
                <w:rFonts w:hint="default" w:ascii="宋体" w:hAnsi="宋体" w:eastAsia="宋体" w:cs="Times New Roman"/>
                <w:b w:val="0"/>
                <w:i w:val="0"/>
              </w:rPr>
              <w:t>电压</w:t>
            </w:r>
            <w:r>
              <w:rPr>
                <w:rFonts w:hint="eastAsia" w:ascii="Times New Roman" w:eastAsia="宋体" w:cs="Times New Roman"/>
                <w:b w:val="0"/>
                <w:i w:val="0"/>
              </w:rPr>
              <w:t>U</w:t>
            </w:r>
            <w:r>
              <w:rPr>
                <w:rFonts w:hint="default" w:ascii="Times New Roman" w:eastAsia="宋体" w:cs="Times New Roman"/>
                <w:b w:val="0"/>
                <w:i w:val="0"/>
              </w:rPr>
              <w:t>(kV)</w:t>
            </w:r>
          </w:p>
        </w:tc>
        <w:tc>
          <w:tcPr>
            <w:tcW w:w="2085" w:type="dxa"/>
            <w:tcBorders>
              <w:top w:val="single" w:color="auto" w:sz="12" w:space="0"/>
              <w:left w:val="single" w:color="auto" w:sz="4" w:space="0"/>
              <w:bottom w:val="single" w:color="auto" w:sz="4" w:space="0"/>
              <w:right w:val="single" w:color="auto" w:sz="4" w:space="0"/>
            </w:tcBorders>
            <w:vAlign w:val="center"/>
          </w:tcPr>
          <w:p w14:paraId="043A1BC0">
            <w:pPr>
              <w:pStyle w:val="59"/>
              <w:spacing w:before="0" w:beforeLines="0" w:after="0" w:afterLines="0"/>
              <w:rPr>
                <w:rFonts w:hint="default" w:ascii="Times New Roman" w:eastAsia="宋体" w:cs="Times New Roman"/>
                <w:b w:val="0"/>
                <w:i w:val="0"/>
              </w:rPr>
            </w:pPr>
            <w:r>
              <w:rPr>
                <w:rFonts w:hint="default" w:ascii="宋体" w:hAnsi="宋体" w:eastAsia="宋体" w:cs="Times New Roman"/>
                <w:b w:val="0"/>
                <w:i w:val="0"/>
              </w:rPr>
              <w:t>电流</w:t>
            </w:r>
            <w:r>
              <w:rPr>
                <w:rFonts w:hint="eastAsia" w:ascii="Times New Roman" w:eastAsia="宋体" w:cs="Times New Roman"/>
                <w:b w:val="0"/>
                <w:i w:val="0"/>
              </w:rPr>
              <w:t>I</w:t>
            </w:r>
            <w:r>
              <w:rPr>
                <w:rFonts w:hint="default" w:ascii="Times New Roman" w:eastAsia="宋体" w:cs="Times New Roman"/>
                <w:b w:val="0"/>
                <w:i w:val="0"/>
              </w:rPr>
              <w:t>(A)</w:t>
            </w:r>
          </w:p>
        </w:tc>
        <w:tc>
          <w:tcPr>
            <w:tcW w:w="1971" w:type="dxa"/>
            <w:tcBorders>
              <w:top w:val="single" w:color="auto" w:sz="12" w:space="0"/>
              <w:left w:val="single" w:color="auto" w:sz="4" w:space="0"/>
              <w:bottom w:val="single" w:color="auto" w:sz="4" w:space="0"/>
              <w:right w:val="single" w:color="auto" w:sz="4" w:space="0"/>
            </w:tcBorders>
            <w:vAlign w:val="center"/>
          </w:tcPr>
          <w:p w14:paraId="2F12D3E4">
            <w:pPr>
              <w:pStyle w:val="59"/>
              <w:spacing w:before="0" w:beforeLines="0" w:after="0" w:afterLines="0"/>
              <w:rPr>
                <w:rFonts w:hint="default" w:ascii="Times New Roman" w:eastAsia="宋体" w:cs="Times New Roman"/>
                <w:b w:val="0"/>
                <w:i w:val="0"/>
              </w:rPr>
            </w:pPr>
            <w:r>
              <w:rPr>
                <w:rFonts w:hint="default" w:ascii="宋体" w:hAnsi="宋体" w:eastAsia="宋体" w:cs="Times New Roman"/>
                <w:b w:val="0"/>
                <w:i w:val="0"/>
              </w:rPr>
              <w:t>有功功率</w:t>
            </w:r>
            <w:r>
              <w:rPr>
                <w:rFonts w:hint="eastAsia" w:ascii="Times New Roman" w:eastAsia="宋体" w:cs="Times New Roman"/>
                <w:b w:val="0"/>
                <w:i w:val="0"/>
              </w:rPr>
              <w:t>P</w:t>
            </w:r>
            <w:r>
              <w:rPr>
                <w:rFonts w:hint="default" w:ascii="Times New Roman" w:eastAsia="宋体" w:cs="Times New Roman"/>
                <w:b w:val="0"/>
                <w:i w:val="0"/>
              </w:rPr>
              <w:t>(MW)</w:t>
            </w:r>
          </w:p>
        </w:tc>
        <w:tc>
          <w:tcPr>
            <w:tcW w:w="1971" w:type="dxa"/>
            <w:tcBorders>
              <w:top w:val="single" w:color="auto" w:sz="12" w:space="0"/>
              <w:left w:val="single" w:color="auto" w:sz="4" w:space="0"/>
              <w:bottom w:val="single" w:color="auto" w:sz="4" w:space="0"/>
              <w:right w:val="nil"/>
            </w:tcBorders>
            <w:vAlign w:val="center"/>
          </w:tcPr>
          <w:p w14:paraId="7D8E95AF">
            <w:pPr>
              <w:pStyle w:val="59"/>
              <w:spacing w:before="0" w:beforeLines="0" w:after="0" w:afterLines="0"/>
              <w:rPr>
                <w:rFonts w:hint="default" w:ascii="Times New Roman" w:eastAsia="宋体" w:cs="Times New Roman"/>
                <w:b w:val="0"/>
                <w:i w:val="0"/>
              </w:rPr>
            </w:pPr>
            <w:r>
              <w:rPr>
                <w:rFonts w:hint="eastAsia" w:ascii="宋体" w:hAnsi="宋体" w:eastAsia="宋体" w:cs="Times New Roman"/>
                <w:b w:val="0"/>
                <w:i w:val="0"/>
              </w:rPr>
              <w:t>无</w:t>
            </w:r>
            <w:r>
              <w:rPr>
                <w:rFonts w:hint="default" w:ascii="宋体" w:hAnsi="宋体" w:eastAsia="宋体" w:cs="Times New Roman"/>
                <w:b w:val="0"/>
                <w:i w:val="0"/>
              </w:rPr>
              <w:t>功功率</w:t>
            </w:r>
            <w:r>
              <w:rPr>
                <w:rFonts w:hint="eastAsia" w:ascii="Times New Roman" w:eastAsia="宋体" w:cs="Times New Roman"/>
                <w:b w:val="0"/>
                <w:i w:val="0"/>
              </w:rPr>
              <w:t>P</w:t>
            </w:r>
            <w:r>
              <w:rPr>
                <w:rFonts w:hint="default" w:ascii="Times New Roman" w:eastAsia="宋体" w:cs="Times New Roman"/>
                <w:b w:val="0"/>
                <w:i w:val="0"/>
              </w:rPr>
              <w:t>(MVar)</w:t>
            </w:r>
          </w:p>
        </w:tc>
      </w:tr>
      <w:tr w14:paraId="51E812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643" w:type="dxa"/>
            <w:tcBorders>
              <w:top w:val="single" w:color="auto" w:sz="4" w:space="0"/>
              <w:left w:val="nil"/>
              <w:bottom w:val="single" w:color="auto" w:sz="4" w:space="0"/>
              <w:right w:val="single" w:color="auto" w:sz="4" w:space="0"/>
            </w:tcBorders>
            <w:vAlign w:val="center"/>
          </w:tcPr>
          <w:p w14:paraId="7D9D4143">
            <w:pPr>
              <w:pStyle w:val="59"/>
              <w:spacing w:before="0" w:beforeLines="0" w:after="0" w:afterLines="0"/>
              <w:rPr>
                <w:rFonts w:eastAsia="Times New Roman"/>
              </w:rPr>
            </w:pPr>
            <w:r>
              <w:rPr>
                <w:rFonts w:eastAsia="Times New Roman"/>
              </w:rPr>
              <w:t>1#</w:t>
            </w:r>
            <w:r>
              <w:rPr>
                <w:rFonts w:ascii="宋体" w:hAnsi="宋体" w:eastAsia="Times New Roman"/>
              </w:rPr>
              <w:t>主变</w:t>
            </w:r>
          </w:p>
        </w:tc>
        <w:tc>
          <w:tcPr>
            <w:tcW w:w="1282" w:type="dxa"/>
            <w:tcBorders>
              <w:top w:val="single" w:color="auto" w:sz="4" w:space="0"/>
              <w:left w:val="single" w:color="auto" w:sz="4" w:space="0"/>
              <w:bottom w:val="single" w:color="auto" w:sz="4" w:space="0"/>
              <w:right w:val="single" w:color="auto" w:sz="4" w:space="0"/>
            </w:tcBorders>
            <w:vAlign w:val="center"/>
          </w:tcPr>
          <w:p w14:paraId="29F02F04">
            <w:pPr>
              <w:pStyle w:val="59"/>
              <w:spacing w:before="0" w:beforeLines="0" w:after="0" w:afterLines="0"/>
              <w:rPr>
                <w:rFonts w:eastAsia="Times New Roman"/>
              </w:rPr>
            </w:pPr>
            <w:r>
              <w:rPr>
                <w:rFonts w:hint="eastAsia" w:eastAsia="Times New Roman"/>
              </w:rPr>
              <w:t>2</w:t>
            </w:r>
            <w:r>
              <w:rPr>
                <w:rFonts w:eastAsia="Times New Roman"/>
              </w:rPr>
              <w:t>22.56</w:t>
            </w:r>
          </w:p>
        </w:tc>
        <w:tc>
          <w:tcPr>
            <w:tcW w:w="2085" w:type="dxa"/>
            <w:tcBorders>
              <w:top w:val="single" w:color="auto" w:sz="4" w:space="0"/>
              <w:left w:val="single" w:color="auto" w:sz="4" w:space="0"/>
              <w:bottom w:val="single" w:color="auto" w:sz="4" w:space="0"/>
              <w:right w:val="single" w:color="auto" w:sz="4" w:space="0"/>
            </w:tcBorders>
            <w:vAlign w:val="center"/>
          </w:tcPr>
          <w:p w14:paraId="46872329">
            <w:pPr>
              <w:pStyle w:val="59"/>
              <w:spacing w:before="0" w:beforeLines="0" w:after="0" w:afterLines="0"/>
              <w:rPr>
                <w:rFonts w:eastAsia="Times New Roman"/>
              </w:rPr>
            </w:pPr>
            <w:r>
              <w:rPr>
                <w:rFonts w:hint="eastAsia" w:eastAsia="Times New Roman"/>
              </w:rPr>
              <w:t>2</w:t>
            </w:r>
            <w:r>
              <w:rPr>
                <w:rFonts w:eastAsia="Times New Roman"/>
              </w:rPr>
              <w:t>15.64</w:t>
            </w:r>
          </w:p>
        </w:tc>
        <w:tc>
          <w:tcPr>
            <w:tcW w:w="1971" w:type="dxa"/>
            <w:tcBorders>
              <w:top w:val="single" w:color="auto" w:sz="4" w:space="0"/>
              <w:left w:val="single" w:color="auto" w:sz="4" w:space="0"/>
              <w:bottom w:val="single" w:color="auto" w:sz="4" w:space="0"/>
              <w:right w:val="single" w:color="auto" w:sz="4" w:space="0"/>
            </w:tcBorders>
            <w:vAlign w:val="center"/>
          </w:tcPr>
          <w:p w14:paraId="1663F369">
            <w:pPr>
              <w:pStyle w:val="59"/>
              <w:spacing w:before="0" w:beforeLines="0" w:after="0" w:afterLines="0"/>
              <w:rPr>
                <w:rFonts w:eastAsia="Times New Roman"/>
              </w:rPr>
            </w:pPr>
            <w:r>
              <w:rPr>
                <w:rFonts w:hint="eastAsia" w:eastAsia="Times New Roman"/>
              </w:rPr>
              <w:t>4</w:t>
            </w:r>
            <w:r>
              <w:rPr>
                <w:rFonts w:eastAsia="Times New Roman"/>
              </w:rPr>
              <w:t>5.26</w:t>
            </w:r>
          </w:p>
        </w:tc>
        <w:tc>
          <w:tcPr>
            <w:tcW w:w="1971" w:type="dxa"/>
            <w:tcBorders>
              <w:top w:val="single" w:color="auto" w:sz="4" w:space="0"/>
              <w:left w:val="single" w:color="auto" w:sz="4" w:space="0"/>
              <w:bottom w:val="single" w:color="auto" w:sz="4" w:space="0"/>
              <w:right w:val="nil"/>
            </w:tcBorders>
            <w:vAlign w:val="center"/>
          </w:tcPr>
          <w:p w14:paraId="251164D3">
            <w:pPr>
              <w:pStyle w:val="59"/>
              <w:spacing w:before="0" w:beforeLines="0" w:after="0" w:afterLines="0"/>
              <w:rPr>
                <w:rFonts w:eastAsia="Times New Roman"/>
              </w:rPr>
            </w:pPr>
            <w:r>
              <w:rPr>
                <w:rFonts w:hint="eastAsia" w:eastAsia="Times New Roman"/>
              </w:rPr>
              <w:t>8</w:t>
            </w:r>
            <w:r>
              <w:rPr>
                <w:rFonts w:eastAsia="Times New Roman"/>
              </w:rPr>
              <w:t>.5</w:t>
            </w:r>
          </w:p>
        </w:tc>
      </w:tr>
      <w:tr w14:paraId="13595D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643" w:type="dxa"/>
            <w:tcBorders>
              <w:top w:val="single" w:color="auto" w:sz="4" w:space="0"/>
              <w:left w:val="nil"/>
              <w:bottom w:val="single" w:color="auto" w:sz="4" w:space="0"/>
              <w:right w:val="single" w:color="auto" w:sz="4" w:space="0"/>
            </w:tcBorders>
            <w:vAlign w:val="top"/>
          </w:tcPr>
          <w:p w14:paraId="73E39B0A">
            <w:pPr>
              <w:pStyle w:val="59"/>
              <w:spacing w:before="0" w:beforeLines="0" w:after="0" w:afterLines="0"/>
              <w:rPr>
                <w:rFonts w:eastAsia="Times New Roman"/>
              </w:rPr>
            </w:pPr>
            <w:r>
              <w:rPr>
                <w:rFonts w:eastAsia="Times New Roman"/>
              </w:rPr>
              <w:t>2#</w:t>
            </w:r>
            <w:r>
              <w:rPr>
                <w:rFonts w:ascii="宋体" w:hAnsi="宋体" w:eastAsia="Times New Roman"/>
              </w:rPr>
              <w:t>主变</w:t>
            </w:r>
          </w:p>
        </w:tc>
        <w:tc>
          <w:tcPr>
            <w:tcW w:w="1282" w:type="dxa"/>
            <w:tcBorders>
              <w:top w:val="single" w:color="auto" w:sz="4" w:space="0"/>
              <w:left w:val="single" w:color="auto" w:sz="4" w:space="0"/>
              <w:bottom w:val="single" w:color="auto" w:sz="4" w:space="0"/>
              <w:right w:val="single" w:color="auto" w:sz="4" w:space="0"/>
            </w:tcBorders>
            <w:vAlign w:val="center"/>
          </w:tcPr>
          <w:p w14:paraId="699E7FFC">
            <w:pPr>
              <w:pStyle w:val="59"/>
              <w:spacing w:before="0" w:beforeLines="0" w:after="0" w:afterLines="0"/>
              <w:rPr>
                <w:rFonts w:eastAsia="Times New Roman"/>
              </w:rPr>
            </w:pPr>
            <w:r>
              <w:rPr>
                <w:rFonts w:hint="eastAsia" w:eastAsia="Times New Roman"/>
              </w:rPr>
              <w:t>2</w:t>
            </w:r>
            <w:r>
              <w:rPr>
                <w:rFonts w:eastAsia="Times New Roman"/>
              </w:rPr>
              <w:t>18.93</w:t>
            </w:r>
          </w:p>
        </w:tc>
        <w:tc>
          <w:tcPr>
            <w:tcW w:w="2085" w:type="dxa"/>
            <w:tcBorders>
              <w:top w:val="single" w:color="auto" w:sz="4" w:space="0"/>
              <w:left w:val="single" w:color="auto" w:sz="4" w:space="0"/>
              <w:bottom w:val="single" w:color="auto" w:sz="4" w:space="0"/>
              <w:right w:val="single" w:color="auto" w:sz="4" w:space="0"/>
            </w:tcBorders>
            <w:vAlign w:val="center"/>
          </w:tcPr>
          <w:p w14:paraId="1FFFABC0">
            <w:pPr>
              <w:pStyle w:val="59"/>
              <w:spacing w:before="0" w:beforeLines="0" w:after="0" w:afterLines="0"/>
              <w:rPr>
                <w:rFonts w:eastAsia="Times New Roman"/>
              </w:rPr>
            </w:pPr>
            <w:r>
              <w:rPr>
                <w:rFonts w:eastAsia="Times New Roman"/>
              </w:rPr>
              <w:t>213.52</w:t>
            </w:r>
          </w:p>
        </w:tc>
        <w:tc>
          <w:tcPr>
            <w:tcW w:w="1971" w:type="dxa"/>
            <w:tcBorders>
              <w:top w:val="single" w:color="auto" w:sz="4" w:space="0"/>
              <w:left w:val="single" w:color="auto" w:sz="4" w:space="0"/>
              <w:bottom w:val="single" w:color="auto" w:sz="4" w:space="0"/>
              <w:right w:val="single" w:color="auto" w:sz="4" w:space="0"/>
            </w:tcBorders>
            <w:vAlign w:val="center"/>
          </w:tcPr>
          <w:p w14:paraId="27961483">
            <w:pPr>
              <w:pStyle w:val="59"/>
              <w:spacing w:before="0" w:beforeLines="0" w:after="0" w:afterLines="0"/>
              <w:rPr>
                <w:rFonts w:eastAsia="Times New Roman"/>
              </w:rPr>
            </w:pPr>
            <w:r>
              <w:rPr>
                <w:rFonts w:hint="eastAsia" w:eastAsia="Times New Roman"/>
              </w:rPr>
              <w:t>4</w:t>
            </w:r>
            <w:r>
              <w:rPr>
                <w:rFonts w:eastAsia="Times New Roman"/>
              </w:rPr>
              <w:t>1.18</w:t>
            </w:r>
          </w:p>
        </w:tc>
        <w:tc>
          <w:tcPr>
            <w:tcW w:w="1971" w:type="dxa"/>
            <w:tcBorders>
              <w:top w:val="single" w:color="auto" w:sz="4" w:space="0"/>
              <w:left w:val="single" w:color="auto" w:sz="4" w:space="0"/>
              <w:bottom w:val="single" w:color="auto" w:sz="4" w:space="0"/>
              <w:right w:val="nil"/>
            </w:tcBorders>
            <w:vAlign w:val="center"/>
          </w:tcPr>
          <w:p w14:paraId="688479DB">
            <w:pPr>
              <w:pStyle w:val="59"/>
              <w:spacing w:before="0" w:beforeLines="0" w:after="0" w:afterLines="0"/>
              <w:rPr>
                <w:rFonts w:eastAsia="Times New Roman"/>
              </w:rPr>
            </w:pPr>
            <w:r>
              <w:rPr>
                <w:rFonts w:hint="eastAsia" w:eastAsia="Times New Roman"/>
              </w:rPr>
              <w:t>7</w:t>
            </w:r>
            <w:r>
              <w:rPr>
                <w:rFonts w:eastAsia="Times New Roman"/>
              </w:rPr>
              <w:t>.4</w:t>
            </w:r>
          </w:p>
        </w:tc>
      </w:tr>
      <w:tr w14:paraId="68CA2A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643" w:type="dxa"/>
            <w:tcBorders>
              <w:top w:val="single" w:color="auto" w:sz="4" w:space="0"/>
              <w:left w:val="nil"/>
              <w:bottom w:val="single" w:color="auto" w:sz="12" w:space="0"/>
              <w:right w:val="single" w:color="auto" w:sz="4" w:space="0"/>
            </w:tcBorders>
            <w:vAlign w:val="top"/>
          </w:tcPr>
          <w:p w14:paraId="1F85F62B">
            <w:pPr>
              <w:pStyle w:val="59"/>
              <w:spacing w:before="0" w:beforeLines="0" w:after="0" w:afterLines="0"/>
              <w:rPr>
                <w:rFonts w:eastAsia="Times New Roman"/>
              </w:rPr>
            </w:pPr>
            <w:r>
              <w:rPr>
                <w:rFonts w:eastAsia="Times New Roman"/>
              </w:rPr>
              <w:t>3#</w:t>
            </w:r>
            <w:r>
              <w:rPr>
                <w:rFonts w:ascii="宋体" w:hAnsi="宋体" w:eastAsia="Times New Roman"/>
              </w:rPr>
              <w:t>主变</w:t>
            </w:r>
          </w:p>
        </w:tc>
        <w:tc>
          <w:tcPr>
            <w:tcW w:w="1282" w:type="dxa"/>
            <w:tcBorders>
              <w:top w:val="single" w:color="auto" w:sz="4" w:space="0"/>
              <w:left w:val="single" w:color="auto" w:sz="4" w:space="0"/>
              <w:bottom w:val="single" w:color="auto" w:sz="12" w:space="0"/>
              <w:right w:val="single" w:color="auto" w:sz="4" w:space="0"/>
            </w:tcBorders>
            <w:vAlign w:val="center"/>
          </w:tcPr>
          <w:p w14:paraId="21E0A0C4">
            <w:pPr>
              <w:pStyle w:val="59"/>
              <w:spacing w:before="0" w:beforeLines="0" w:after="0" w:afterLines="0"/>
              <w:rPr>
                <w:rFonts w:eastAsia="Times New Roman"/>
              </w:rPr>
            </w:pPr>
            <w:r>
              <w:rPr>
                <w:rFonts w:hint="eastAsia" w:eastAsia="Times New Roman"/>
              </w:rPr>
              <w:t>2</w:t>
            </w:r>
            <w:r>
              <w:rPr>
                <w:rFonts w:eastAsia="Times New Roman"/>
              </w:rPr>
              <w:t>19.55</w:t>
            </w:r>
          </w:p>
        </w:tc>
        <w:tc>
          <w:tcPr>
            <w:tcW w:w="2085" w:type="dxa"/>
            <w:tcBorders>
              <w:top w:val="single" w:color="auto" w:sz="4" w:space="0"/>
              <w:left w:val="single" w:color="auto" w:sz="4" w:space="0"/>
              <w:bottom w:val="single" w:color="auto" w:sz="12" w:space="0"/>
              <w:right w:val="single" w:color="auto" w:sz="4" w:space="0"/>
            </w:tcBorders>
            <w:vAlign w:val="center"/>
          </w:tcPr>
          <w:p w14:paraId="357B779E">
            <w:pPr>
              <w:pStyle w:val="59"/>
              <w:spacing w:before="0" w:beforeLines="0" w:after="0" w:afterLines="0"/>
              <w:rPr>
                <w:rFonts w:eastAsia="Times New Roman"/>
              </w:rPr>
            </w:pPr>
            <w:r>
              <w:rPr>
                <w:rFonts w:hint="eastAsia" w:eastAsia="Times New Roman"/>
              </w:rPr>
              <w:t>2</w:t>
            </w:r>
            <w:r>
              <w:rPr>
                <w:rFonts w:eastAsia="Times New Roman"/>
              </w:rPr>
              <w:t>13.29</w:t>
            </w:r>
          </w:p>
        </w:tc>
        <w:tc>
          <w:tcPr>
            <w:tcW w:w="1971" w:type="dxa"/>
            <w:tcBorders>
              <w:top w:val="single" w:color="auto" w:sz="4" w:space="0"/>
              <w:left w:val="single" w:color="auto" w:sz="4" w:space="0"/>
              <w:bottom w:val="single" w:color="auto" w:sz="12" w:space="0"/>
              <w:right w:val="single" w:color="auto" w:sz="4" w:space="0"/>
            </w:tcBorders>
            <w:vAlign w:val="center"/>
          </w:tcPr>
          <w:p w14:paraId="17516EA7">
            <w:pPr>
              <w:pStyle w:val="59"/>
              <w:spacing w:before="0" w:beforeLines="0" w:after="0" w:afterLines="0"/>
              <w:rPr>
                <w:rFonts w:eastAsia="Times New Roman"/>
              </w:rPr>
            </w:pPr>
            <w:r>
              <w:rPr>
                <w:rFonts w:hint="eastAsia" w:eastAsia="Times New Roman"/>
              </w:rPr>
              <w:t>4</w:t>
            </w:r>
            <w:r>
              <w:rPr>
                <w:rFonts w:eastAsia="Times New Roman"/>
              </w:rPr>
              <w:t>1.44</w:t>
            </w:r>
          </w:p>
        </w:tc>
        <w:tc>
          <w:tcPr>
            <w:tcW w:w="1971" w:type="dxa"/>
            <w:tcBorders>
              <w:top w:val="single" w:color="auto" w:sz="4" w:space="0"/>
              <w:left w:val="single" w:color="auto" w:sz="4" w:space="0"/>
              <w:bottom w:val="single" w:color="auto" w:sz="12" w:space="0"/>
              <w:right w:val="nil"/>
            </w:tcBorders>
            <w:vAlign w:val="center"/>
          </w:tcPr>
          <w:p w14:paraId="7B131EFB">
            <w:pPr>
              <w:pStyle w:val="59"/>
              <w:spacing w:before="0" w:beforeLines="0" w:after="0" w:afterLines="0"/>
              <w:rPr>
                <w:rFonts w:eastAsia="Times New Roman"/>
              </w:rPr>
            </w:pPr>
            <w:r>
              <w:rPr>
                <w:rFonts w:hint="eastAsia" w:eastAsia="Times New Roman"/>
              </w:rPr>
              <w:t>7</w:t>
            </w:r>
            <w:r>
              <w:rPr>
                <w:rFonts w:eastAsia="Times New Roman"/>
              </w:rPr>
              <w:t>.3</w:t>
            </w:r>
          </w:p>
        </w:tc>
      </w:tr>
    </w:tbl>
    <w:p w14:paraId="3D852684">
      <w:pPr>
        <w:pStyle w:val="5"/>
      </w:pPr>
      <w:r>
        <w:t>7.4</w:t>
      </w:r>
      <w:r>
        <w:rPr>
          <w:rFonts w:hint="eastAsia"/>
        </w:rPr>
        <w:t>类比监测结果与评价</w:t>
      </w:r>
    </w:p>
    <w:p w14:paraId="4763A433">
      <w:pPr>
        <w:pStyle w:val="11"/>
        <w:numPr>
          <w:ilvl w:val="0"/>
          <w:numId w:val="0"/>
        </w:numPr>
        <w:spacing w:after="0" w:line="360" w:lineRule="auto"/>
        <w:ind w:firstLine="480" w:firstLineChars="200"/>
        <w:rPr>
          <w:color w:val="auto"/>
          <w:szCs w:val="24"/>
        </w:rPr>
      </w:pPr>
      <w:r>
        <w:rPr>
          <w:rFonts w:hint="eastAsia"/>
          <w:bCs/>
          <w:color w:val="auto"/>
          <w:szCs w:val="24"/>
        </w:rPr>
        <w:t>惠州220kV荣田变电站</w:t>
      </w:r>
      <w:r>
        <w:rPr>
          <w:rFonts w:hint="eastAsia"/>
          <w:color w:val="auto"/>
          <w:szCs w:val="24"/>
        </w:rPr>
        <w:t>工频电场强度和工频磁感应强度类比监测结果见表</w:t>
      </w:r>
      <w:r>
        <w:rPr>
          <w:color w:val="auto"/>
          <w:szCs w:val="24"/>
        </w:rPr>
        <w:t>7-3</w:t>
      </w:r>
      <w:r>
        <w:rPr>
          <w:rFonts w:hint="eastAsia"/>
          <w:color w:val="auto"/>
          <w:szCs w:val="24"/>
        </w:rPr>
        <w:t>。监测报告见附件7。</w:t>
      </w:r>
    </w:p>
    <w:p w14:paraId="60230637">
      <w:pPr>
        <w:jc w:val="center"/>
        <w:rPr>
          <w:rFonts w:eastAsiaTheme="minorEastAsia"/>
          <w:b/>
          <w:sz w:val="24"/>
        </w:rPr>
      </w:pPr>
      <w:r>
        <w:rPr>
          <w:rFonts w:hint="eastAsia" w:eastAsiaTheme="minorEastAsia"/>
          <w:b/>
          <w:sz w:val="24"/>
        </w:rPr>
        <w:t>表</w:t>
      </w:r>
      <w:r>
        <w:rPr>
          <w:rFonts w:eastAsiaTheme="minorEastAsia"/>
          <w:b/>
          <w:sz w:val="24"/>
        </w:rPr>
        <w:t>7-3</w:t>
      </w:r>
      <w:r>
        <w:rPr>
          <w:rFonts w:hint="eastAsia" w:eastAsiaTheme="minorEastAsia"/>
          <w:b/>
          <w:sz w:val="24"/>
        </w:rPr>
        <w:t>惠州220kV荣田变电站类比监测结果</w:t>
      </w:r>
    </w:p>
    <w:tbl>
      <w:tblPr>
        <w:tblStyle w:val="13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962"/>
        <w:gridCol w:w="2977"/>
        <w:gridCol w:w="2085"/>
        <w:gridCol w:w="2282"/>
      </w:tblGrid>
      <w:tr w14:paraId="261501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33" w:hRule="atLeast"/>
        </w:trPr>
        <w:tc>
          <w:tcPr>
            <w:tcW w:w="579" w:type="pct"/>
            <w:tcBorders>
              <w:top w:val="single" w:color="auto" w:sz="12" w:space="0"/>
              <w:left w:val="nil"/>
              <w:bottom w:val="single" w:color="auto" w:sz="4" w:space="0"/>
              <w:right w:val="single" w:color="auto" w:sz="4" w:space="0"/>
            </w:tcBorders>
            <w:vAlign w:val="center"/>
          </w:tcPr>
          <w:p w14:paraId="669225D6">
            <w:pPr>
              <w:pStyle w:val="59"/>
            </w:pPr>
            <w:r>
              <w:rPr>
                <w:rFonts w:hint="eastAsia" w:ascii="宋体" w:hAnsi="宋体"/>
              </w:rPr>
              <w:t>测点</w:t>
            </w:r>
          </w:p>
          <w:p w14:paraId="0A2C889E">
            <w:pPr>
              <w:pStyle w:val="59"/>
            </w:pPr>
            <w:r>
              <w:rPr>
                <w:rFonts w:hint="eastAsia" w:ascii="宋体" w:hAnsi="宋体"/>
              </w:rPr>
              <w:t>编号</w:t>
            </w:r>
          </w:p>
        </w:tc>
        <w:tc>
          <w:tcPr>
            <w:tcW w:w="1792" w:type="pct"/>
            <w:tcBorders>
              <w:top w:val="single" w:color="auto" w:sz="12" w:space="0"/>
              <w:left w:val="single" w:color="auto" w:sz="4" w:space="0"/>
              <w:bottom w:val="single" w:color="auto" w:sz="4" w:space="0"/>
              <w:right w:val="single" w:color="auto" w:sz="4" w:space="0"/>
            </w:tcBorders>
            <w:vAlign w:val="center"/>
          </w:tcPr>
          <w:p w14:paraId="12DBFFD5">
            <w:pPr>
              <w:pStyle w:val="59"/>
            </w:pPr>
            <w:r>
              <w:rPr>
                <w:rFonts w:hint="eastAsia" w:ascii="宋体" w:hAnsi="宋体"/>
              </w:rPr>
              <w:t>监测点名称</w:t>
            </w:r>
          </w:p>
        </w:tc>
        <w:tc>
          <w:tcPr>
            <w:tcW w:w="1255" w:type="pct"/>
            <w:tcBorders>
              <w:top w:val="single" w:color="auto" w:sz="12" w:space="0"/>
              <w:left w:val="single" w:color="auto" w:sz="4" w:space="0"/>
              <w:bottom w:val="single" w:color="auto" w:sz="4" w:space="0"/>
              <w:right w:val="single" w:color="auto" w:sz="4" w:space="0"/>
            </w:tcBorders>
            <w:vAlign w:val="center"/>
          </w:tcPr>
          <w:p w14:paraId="27D680AF">
            <w:pPr>
              <w:pStyle w:val="59"/>
            </w:pPr>
            <w:r>
              <w:rPr>
                <w:rFonts w:hint="eastAsia" w:ascii="宋体" w:hAnsi="宋体"/>
              </w:rPr>
              <w:t>工频电场强度</w:t>
            </w:r>
            <w:r>
              <w:t>(V/m)</w:t>
            </w:r>
          </w:p>
        </w:tc>
        <w:tc>
          <w:tcPr>
            <w:tcW w:w="1373" w:type="pct"/>
            <w:tcBorders>
              <w:top w:val="single" w:color="auto" w:sz="12" w:space="0"/>
              <w:left w:val="single" w:color="auto" w:sz="4" w:space="0"/>
              <w:bottom w:val="single" w:color="auto" w:sz="4" w:space="0"/>
              <w:right w:val="nil"/>
            </w:tcBorders>
            <w:vAlign w:val="center"/>
          </w:tcPr>
          <w:p w14:paraId="57D7D8D9">
            <w:pPr>
              <w:pStyle w:val="59"/>
            </w:pPr>
            <w:r>
              <w:rPr>
                <w:rFonts w:hint="eastAsia" w:ascii="宋体" w:hAnsi="宋体"/>
              </w:rPr>
              <w:t>工频磁感应强度</w:t>
            </w:r>
            <w:r>
              <w:t>(μT)</w:t>
            </w:r>
          </w:p>
        </w:tc>
      </w:tr>
      <w:tr w14:paraId="60C10E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atLeast"/>
        </w:trPr>
        <w:tc>
          <w:tcPr>
            <w:tcW w:w="5000" w:type="pct"/>
            <w:gridSpan w:val="4"/>
            <w:tcBorders>
              <w:top w:val="single" w:color="auto" w:sz="4" w:space="0"/>
              <w:left w:val="nil"/>
              <w:bottom w:val="single" w:color="auto" w:sz="4" w:space="0"/>
              <w:right w:val="nil"/>
            </w:tcBorders>
            <w:vAlign w:val="center"/>
          </w:tcPr>
          <w:p w14:paraId="4ECD2FE4">
            <w:pPr>
              <w:pStyle w:val="59"/>
            </w:pPr>
            <w:r>
              <w:rPr>
                <w:rFonts w:hint="eastAsia" w:ascii="宋体" w:hAnsi="宋体"/>
              </w:rPr>
              <w:t>变电站四周</w:t>
            </w:r>
          </w:p>
        </w:tc>
      </w:tr>
      <w:tr w14:paraId="7BC985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579" w:type="pct"/>
            <w:tcBorders>
              <w:top w:val="single" w:color="auto" w:sz="4" w:space="0"/>
              <w:left w:val="nil"/>
              <w:bottom w:val="single" w:color="auto" w:sz="4" w:space="0"/>
              <w:right w:val="single" w:color="auto" w:sz="4" w:space="0"/>
            </w:tcBorders>
            <w:vAlign w:val="center"/>
          </w:tcPr>
          <w:p w14:paraId="1AC06D28">
            <w:pPr>
              <w:pStyle w:val="59"/>
            </w:pPr>
            <w:r>
              <w:t>1#</w:t>
            </w:r>
          </w:p>
        </w:tc>
        <w:tc>
          <w:tcPr>
            <w:tcW w:w="1792" w:type="pct"/>
            <w:tcBorders>
              <w:top w:val="single" w:color="auto" w:sz="4" w:space="0"/>
              <w:left w:val="single" w:color="auto" w:sz="4" w:space="0"/>
              <w:bottom w:val="single" w:color="auto" w:sz="4" w:space="0"/>
              <w:right w:val="single" w:color="auto" w:sz="4" w:space="0"/>
            </w:tcBorders>
            <w:vAlign w:val="center"/>
          </w:tcPr>
          <w:p w14:paraId="409DA57D">
            <w:pPr>
              <w:pStyle w:val="59"/>
            </w:pPr>
            <w:r>
              <w:rPr>
                <w:rFonts w:hint="eastAsia" w:ascii="宋体" w:hAnsi="宋体"/>
              </w:rPr>
              <w:t>变电站东侧围墙外</w:t>
            </w:r>
            <w:r>
              <w:rPr>
                <w:rFonts w:hint="eastAsia"/>
              </w:rPr>
              <w:t>5m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4D19C47E">
            <w:pPr>
              <w:pStyle w:val="59"/>
            </w:pPr>
            <w:r>
              <w:rPr>
                <w:rFonts w:hint="eastAsia"/>
              </w:rPr>
              <w:t>4</w:t>
            </w:r>
            <w:r>
              <w:t>9.8</w:t>
            </w:r>
          </w:p>
        </w:tc>
        <w:tc>
          <w:tcPr>
            <w:tcW w:w="1373" w:type="pct"/>
            <w:tcBorders>
              <w:top w:val="single" w:color="auto" w:sz="4" w:space="0"/>
              <w:left w:val="single" w:color="auto" w:sz="4" w:space="0"/>
              <w:bottom w:val="single" w:color="auto" w:sz="4" w:space="0"/>
              <w:right w:val="nil"/>
            </w:tcBorders>
            <w:vAlign w:val="center"/>
          </w:tcPr>
          <w:p w14:paraId="09170822">
            <w:pPr>
              <w:pStyle w:val="59"/>
            </w:pPr>
            <w:r>
              <w:rPr>
                <w:rFonts w:hint="eastAsia"/>
              </w:rPr>
              <w:t>0</w:t>
            </w:r>
            <w:r>
              <w:t>.372</w:t>
            </w:r>
          </w:p>
        </w:tc>
      </w:tr>
      <w:tr w14:paraId="7BD44A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579" w:type="pct"/>
            <w:tcBorders>
              <w:top w:val="single" w:color="auto" w:sz="4" w:space="0"/>
              <w:left w:val="nil"/>
              <w:bottom w:val="single" w:color="auto" w:sz="4" w:space="0"/>
              <w:right w:val="single" w:color="auto" w:sz="4" w:space="0"/>
            </w:tcBorders>
            <w:vAlign w:val="center"/>
          </w:tcPr>
          <w:p w14:paraId="28B785B3">
            <w:pPr>
              <w:pStyle w:val="59"/>
            </w:pPr>
            <w:r>
              <w:t>2#</w:t>
            </w:r>
          </w:p>
        </w:tc>
        <w:tc>
          <w:tcPr>
            <w:tcW w:w="1792" w:type="pct"/>
            <w:tcBorders>
              <w:top w:val="single" w:color="auto" w:sz="4" w:space="0"/>
              <w:left w:val="single" w:color="auto" w:sz="4" w:space="0"/>
              <w:bottom w:val="single" w:color="auto" w:sz="4" w:space="0"/>
              <w:right w:val="single" w:color="auto" w:sz="4" w:space="0"/>
            </w:tcBorders>
          </w:tcPr>
          <w:p w14:paraId="58DCF174">
            <w:pPr>
              <w:pStyle w:val="59"/>
            </w:pPr>
            <w:r>
              <w:rPr>
                <w:rFonts w:hint="eastAsia" w:ascii="宋体" w:hAnsi="宋体"/>
              </w:rPr>
              <w:t>变电站南侧围墙外</w:t>
            </w:r>
            <w:r>
              <w:rPr>
                <w:rFonts w:hint="eastAsia"/>
              </w:rPr>
              <w:t>5m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06D25643">
            <w:pPr>
              <w:pStyle w:val="59"/>
            </w:pPr>
            <w:r>
              <w:t>57.2</w:t>
            </w:r>
          </w:p>
        </w:tc>
        <w:tc>
          <w:tcPr>
            <w:tcW w:w="1373" w:type="pct"/>
            <w:tcBorders>
              <w:top w:val="single" w:color="auto" w:sz="4" w:space="0"/>
              <w:left w:val="single" w:color="auto" w:sz="4" w:space="0"/>
              <w:bottom w:val="single" w:color="auto" w:sz="4" w:space="0"/>
              <w:right w:val="nil"/>
            </w:tcBorders>
            <w:vAlign w:val="center"/>
          </w:tcPr>
          <w:p w14:paraId="5F62D02A">
            <w:pPr>
              <w:pStyle w:val="59"/>
            </w:pPr>
            <w:r>
              <w:rPr>
                <w:rFonts w:hint="eastAsia"/>
              </w:rPr>
              <w:t>0</w:t>
            </w:r>
            <w:r>
              <w:t>.383</w:t>
            </w:r>
          </w:p>
        </w:tc>
      </w:tr>
      <w:tr w14:paraId="1DDB62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3" w:hRule="atLeast"/>
        </w:trPr>
        <w:tc>
          <w:tcPr>
            <w:tcW w:w="579" w:type="pct"/>
            <w:tcBorders>
              <w:top w:val="single" w:color="auto" w:sz="4" w:space="0"/>
              <w:left w:val="nil"/>
              <w:bottom w:val="single" w:color="auto" w:sz="4" w:space="0"/>
              <w:right w:val="single" w:color="auto" w:sz="4" w:space="0"/>
            </w:tcBorders>
            <w:vAlign w:val="center"/>
          </w:tcPr>
          <w:p w14:paraId="4A447778">
            <w:pPr>
              <w:pStyle w:val="59"/>
            </w:pPr>
            <w:r>
              <w:t>3#</w:t>
            </w:r>
          </w:p>
        </w:tc>
        <w:tc>
          <w:tcPr>
            <w:tcW w:w="1792" w:type="pct"/>
            <w:tcBorders>
              <w:top w:val="single" w:color="auto" w:sz="4" w:space="0"/>
              <w:left w:val="single" w:color="auto" w:sz="4" w:space="0"/>
              <w:bottom w:val="single" w:color="auto" w:sz="4" w:space="0"/>
              <w:right w:val="single" w:color="auto" w:sz="4" w:space="0"/>
            </w:tcBorders>
          </w:tcPr>
          <w:p w14:paraId="5292FC4A">
            <w:pPr>
              <w:pStyle w:val="59"/>
            </w:pPr>
            <w:r>
              <w:rPr>
                <w:rFonts w:hint="eastAsia" w:ascii="宋体" w:hAnsi="宋体"/>
              </w:rPr>
              <w:t>变电站西侧围墙外</w:t>
            </w:r>
            <w:r>
              <w:rPr>
                <w:rFonts w:hint="eastAsia"/>
              </w:rPr>
              <w:t>5m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0BBBAB8E">
            <w:pPr>
              <w:pStyle w:val="59"/>
            </w:pPr>
            <w:r>
              <w:rPr>
                <w:rFonts w:hint="eastAsia"/>
              </w:rPr>
              <w:t>2</w:t>
            </w:r>
            <w:r>
              <w:t>9.1</w:t>
            </w:r>
          </w:p>
        </w:tc>
        <w:tc>
          <w:tcPr>
            <w:tcW w:w="1373" w:type="pct"/>
            <w:tcBorders>
              <w:top w:val="single" w:color="auto" w:sz="4" w:space="0"/>
              <w:left w:val="single" w:color="auto" w:sz="4" w:space="0"/>
              <w:bottom w:val="single" w:color="auto" w:sz="4" w:space="0"/>
              <w:right w:val="nil"/>
            </w:tcBorders>
            <w:vAlign w:val="center"/>
          </w:tcPr>
          <w:p w14:paraId="32F28AE4">
            <w:pPr>
              <w:pStyle w:val="59"/>
            </w:pPr>
            <w:r>
              <w:rPr>
                <w:rFonts w:hint="eastAsia"/>
              </w:rPr>
              <w:t>0</w:t>
            </w:r>
            <w:r>
              <w:t>.373</w:t>
            </w:r>
          </w:p>
        </w:tc>
      </w:tr>
      <w:tr w14:paraId="46D81A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79" w:type="pct"/>
            <w:tcBorders>
              <w:top w:val="single" w:color="auto" w:sz="4" w:space="0"/>
              <w:left w:val="nil"/>
              <w:bottom w:val="single" w:color="auto" w:sz="4" w:space="0"/>
              <w:right w:val="single" w:color="auto" w:sz="4" w:space="0"/>
            </w:tcBorders>
            <w:vAlign w:val="center"/>
          </w:tcPr>
          <w:p w14:paraId="3EE98744">
            <w:pPr>
              <w:pStyle w:val="59"/>
            </w:pPr>
            <w:r>
              <w:t>4#</w:t>
            </w:r>
          </w:p>
        </w:tc>
        <w:tc>
          <w:tcPr>
            <w:tcW w:w="1792" w:type="pct"/>
            <w:tcBorders>
              <w:top w:val="single" w:color="auto" w:sz="4" w:space="0"/>
              <w:left w:val="single" w:color="auto" w:sz="4" w:space="0"/>
              <w:bottom w:val="single" w:color="auto" w:sz="4" w:space="0"/>
              <w:right w:val="single" w:color="auto" w:sz="4" w:space="0"/>
            </w:tcBorders>
          </w:tcPr>
          <w:p w14:paraId="406B0EFC">
            <w:pPr>
              <w:pStyle w:val="59"/>
            </w:pPr>
            <w:r>
              <w:rPr>
                <w:rFonts w:hint="eastAsia" w:ascii="宋体" w:hAnsi="宋体"/>
              </w:rPr>
              <w:t>变电站北侧围墙外</w:t>
            </w:r>
            <w:r>
              <w:rPr>
                <w:rFonts w:hint="eastAsia"/>
              </w:rPr>
              <w:t>5m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1951F7AC">
            <w:pPr>
              <w:pStyle w:val="59"/>
            </w:pPr>
            <w:r>
              <w:rPr>
                <w:rFonts w:hint="eastAsia"/>
              </w:rPr>
              <w:t>1</w:t>
            </w:r>
            <w:r>
              <w:t>2.6</w:t>
            </w:r>
          </w:p>
        </w:tc>
        <w:tc>
          <w:tcPr>
            <w:tcW w:w="1373" w:type="pct"/>
            <w:tcBorders>
              <w:top w:val="single" w:color="auto" w:sz="4" w:space="0"/>
              <w:left w:val="single" w:color="auto" w:sz="4" w:space="0"/>
              <w:bottom w:val="single" w:color="auto" w:sz="4" w:space="0"/>
              <w:right w:val="nil"/>
            </w:tcBorders>
            <w:vAlign w:val="center"/>
          </w:tcPr>
          <w:p w14:paraId="3DBE4B11">
            <w:pPr>
              <w:pStyle w:val="59"/>
            </w:pPr>
            <w:r>
              <w:rPr>
                <w:rFonts w:hint="eastAsia"/>
              </w:rPr>
              <w:t>0</w:t>
            </w:r>
            <w:r>
              <w:t>.258</w:t>
            </w:r>
          </w:p>
        </w:tc>
      </w:tr>
      <w:tr w14:paraId="762A36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000" w:type="pct"/>
            <w:gridSpan w:val="4"/>
            <w:tcBorders>
              <w:top w:val="single" w:color="auto" w:sz="4" w:space="0"/>
              <w:left w:val="nil"/>
              <w:bottom w:val="single" w:color="auto" w:sz="4" w:space="0"/>
              <w:right w:val="nil"/>
            </w:tcBorders>
            <w:vAlign w:val="center"/>
          </w:tcPr>
          <w:p w14:paraId="3C7D8908">
            <w:pPr>
              <w:pStyle w:val="59"/>
            </w:pPr>
            <w:r>
              <w:rPr>
                <w:rFonts w:hint="eastAsia" w:ascii="宋体" w:hAnsi="宋体"/>
              </w:rPr>
              <w:t>衰减断面</w:t>
            </w:r>
          </w:p>
        </w:tc>
      </w:tr>
      <w:tr w14:paraId="2EA432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79" w:type="pct"/>
            <w:tcBorders>
              <w:top w:val="single" w:color="auto" w:sz="4" w:space="0"/>
              <w:left w:val="nil"/>
              <w:bottom w:val="single" w:color="auto" w:sz="4" w:space="0"/>
              <w:right w:val="single" w:color="auto" w:sz="4" w:space="0"/>
            </w:tcBorders>
            <w:vAlign w:val="center"/>
          </w:tcPr>
          <w:p w14:paraId="0C22D216">
            <w:pPr>
              <w:pStyle w:val="59"/>
            </w:pPr>
            <w:r>
              <w:rPr>
                <w:rFonts w:hint="eastAsia"/>
              </w:rPr>
              <w:t>D</w:t>
            </w:r>
            <w:r>
              <w:t>M1#</w:t>
            </w:r>
          </w:p>
        </w:tc>
        <w:tc>
          <w:tcPr>
            <w:tcW w:w="1792" w:type="pct"/>
            <w:tcBorders>
              <w:top w:val="single" w:color="auto" w:sz="4" w:space="0"/>
              <w:left w:val="single" w:color="auto" w:sz="4" w:space="0"/>
              <w:bottom w:val="single" w:color="auto" w:sz="4" w:space="0"/>
              <w:right w:val="single" w:color="auto" w:sz="4" w:space="0"/>
            </w:tcBorders>
          </w:tcPr>
          <w:p w14:paraId="609BB449">
            <w:pPr>
              <w:pStyle w:val="59"/>
            </w:pPr>
            <w:r>
              <w:rPr>
                <w:rFonts w:hint="eastAsia" w:ascii="宋体" w:hAnsi="宋体"/>
              </w:rPr>
              <w:t>变电站西南侧围墙外</w:t>
            </w:r>
            <w:r>
              <w:rPr>
                <w:rFonts w:hint="eastAsia"/>
              </w:rPr>
              <w:t>5m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36A3285B">
            <w:pPr>
              <w:pStyle w:val="59"/>
            </w:pPr>
            <w:r>
              <w:rPr>
                <w:rFonts w:hint="eastAsia"/>
              </w:rPr>
              <w:t>5</w:t>
            </w:r>
            <w:r>
              <w:t>7.2</w:t>
            </w:r>
          </w:p>
        </w:tc>
        <w:tc>
          <w:tcPr>
            <w:tcW w:w="1373" w:type="pct"/>
            <w:tcBorders>
              <w:top w:val="single" w:color="auto" w:sz="4" w:space="0"/>
              <w:left w:val="single" w:color="auto" w:sz="4" w:space="0"/>
              <w:bottom w:val="single" w:color="auto" w:sz="4" w:space="0"/>
              <w:right w:val="nil"/>
            </w:tcBorders>
            <w:vAlign w:val="center"/>
          </w:tcPr>
          <w:p w14:paraId="6D5834C6">
            <w:pPr>
              <w:pStyle w:val="59"/>
            </w:pPr>
            <w:r>
              <w:rPr>
                <w:rFonts w:hint="eastAsia"/>
              </w:rPr>
              <w:t>0</w:t>
            </w:r>
            <w:r>
              <w:t>.383</w:t>
            </w:r>
          </w:p>
        </w:tc>
      </w:tr>
      <w:tr w14:paraId="2B7EBB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79" w:type="pct"/>
            <w:tcBorders>
              <w:top w:val="single" w:color="auto" w:sz="4" w:space="0"/>
              <w:left w:val="nil"/>
              <w:bottom w:val="single" w:color="auto" w:sz="4" w:space="0"/>
              <w:right w:val="single" w:color="auto" w:sz="4" w:space="0"/>
            </w:tcBorders>
          </w:tcPr>
          <w:p w14:paraId="71EE879A">
            <w:pPr>
              <w:pStyle w:val="59"/>
            </w:pPr>
            <w:r>
              <w:rPr>
                <w:rFonts w:hint="eastAsia"/>
              </w:rPr>
              <w:t>D</w:t>
            </w:r>
            <w:r>
              <w:t>M2#</w:t>
            </w:r>
          </w:p>
        </w:tc>
        <w:tc>
          <w:tcPr>
            <w:tcW w:w="1792" w:type="pct"/>
            <w:tcBorders>
              <w:top w:val="single" w:color="auto" w:sz="4" w:space="0"/>
              <w:left w:val="single" w:color="auto" w:sz="4" w:space="0"/>
              <w:bottom w:val="single" w:color="auto" w:sz="4" w:space="0"/>
              <w:right w:val="single" w:color="auto" w:sz="4" w:space="0"/>
            </w:tcBorders>
          </w:tcPr>
          <w:p w14:paraId="24BE99FE">
            <w:pPr>
              <w:pStyle w:val="59"/>
            </w:pPr>
            <w:r>
              <w:rPr>
                <w:rFonts w:hint="eastAsia" w:ascii="宋体" w:hAnsi="宋体"/>
              </w:rPr>
              <w:t>变电站西南侧围墙外</w:t>
            </w:r>
            <w:r>
              <w:t>10</w:t>
            </w:r>
            <w:r>
              <w:rPr>
                <w:rFonts w:hint="eastAsia"/>
              </w:rPr>
              <w:t>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595F9152">
            <w:pPr>
              <w:pStyle w:val="59"/>
            </w:pPr>
            <w:r>
              <w:rPr>
                <w:rFonts w:hint="eastAsia"/>
              </w:rPr>
              <w:t>4</w:t>
            </w:r>
            <w:r>
              <w:t>8.5</w:t>
            </w:r>
          </w:p>
        </w:tc>
        <w:tc>
          <w:tcPr>
            <w:tcW w:w="1373" w:type="pct"/>
            <w:tcBorders>
              <w:top w:val="single" w:color="auto" w:sz="4" w:space="0"/>
              <w:left w:val="single" w:color="auto" w:sz="4" w:space="0"/>
              <w:bottom w:val="single" w:color="auto" w:sz="4" w:space="0"/>
              <w:right w:val="nil"/>
            </w:tcBorders>
            <w:vAlign w:val="center"/>
          </w:tcPr>
          <w:p w14:paraId="7AD83218">
            <w:pPr>
              <w:pStyle w:val="59"/>
            </w:pPr>
            <w:r>
              <w:rPr>
                <w:rFonts w:hint="eastAsia"/>
              </w:rPr>
              <w:t>0</w:t>
            </w:r>
            <w:r>
              <w:t>.321</w:t>
            </w:r>
          </w:p>
        </w:tc>
      </w:tr>
      <w:tr w14:paraId="69415C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79" w:type="pct"/>
            <w:tcBorders>
              <w:top w:val="single" w:color="auto" w:sz="4" w:space="0"/>
              <w:left w:val="nil"/>
              <w:bottom w:val="single" w:color="auto" w:sz="4" w:space="0"/>
              <w:right w:val="single" w:color="auto" w:sz="4" w:space="0"/>
            </w:tcBorders>
          </w:tcPr>
          <w:p w14:paraId="48F77600">
            <w:pPr>
              <w:pStyle w:val="59"/>
            </w:pPr>
            <w:r>
              <w:rPr>
                <w:rFonts w:hint="eastAsia"/>
              </w:rPr>
              <w:t>D</w:t>
            </w:r>
            <w:r>
              <w:t>M3#</w:t>
            </w:r>
          </w:p>
        </w:tc>
        <w:tc>
          <w:tcPr>
            <w:tcW w:w="1792" w:type="pct"/>
            <w:tcBorders>
              <w:top w:val="single" w:color="auto" w:sz="4" w:space="0"/>
              <w:left w:val="single" w:color="auto" w:sz="4" w:space="0"/>
              <w:bottom w:val="single" w:color="auto" w:sz="4" w:space="0"/>
              <w:right w:val="single" w:color="auto" w:sz="4" w:space="0"/>
            </w:tcBorders>
          </w:tcPr>
          <w:p w14:paraId="0347B281">
            <w:pPr>
              <w:pStyle w:val="59"/>
            </w:pPr>
            <w:r>
              <w:rPr>
                <w:rFonts w:hint="eastAsia" w:ascii="宋体" w:hAnsi="宋体"/>
              </w:rPr>
              <w:t>变电站西南侧围墙外</w:t>
            </w:r>
            <w:r>
              <w:rPr>
                <w:rFonts w:hint="eastAsia"/>
              </w:rPr>
              <w:t>15m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1AC6F0D4">
            <w:pPr>
              <w:pStyle w:val="59"/>
            </w:pPr>
            <w:r>
              <w:rPr>
                <w:rFonts w:hint="eastAsia"/>
              </w:rPr>
              <w:t>4</w:t>
            </w:r>
            <w:r>
              <w:t>5.3</w:t>
            </w:r>
          </w:p>
        </w:tc>
        <w:tc>
          <w:tcPr>
            <w:tcW w:w="1373" w:type="pct"/>
            <w:tcBorders>
              <w:top w:val="single" w:color="auto" w:sz="4" w:space="0"/>
              <w:left w:val="single" w:color="auto" w:sz="4" w:space="0"/>
              <w:bottom w:val="single" w:color="auto" w:sz="4" w:space="0"/>
              <w:right w:val="nil"/>
            </w:tcBorders>
            <w:vAlign w:val="center"/>
          </w:tcPr>
          <w:p w14:paraId="3C5B4FC2">
            <w:pPr>
              <w:pStyle w:val="59"/>
            </w:pPr>
            <w:r>
              <w:rPr>
                <w:rFonts w:hint="eastAsia"/>
              </w:rPr>
              <w:t>0</w:t>
            </w:r>
            <w:r>
              <w:t>.289</w:t>
            </w:r>
          </w:p>
        </w:tc>
      </w:tr>
      <w:tr w14:paraId="0EC584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79" w:type="pct"/>
            <w:tcBorders>
              <w:top w:val="single" w:color="auto" w:sz="4" w:space="0"/>
              <w:left w:val="nil"/>
              <w:bottom w:val="single" w:color="auto" w:sz="4" w:space="0"/>
              <w:right w:val="single" w:color="auto" w:sz="4" w:space="0"/>
            </w:tcBorders>
          </w:tcPr>
          <w:p w14:paraId="09E307CA">
            <w:pPr>
              <w:pStyle w:val="59"/>
            </w:pPr>
            <w:r>
              <w:rPr>
                <w:rFonts w:hint="eastAsia"/>
              </w:rPr>
              <w:t>D</w:t>
            </w:r>
            <w:r>
              <w:t>M4#</w:t>
            </w:r>
          </w:p>
        </w:tc>
        <w:tc>
          <w:tcPr>
            <w:tcW w:w="1792" w:type="pct"/>
            <w:tcBorders>
              <w:top w:val="single" w:color="auto" w:sz="4" w:space="0"/>
              <w:left w:val="single" w:color="auto" w:sz="4" w:space="0"/>
              <w:bottom w:val="single" w:color="auto" w:sz="4" w:space="0"/>
              <w:right w:val="single" w:color="auto" w:sz="4" w:space="0"/>
            </w:tcBorders>
          </w:tcPr>
          <w:p w14:paraId="1DCF76EE">
            <w:pPr>
              <w:pStyle w:val="59"/>
            </w:pPr>
            <w:r>
              <w:rPr>
                <w:rFonts w:hint="eastAsia" w:ascii="宋体" w:hAnsi="宋体"/>
              </w:rPr>
              <w:t>变电站西南侧围墙外</w:t>
            </w:r>
            <w:r>
              <w:t>20</w:t>
            </w:r>
            <w:r>
              <w:rPr>
                <w:rFonts w:hint="eastAsia"/>
              </w:rPr>
              <w:t>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75688BC3">
            <w:pPr>
              <w:pStyle w:val="59"/>
            </w:pPr>
            <w:r>
              <w:rPr>
                <w:rFonts w:hint="eastAsia"/>
              </w:rPr>
              <w:t>4</w:t>
            </w:r>
            <w:r>
              <w:t>4.1</w:t>
            </w:r>
          </w:p>
        </w:tc>
        <w:tc>
          <w:tcPr>
            <w:tcW w:w="1373" w:type="pct"/>
            <w:tcBorders>
              <w:top w:val="single" w:color="auto" w:sz="4" w:space="0"/>
              <w:left w:val="single" w:color="auto" w:sz="4" w:space="0"/>
              <w:bottom w:val="single" w:color="auto" w:sz="4" w:space="0"/>
              <w:right w:val="nil"/>
            </w:tcBorders>
            <w:vAlign w:val="center"/>
          </w:tcPr>
          <w:p w14:paraId="5B97E84E">
            <w:pPr>
              <w:pStyle w:val="59"/>
            </w:pPr>
            <w:r>
              <w:rPr>
                <w:rFonts w:hint="eastAsia"/>
              </w:rPr>
              <w:t>0</w:t>
            </w:r>
            <w:r>
              <w:t>.266</w:t>
            </w:r>
          </w:p>
        </w:tc>
      </w:tr>
      <w:tr w14:paraId="1A4AD7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79" w:type="pct"/>
            <w:tcBorders>
              <w:top w:val="single" w:color="auto" w:sz="4" w:space="0"/>
              <w:left w:val="nil"/>
              <w:bottom w:val="single" w:color="auto" w:sz="4" w:space="0"/>
              <w:right w:val="single" w:color="auto" w:sz="4" w:space="0"/>
            </w:tcBorders>
          </w:tcPr>
          <w:p w14:paraId="1EE4B671">
            <w:pPr>
              <w:pStyle w:val="59"/>
            </w:pPr>
            <w:r>
              <w:rPr>
                <w:rFonts w:hint="eastAsia"/>
              </w:rPr>
              <w:t>D</w:t>
            </w:r>
            <w:r>
              <w:t>M5#</w:t>
            </w:r>
          </w:p>
        </w:tc>
        <w:tc>
          <w:tcPr>
            <w:tcW w:w="1792" w:type="pct"/>
            <w:tcBorders>
              <w:top w:val="single" w:color="auto" w:sz="4" w:space="0"/>
              <w:left w:val="single" w:color="auto" w:sz="4" w:space="0"/>
              <w:bottom w:val="single" w:color="auto" w:sz="4" w:space="0"/>
              <w:right w:val="single" w:color="auto" w:sz="4" w:space="0"/>
            </w:tcBorders>
          </w:tcPr>
          <w:p w14:paraId="473A192F">
            <w:pPr>
              <w:pStyle w:val="59"/>
            </w:pPr>
            <w:r>
              <w:rPr>
                <w:rFonts w:hint="eastAsia" w:ascii="宋体" w:hAnsi="宋体"/>
              </w:rPr>
              <w:t>变电站西南侧围墙外</w:t>
            </w:r>
            <w:r>
              <w:t>25</w:t>
            </w:r>
            <w:r>
              <w:rPr>
                <w:rFonts w:hint="eastAsia"/>
              </w:rPr>
              <w:t>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39210D71">
            <w:pPr>
              <w:pStyle w:val="59"/>
            </w:pPr>
            <w:r>
              <w:rPr>
                <w:rFonts w:hint="eastAsia"/>
              </w:rPr>
              <w:t>4</w:t>
            </w:r>
            <w:r>
              <w:t>0.4</w:t>
            </w:r>
          </w:p>
        </w:tc>
        <w:tc>
          <w:tcPr>
            <w:tcW w:w="1373" w:type="pct"/>
            <w:tcBorders>
              <w:top w:val="single" w:color="auto" w:sz="4" w:space="0"/>
              <w:left w:val="single" w:color="auto" w:sz="4" w:space="0"/>
              <w:bottom w:val="single" w:color="auto" w:sz="4" w:space="0"/>
              <w:right w:val="nil"/>
            </w:tcBorders>
            <w:vAlign w:val="center"/>
          </w:tcPr>
          <w:p w14:paraId="2EEEE729">
            <w:pPr>
              <w:pStyle w:val="59"/>
            </w:pPr>
            <w:r>
              <w:rPr>
                <w:rFonts w:hint="eastAsia"/>
              </w:rPr>
              <w:t>0</w:t>
            </w:r>
            <w:r>
              <w:t>.248</w:t>
            </w:r>
          </w:p>
        </w:tc>
      </w:tr>
      <w:tr w14:paraId="3DE9EB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79" w:type="pct"/>
            <w:tcBorders>
              <w:top w:val="single" w:color="auto" w:sz="4" w:space="0"/>
              <w:left w:val="nil"/>
              <w:bottom w:val="single" w:color="auto" w:sz="4" w:space="0"/>
              <w:right w:val="single" w:color="auto" w:sz="4" w:space="0"/>
            </w:tcBorders>
          </w:tcPr>
          <w:p w14:paraId="2C531C25">
            <w:pPr>
              <w:pStyle w:val="59"/>
            </w:pPr>
            <w:r>
              <w:rPr>
                <w:rFonts w:hint="eastAsia"/>
              </w:rPr>
              <w:t>D</w:t>
            </w:r>
            <w:r>
              <w:t>M6#</w:t>
            </w:r>
          </w:p>
        </w:tc>
        <w:tc>
          <w:tcPr>
            <w:tcW w:w="1792" w:type="pct"/>
            <w:tcBorders>
              <w:top w:val="single" w:color="auto" w:sz="4" w:space="0"/>
              <w:left w:val="single" w:color="auto" w:sz="4" w:space="0"/>
              <w:bottom w:val="single" w:color="auto" w:sz="4" w:space="0"/>
              <w:right w:val="single" w:color="auto" w:sz="4" w:space="0"/>
            </w:tcBorders>
          </w:tcPr>
          <w:p w14:paraId="06402C51">
            <w:pPr>
              <w:pStyle w:val="59"/>
            </w:pPr>
            <w:r>
              <w:rPr>
                <w:rFonts w:hint="eastAsia" w:ascii="宋体" w:hAnsi="宋体"/>
              </w:rPr>
              <w:t>变电站西南侧围墙外</w:t>
            </w:r>
            <w:r>
              <w:t>30</w:t>
            </w:r>
            <w:r>
              <w:rPr>
                <w:rFonts w:hint="eastAsia"/>
              </w:rPr>
              <w:t>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22DA15CF">
            <w:pPr>
              <w:pStyle w:val="59"/>
            </w:pPr>
            <w:r>
              <w:rPr>
                <w:rFonts w:hint="eastAsia"/>
              </w:rPr>
              <w:t>4</w:t>
            </w:r>
            <w:r>
              <w:t>0.1</w:t>
            </w:r>
          </w:p>
        </w:tc>
        <w:tc>
          <w:tcPr>
            <w:tcW w:w="1373" w:type="pct"/>
            <w:tcBorders>
              <w:top w:val="single" w:color="auto" w:sz="4" w:space="0"/>
              <w:left w:val="single" w:color="auto" w:sz="4" w:space="0"/>
              <w:bottom w:val="single" w:color="auto" w:sz="4" w:space="0"/>
              <w:right w:val="nil"/>
            </w:tcBorders>
            <w:vAlign w:val="center"/>
          </w:tcPr>
          <w:p w14:paraId="317045D6">
            <w:pPr>
              <w:pStyle w:val="59"/>
            </w:pPr>
            <w:r>
              <w:rPr>
                <w:rFonts w:hint="eastAsia"/>
              </w:rPr>
              <w:t>0</w:t>
            </w:r>
            <w:r>
              <w:t>.241</w:t>
            </w:r>
          </w:p>
        </w:tc>
      </w:tr>
      <w:tr w14:paraId="4B7283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79" w:type="pct"/>
            <w:tcBorders>
              <w:top w:val="single" w:color="auto" w:sz="4" w:space="0"/>
              <w:left w:val="nil"/>
              <w:bottom w:val="single" w:color="auto" w:sz="4" w:space="0"/>
              <w:right w:val="single" w:color="auto" w:sz="4" w:space="0"/>
            </w:tcBorders>
          </w:tcPr>
          <w:p w14:paraId="03348C98">
            <w:pPr>
              <w:pStyle w:val="59"/>
            </w:pPr>
            <w:r>
              <w:rPr>
                <w:rFonts w:hint="eastAsia"/>
              </w:rPr>
              <w:t>D</w:t>
            </w:r>
            <w:r>
              <w:t>M7#</w:t>
            </w:r>
          </w:p>
        </w:tc>
        <w:tc>
          <w:tcPr>
            <w:tcW w:w="1792" w:type="pct"/>
            <w:tcBorders>
              <w:top w:val="single" w:color="auto" w:sz="4" w:space="0"/>
              <w:left w:val="single" w:color="auto" w:sz="4" w:space="0"/>
              <w:bottom w:val="single" w:color="auto" w:sz="4" w:space="0"/>
              <w:right w:val="single" w:color="auto" w:sz="4" w:space="0"/>
            </w:tcBorders>
          </w:tcPr>
          <w:p w14:paraId="34A9B5FE">
            <w:pPr>
              <w:pStyle w:val="59"/>
            </w:pPr>
            <w:r>
              <w:rPr>
                <w:rFonts w:hint="eastAsia" w:ascii="宋体" w:hAnsi="宋体"/>
              </w:rPr>
              <w:t>变电站西南侧围墙外</w:t>
            </w:r>
            <w:r>
              <w:t>35</w:t>
            </w:r>
            <w:r>
              <w:rPr>
                <w:rFonts w:hint="eastAsia"/>
              </w:rPr>
              <w:t>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42075B93">
            <w:pPr>
              <w:pStyle w:val="59"/>
            </w:pPr>
            <w:r>
              <w:rPr>
                <w:rFonts w:hint="eastAsia"/>
              </w:rPr>
              <w:t>3</w:t>
            </w:r>
            <w:r>
              <w:t>8.0</w:t>
            </w:r>
          </w:p>
        </w:tc>
        <w:tc>
          <w:tcPr>
            <w:tcW w:w="1373" w:type="pct"/>
            <w:tcBorders>
              <w:top w:val="single" w:color="auto" w:sz="4" w:space="0"/>
              <w:left w:val="single" w:color="auto" w:sz="4" w:space="0"/>
              <w:bottom w:val="single" w:color="auto" w:sz="4" w:space="0"/>
              <w:right w:val="nil"/>
            </w:tcBorders>
            <w:vAlign w:val="center"/>
          </w:tcPr>
          <w:p w14:paraId="1719547F">
            <w:pPr>
              <w:pStyle w:val="59"/>
            </w:pPr>
            <w:r>
              <w:rPr>
                <w:rFonts w:hint="eastAsia"/>
              </w:rPr>
              <w:t>0</w:t>
            </w:r>
            <w:r>
              <w:t>.232</w:t>
            </w:r>
          </w:p>
        </w:tc>
      </w:tr>
      <w:tr w14:paraId="3467AD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79" w:type="pct"/>
            <w:tcBorders>
              <w:top w:val="single" w:color="auto" w:sz="4" w:space="0"/>
              <w:left w:val="nil"/>
              <w:bottom w:val="single" w:color="auto" w:sz="4" w:space="0"/>
              <w:right w:val="single" w:color="auto" w:sz="4" w:space="0"/>
            </w:tcBorders>
          </w:tcPr>
          <w:p w14:paraId="51C131E8">
            <w:pPr>
              <w:pStyle w:val="59"/>
            </w:pPr>
            <w:r>
              <w:rPr>
                <w:rFonts w:hint="eastAsia"/>
              </w:rPr>
              <w:t>D</w:t>
            </w:r>
            <w:r>
              <w:t>M8#</w:t>
            </w:r>
          </w:p>
        </w:tc>
        <w:tc>
          <w:tcPr>
            <w:tcW w:w="1792" w:type="pct"/>
            <w:tcBorders>
              <w:top w:val="single" w:color="auto" w:sz="4" w:space="0"/>
              <w:left w:val="single" w:color="auto" w:sz="4" w:space="0"/>
              <w:bottom w:val="single" w:color="auto" w:sz="4" w:space="0"/>
              <w:right w:val="single" w:color="auto" w:sz="4" w:space="0"/>
            </w:tcBorders>
          </w:tcPr>
          <w:p w14:paraId="0B9804C8">
            <w:pPr>
              <w:pStyle w:val="59"/>
            </w:pPr>
            <w:r>
              <w:rPr>
                <w:rFonts w:hint="eastAsia" w:ascii="宋体" w:hAnsi="宋体"/>
              </w:rPr>
              <w:t>变电站西南侧围墙外</w:t>
            </w:r>
            <w:r>
              <w:t>40</w:t>
            </w:r>
            <w:r>
              <w:rPr>
                <w:rFonts w:hint="eastAsia"/>
              </w:rPr>
              <w:t>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2EC6AEEC">
            <w:pPr>
              <w:pStyle w:val="59"/>
            </w:pPr>
            <w:r>
              <w:rPr>
                <w:rFonts w:hint="eastAsia"/>
              </w:rPr>
              <w:t>3</w:t>
            </w:r>
            <w:r>
              <w:t>5.8</w:t>
            </w:r>
          </w:p>
        </w:tc>
        <w:tc>
          <w:tcPr>
            <w:tcW w:w="1373" w:type="pct"/>
            <w:tcBorders>
              <w:top w:val="single" w:color="auto" w:sz="4" w:space="0"/>
              <w:left w:val="single" w:color="auto" w:sz="4" w:space="0"/>
              <w:bottom w:val="single" w:color="auto" w:sz="4" w:space="0"/>
              <w:right w:val="nil"/>
            </w:tcBorders>
            <w:vAlign w:val="center"/>
          </w:tcPr>
          <w:p w14:paraId="323E6811">
            <w:pPr>
              <w:pStyle w:val="59"/>
            </w:pPr>
            <w:r>
              <w:rPr>
                <w:rFonts w:hint="eastAsia"/>
              </w:rPr>
              <w:t>0</w:t>
            </w:r>
            <w:r>
              <w:t>.230</w:t>
            </w:r>
          </w:p>
        </w:tc>
      </w:tr>
      <w:tr w14:paraId="094FEC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79" w:type="pct"/>
            <w:tcBorders>
              <w:top w:val="single" w:color="auto" w:sz="4" w:space="0"/>
              <w:left w:val="nil"/>
              <w:bottom w:val="single" w:color="auto" w:sz="4" w:space="0"/>
              <w:right w:val="single" w:color="auto" w:sz="4" w:space="0"/>
            </w:tcBorders>
          </w:tcPr>
          <w:p w14:paraId="587837D0">
            <w:pPr>
              <w:pStyle w:val="59"/>
            </w:pPr>
            <w:r>
              <w:rPr>
                <w:rFonts w:hint="eastAsia"/>
              </w:rPr>
              <w:t>D</w:t>
            </w:r>
            <w:r>
              <w:t>M9#</w:t>
            </w:r>
          </w:p>
        </w:tc>
        <w:tc>
          <w:tcPr>
            <w:tcW w:w="1792" w:type="pct"/>
            <w:tcBorders>
              <w:top w:val="single" w:color="auto" w:sz="4" w:space="0"/>
              <w:left w:val="single" w:color="auto" w:sz="4" w:space="0"/>
              <w:bottom w:val="single" w:color="auto" w:sz="4" w:space="0"/>
              <w:right w:val="single" w:color="auto" w:sz="4" w:space="0"/>
            </w:tcBorders>
          </w:tcPr>
          <w:p w14:paraId="2D4A23CF">
            <w:pPr>
              <w:pStyle w:val="59"/>
            </w:pPr>
            <w:r>
              <w:rPr>
                <w:rFonts w:hint="eastAsia" w:ascii="宋体" w:hAnsi="宋体"/>
              </w:rPr>
              <w:t>变电站西南侧围墙外</w:t>
            </w:r>
            <w:r>
              <w:t>45</w:t>
            </w:r>
            <w:r>
              <w:rPr>
                <w:rFonts w:hint="eastAsia"/>
              </w:rPr>
              <w:t>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369F5E72">
            <w:pPr>
              <w:pStyle w:val="59"/>
            </w:pPr>
            <w:r>
              <w:rPr>
                <w:rFonts w:hint="eastAsia"/>
              </w:rPr>
              <w:t>3</w:t>
            </w:r>
            <w:r>
              <w:t>2.5</w:t>
            </w:r>
          </w:p>
        </w:tc>
        <w:tc>
          <w:tcPr>
            <w:tcW w:w="1373" w:type="pct"/>
            <w:tcBorders>
              <w:top w:val="single" w:color="auto" w:sz="4" w:space="0"/>
              <w:left w:val="single" w:color="auto" w:sz="4" w:space="0"/>
              <w:bottom w:val="single" w:color="auto" w:sz="4" w:space="0"/>
              <w:right w:val="nil"/>
            </w:tcBorders>
            <w:vAlign w:val="center"/>
          </w:tcPr>
          <w:p w14:paraId="0AC27323">
            <w:pPr>
              <w:pStyle w:val="59"/>
            </w:pPr>
            <w:r>
              <w:rPr>
                <w:rFonts w:hint="eastAsia"/>
              </w:rPr>
              <w:t>0</w:t>
            </w:r>
            <w:r>
              <w:t>.263</w:t>
            </w:r>
          </w:p>
        </w:tc>
      </w:tr>
      <w:tr w14:paraId="3939A4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79" w:type="pct"/>
            <w:tcBorders>
              <w:top w:val="single" w:color="auto" w:sz="4" w:space="0"/>
              <w:left w:val="nil"/>
              <w:bottom w:val="single" w:color="auto" w:sz="4" w:space="0"/>
              <w:right w:val="single" w:color="auto" w:sz="4" w:space="0"/>
            </w:tcBorders>
          </w:tcPr>
          <w:p w14:paraId="4F93EFE5">
            <w:pPr>
              <w:pStyle w:val="59"/>
            </w:pPr>
            <w:r>
              <w:rPr>
                <w:rFonts w:hint="eastAsia"/>
              </w:rPr>
              <w:t>D</w:t>
            </w:r>
            <w:r>
              <w:t>M10#</w:t>
            </w:r>
          </w:p>
        </w:tc>
        <w:tc>
          <w:tcPr>
            <w:tcW w:w="1792" w:type="pct"/>
            <w:tcBorders>
              <w:top w:val="single" w:color="auto" w:sz="4" w:space="0"/>
              <w:left w:val="single" w:color="auto" w:sz="4" w:space="0"/>
              <w:bottom w:val="single" w:color="auto" w:sz="4" w:space="0"/>
              <w:right w:val="single" w:color="auto" w:sz="4" w:space="0"/>
            </w:tcBorders>
          </w:tcPr>
          <w:p w14:paraId="721D521C">
            <w:pPr>
              <w:pStyle w:val="59"/>
            </w:pPr>
            <w:r>
              <w:rPr>
                <w:rFonts w:hint="eastAsia" w:ascii="宋体" w:hAnsi="宋体"/>
              </w:rPr>
              <w:t>变电站西南侧围墙外</w:t>
            </w:r>
            <w:r>
              <w:t>50</w:t>
            </w:r>
            <w:r>
              <w:rPr>
                <w:rFonts w:hint="eastAsia"/>
              </w:rPr>
              <w:t>m</w:t>
            </w:r>
            <w:r>
              <w:rPr>
                <w:rFonts w:hint="eastAsia" w:ascii="宋体" w:hAnsi="宋体"/>
              </w:rPr>
              <w:t>处</w:t>
            </w:r>
          </w:p>
        </w:tc>
        <w:tc>
          <w:tcPr>
            <w:tcW w:w="1255" w:type="pct"/>
            <w:tcBorders>
              <w:top w:val="single" w:color="auto" w:sz="4" w:space="0"/>
              <w:left w:val="single" w:color="auto" w:sz="4" w:space="0"/>
              <w:bottom w:val="single" w:color="auto" w:sz="4" w:space="0"/>
              <w:right w:val="single" w:color="auto" w:sz="4" w:space="0"/>
            </w:tcBorders>
            <w:vAlign w:val="center"/>
          </w:tcPr>
          <w:p w14:paraId="2CB3A32F">
            <w:pPr>
              <w:pStyle w:val="59"/>
            </w:pPr>
            <w:r>
              <w:rPr>
                <w:rFonts w:hint="eastAsia"/>
              </w:rPr>
              <w:t>2</w:t>
            </w:r>
            <w:r>
              <w:t>5.6</w:t>
            </w:r>
          </w:p>
        </w:tc>
        <w:tc>
          <w:tcPr>
            <w:tcW w:w="1373" w:type="pct"/>
            <w:tcBorders>
              <w:top w:val="single" w:color="auto" w:sz="4" w:space="0"/>
              <w:left w:val="single" w:color="auto" w:sz="4" w:space="0"/>
              <w:bottom w:val="single" w:color="auto" w:sz="4" w:space="0"/>
              <w:right w:val="nil"/>
            </w:tcBorders>
            <w:vAlign w:val="center"/>
          </w:tcPr>
          <w:p w14:paraId="7BD5C747">
            <w:pPr>
              <w:pStyle w:val="59"/>
            </w:pPr>
            <w:r>
              <w:rPr>
                <w:rFonts w:hint="eastAsia"/>
              </w:rPr>
              <w:t>0</w:t>
            </w:r>
            <w:r>
              <w:t>.244</w:t>
            </w:r>
          </w:p>
        </w:tc>
      </w:tr>
      <w:tr w14:paraId="2B5C2F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579" w:type="pct"/>
            <w:tcBorders>
              <w:top w:val="single" w:color="auto" w:sz="4" w:space="0"/>
              <w:left w:val="nil"/>
              <w:bottom w:val="single" w:color="auto" w:sz="12" w:space="0"/>
              <w:right w:val="single" w:color="auto" w:sz="4" w:space="0"/>
            </w:tcBorders>
            <w:vAlign w:val="center"/>
          </w:tcPr>
          <w:p w14:paraId="48E992EA">
            <w:pPr>
              <w:pStyle w:val="59"/>
            </w:pPr>
            <w:r>
              <w:rPr>
                <w:rFonts w:hint="eastAsia" w:ascii="宋体" w:hAnsi="宋体"/>
              </w:rPr>
              <w:t>标准限值</w:t>
            </w:r>
          </w:p>
        </w:tc>
        <w:tc>
          <w:tcPr>
            <w:tcW w:w="1792" w:type="pct"/>
            <w:tcBorders>
              <w:top w:val="single" w:color="auto" w:sz="4" w:space="0"/>
              <w:left w:val="single" w:color="auto" w:sz="4" w:space="0"/>
              <w:bottom w:val="single" w:color="auto" w:sz="12" w:space="0"/>
              <w:right w:val="single" w:color="auto" w:sz="4" w:space="0"/>
            </w:tcBorders>
            <w:vAlign w:val="center"/>
          </w:tcPr>
          <w:p w14:paraId="34517A2E">
            <w:pPr>
              <w:pStyle w:val="59"/>
            </w:pPr>
            <w:r>
              <w:rPr>
                <w:rFonts w:hint="eastAsia"/>
              </w:rPr>
              <w:t>/</w:t>
            </w:r>
          </w:p>
        </w:tc>
        <w:tc>
          <w:tcPr>
            <w:tcW w:w="1255" w:type="pct"/>
            <w:tcBorders>
              <w:top w:val="single" w:color="auto" w:sz="4" w:space="0"/>
              <w:left w:val="single" w:color="auto" w:sz="4" w:space="0"/>
              <w:bottom w:val="single" w:color="auto" w:sz="12" w:space="0"/>
              <w:right w:val="single" w:color="auto" w:sz="4" w:space="0"/>
            </w:tcBorders>
            <w:vAlign w:val="center"/>
          </w:tcPr>
          <w:p w14:paraId="507775E7">
            <w:pPr>
              <w:pStyle w:val="59"/>
            </w:pPr>
            <w:r>
              <w:rPr>
                <w:rFonts w:hint="eastAsia"/>
              </w:rPr>
              <w:t>4000</w:t>
            </w:r>
          </w:p>
        </w:tc>
        <w:tc>
          <w:tcPr>
            <w:tcW w:w="1373" w:type="pct"/>
            <w:tcBorders>
              <w:top w:val="single" w:color="auto" w:sz="4" w:space="0"/>
              <w:left w:val="single" w:color="auto" w:sz="4" w:space="0"/>
              <w:bottom w:val="single" w:color="auto" w:sz="12" w:space="0"/>
              <w:right w:val="nil"/>
            </w:tcBorders>
            <w:vAlign w:val="center"/>
          </w:tcPr>
          <w:p w14:paraId="6E68E6CC">
            <w:pPr>
              <w:pStyle w:val="59"/>
            </w:pPr>
            <w:r>
              <w:rPr>
                <w:rFonts w:hint="eastAsia"/>
              </w:rPr>
              <w:t>100</w:t>
            </w:r>
          </w:p>
        </w:tc>
      </w:tr>
    </w:tbl>
    <w:p w14:paraId="7AAD1914">
      <w:pPr>
        <w:spacing w:line="360" w:lineRule="auto"/>
        <w:ind w:firstLine="480" w:firstLineChars="200"/>
        <w:rPr>
          <w:bCs/>
          <w:sz w:val="24"/>
        </w:rPr>
      </w:pPr>
      <w:r>
        <w:rPr>
          <w:bCs/>
          <w:sz w:val="24"/>
        </w:rPr>
        <w:t>从表7-3可以看出</w:t>
      </w:r>
      <w:r>
        <w:rPr>
          <w:rFonts w:hint="eastAsia"/>
          <w:bCs/>
          <w:sz w:val="24"/>
        </w:rPr>
        <w:t>：</w:t>
      </w:r>
      <w:r>
        <w:rPr>
          <w:bCs/>
          <w:sz w:val="24"/>
        </w:rPr>
        <w:t>监测4个工频电磁场现状值测量点位的工频电场强度在</w:t>
      </w:r>
      <w:r>
        <w:rPr>
          <w:rFonts w:hint="eastAsia"/>
          <w:bCs/>
          <w:sz w:val="24"/>
        </w:rPr>
        <w:t>12.6～57.2</w:t>
      </w:r>
      <w:r>
        <w:rPr>
          <w:bCs/>
          <w:sz w:val="24"/>
        </w:rPr>
        <w:t>V/m之间，所有点位工频电场强度均小于4kV/m。工频磁感应强度在</w:t>
      </w:r>
      <w:r>
        <w:rPr>
          <w:rFonts w:hint="eastAsia"/>
          <w:bCs/>
          <w:sz w:val="24"/>
        </w:rPr>
        <w:t>0.258～0.383</w:t>
      </w:r>
      <w:r>
        <w:rPr>
          <w:bCs/>
          <w:sz w:val="24"/>
        </w:rPr>
        <w:t>μT之间，所有点位工频磁感应强度均小于100μT。</w:t>
      </w:r>
      <w:r>
        <w:rPr>
          <w:rFonts w:hint="eastAsia"/>
          <w:bCs/>
          <w:sz w:val="24"/>
        </w:rPr>
        <w:t>均能满足</w:t>
      </w:r>
      <w:r>
        <w:rPr>
          <w:rFonts w:hint="eastAsia"/>
          <w:sz w:val="24"/>
        </w:rPr>
        <w:t>《电磁环境控制限值》（</w:t>
      </w:r>
      <w:r>
        <w:rPr>
          <w:sz w:val="24"/>
        </w:rPr>
        <w:t>GB8702-2014</w:t>
      </w:r>
      <w:r>
        <w:rPr>
          <w:rFonts w:hint="eastAsia"/>
          <w:sz w:val="24"/>
        </w:rPr>
        <w:t>）中表</w:t>
      </w:r>
      <w:r>
        <w:rPr>
          <w:sz w:val="24"/>
        </w:rPr>
        <w:t>1</w:t>
      </w:r>
      <w:r>
        <w:rPr>
          <w:rFonts w:hint="eastAsia"/>
          <w:sz w:val="24"/>
        </w:rPr>
        <w:t>公众曝露控制限值要求。</w:t>
      </w:r>
    </w:p>
    <w:p w14:paraId="3509C4C8">
      <w:pPr>
        <w:spacing w:line="360" w:lineRule="auto"/>
        <w:ind w:firstLine="480" w:firstLineChars="200"/>
        <w:rPr>
          <w:bCs/>
          <w:sz w:val="24"/>
        </w:rPr>
      </w:pPr>
      <w:r>
        <w:rPr>
          <w:rFonts w:hint="eastAsia"/>
          <w:bCs/>
          <w:sz w:val="24"/>
        </w:rPr>
        <w:t>通过类比监测可以预测，本项目储能电站建成投产后，其周围的工频电场强度、磁感应强度</w:t>
      </w:r>
      <w:bookmarkStart w:id="143" w:name="OLE_LINK119"/>
      <w:r>
        <w:rPr>
          <w:rFonts w:hint="eastAsia"/>
          <w:bCs/>
          <w:sz w:val="24"/>
        </w:rPr>
        <w:t>均能满足</w:t>
      </w:r>
      <w:r>
        <w:rPr>
          <w:rFonts w:hint="eastAsia"/>
          <w:sz w:val="24"/>
        </w:rPr>
        <w:t>《电磁环境控制限值》（</w:t>
      </w:r>
      <w:r>
        <w:rPr>
          <w:sz w:val="24"/>
        </w:rPr>
        <w:t>GB8702-2014</w:t>
      </w:r>
      <w:r>
        <w:rPr>
          <w:rFonts w:hint="eastAsia"/>
          <w:sz w:val="24"/>
        </w:rPr>
        <w:t>）中表</w:t>
      </w:r>
      <w:r>
        <w:rPr>
          <w:sz w:val="24"/>
        </w:rPr>
        <w:t>1</w:t>
      </w:r>
      <w:r>
        <w:rPr>
          <w:rFonts w:hint="eastAsia"/>
          <w:sz w:val="24"/>
        </w:rPr>
        <w:t>公众曝露控制限值（</w:t>
      </w:r>
      <w:r>
        <w:rPr>
          <w:sz w:val="24"/>
        </w:rPr>
        <w:t>4kV/m</w:t>
      </w:r>
      <w:r>
        <w:rPr>
          <w:rFonts w:hint="eastAsia"/>
          <w:sz w:val="24"/>
        </w:rPr>
        <w:t>和</w:t>
      </w:r>
      <w:r>
        <w:rPr>
          <w:sz w:val="24"/>
        </w:rPr>
        <w:t>100µT</w:t>
      </w:r>
      <w:r>
        <w:rPr>
          <w:rFonts w:hint="eastAsia"/>
          <w:sz w:val="24"/>
        </w:rPr>
        <w:t>）要求</w:t>
      </w:r>
      <w:bookmarkEnd w:id="143"/>
      <w:r>
        <w:rPr>
          <w:bCs/>
          <w:sz w:val="24"/>
        </w:rPr>
        <w:t>。</w:t>
      </w:r>
    </w:p>
    <w:p w14:paraId="2330CC45">
      <w:pPr>
        <w:pStyle w:val="5"/>
      </w:pPr>
      <w:r>
        <w:t>7.5</w:t>
      </w:r>
      <w:r>
        <w:rPr>
          <w:rFonts w:hint="eastAsia"/>
        </w:rPr>
        <w:t>项目储能电站投运后电磁环境影响评价</w:t>
      </w:r>
    </w:p>
    <w:p w14:paraId="6E8B0F82">
      <w:pPr>
        <w:spacing w:line="360" w:lineRule="auto"/>
        <w:ind w:firstLine="480" w:firstLineChars="200"/>
        <w:rPr>
          <w:bCs/>
          <w:sz w:val="24"/>
        </w:rPr>
      </w:pPr>
      <w:r>
        <w:rPr>
          <w:rFonts w:hint="eastAsia"/>
          <w:bCs/>
          <w:sz w:val="24"/>
        </w:rPr>
        <w:t>综上所述，本工程投运后，拟建</w:t>
      </w:r>
      <w:r>
        <w:rPr>
          <w:bCs/>
          <w:sz w:val="24"/>
        </w:rPr>
        <w:t>220kV</w:t>
      </w:r>
      <w:r>
        <w:rPr>
          <w:rFonts w:hint="eastAsia"/>
          <w:bCs/>
          <w:sz w:val="24"/>
        </w:rPr>
        <w:t>储能电站四周厂界外5</w:t>
      </w:r>
      <w:r>
        <w:rPr>
          <w:bCs/>
          <w:sz w:val="24"/>
        </w:rPr>
        <w:t>m</w:t>
      </w:r>
      <w:r>
        <w:rPr>
          <w:rFonts w:hint="eastAsia"/>
          <w:bCs/>
          <w:sz w:val="24"/>
        </w:rPr>
        <w:t>处的工频电场强度、工频磁感应强度均能够满足《电磁环境控制限值》（</w:t>
      </w:r>
      <w:r>
        <w:rPr>
          <w:bCs/>
          <w:sz w:val="24"/>
        </w:rPr>
        <w:t>GB8702-2014</w:t>
      </w:r>
      <w:r>
        <w:rPr>
          <w:rFonts w:hint="eastAsia"/>
          <w:bCs/>
          <w:sz w:val="24"/>
        </w:rPr>
        <w:t>）中的频率为</w:t>
      </w:r>
      <w:r>
        <w:rPr>
          <w:bCs/>
          <w:sz w:val="24"/>
        </w:rPr>
        <w:t>0.05kHz</w:t>
      </w:r>
      <w:r>
        <w:rPr>
          <w:rFonts w:hint="eastAsia"/>
          <w:bCs/>
          <w:sz w:val="24"/>
        </w:rPr>
        <w:t>的公众曝露控制限值要求，</w:t>
      </w:r>
      <w:bookmarkStart w:id="144" w:name="OLE_LINK120"/>
      <w:r>
        <w:rPr>
          <w:rFonts w:hint="eastAsia"/>
          <w:bCs/>
          <w:sz w:val="24"/>
        </w:rPr>
        <w:t>即电场强度</w:t>
      </w:r>
      <w:r>
        <w:rPr>
          <w:bCs/>
          <w:sz w:val="24"/>
        </w:rPr>
        <w:t>4000V/m</w:t>
      </w:r>
      <w:r>
        <w:rPr>
          <w:rFonts w:hint="eastAsia"/>
          <w:bCs/>
          <w:sz w:val="24"/>
        </w:rPr>
        <w:t>、磁感应强度</w:t>
      </w:r>
      <w:r>
        <w:rPr>
          <w:bCs/>
          <w:sz w:val="24"/>
        </w:rPr>
        <w:t>100μT</w:t>
      </w:r>
      <w:r>
        <w:rPr>
          <w:rFonts w:hint="eastAsia"/>
          <w:bCs/>
          <w:sz w:val="24"/>
        </w:rPr>
        <w:t>。</w:t>
      </w:r>
      <w:bookmarkEnd w:id="144"/>
    </w:p>
    <w:bookmarkEnd w:id="139"/>
    <w:bookmarkEnd w:id="140"/>
    <w:bookmarkEnd w:id="141"/>
    <w:bookmarkEnd w:id="142"/>
    <w:p w14:paraId="0A46C999">
      <w:pPr>
        <w:pStyle w:val="3"/>
      </w:pPr>
      <w:bookmarkStart w:id="145" w:name="_Toc137692449"/>
      <w:r>
        <w:t>8</w:t>
      </w:r>
      <w:r>
        <w:rPr>
          <w:rFonts w:hint="eastAsia"/>
        </w:rPr>
        <w:t>电磁环境保护措施</w:t>
      </w:r>
    </w:p>
    <w:p w14:paraId="26D98471">
      <w:pPr>
        <w:pStyle w:val="10"/>
        <w:rPr>
          <w:szCs w:val="24"/>
        </w:rPr>
      </w:pPr>
      <w:bookmarkStart w:id="146" w:name="_Toc401151234"/>
      <w:bookmarkStart w:id="147" w:name="_Toc399688152"/>
      <w:bookmarkStart w:id="148" w:name="_Toc276475179"/>
      <w:bookmarkStart w:id="149" w:name="_Toc435986767"/>
      <w:r>
        <w:rPr>
          <w:rFonts w:hint="eastAsia" w:ascii="宋体" w:hAnsi="宋体"/>
        </w:rPr>
        <w:t>为降低项目对周围电磁环境的影响，建设单位应采取以下措施：</w:t>
      </w:r>
    </w:p>
    <w:p w14:paraId="6958B535">
      <w:pPr>
        <w:pStyle w:val="10"/>
      </w:pPr>
      <w:r>
        <w:rPr>
          <w:rFonts w:hint="eastAsia" w:ascii="宋体" w:hAnsi="宋体"/>
        </w:rPr>
        <w:t>（</w:t>
      </w:r>
      <w:r>
        <w:t>1</w:t>
      </w:r>
      <w:r>
        <w:rPr>
          <w:rFonts w:hint="eastAsia" w:ascii="宋体" w:hAnsi="宋体"/>
        </w:rPr>
        <w:t>）站内平行跨导线相序排列避免同相布置，减少同相母线交叉与相同转角布置，降低工频电场强度和工频磁感应强度。</w:t>
      </w:r>
    </w:p>
    <w:p w14:paraId="6723B1C5">
      <w:pPr>
        <w:pStyle w:val="29"/>
      </w:pPr>
      <w:r>
        <w:rPr>
          <w:rFonts w:hint="eastAsia" w:ascii="宋体" w:hAnsi="宋体"/>
        </w:rPr>
        <w:t>（</w:t>
      </w:r>
      <w:r>
        <w:t>2</w:t>
      </w:r>
      <w:r>
        <w:rPr>
          <w:rFonts w:hint="eastAsia" w:ascii="宋体" w:hAnsi="宋体"/>
        </w:rPr>
        <w:t>）配电装置采用</w:t>
      </w:r>
      <w:r>
        <w:t>GIS</w:t>
      </w:r>
      <w:r>
        <w:rPr>
          <w:rFonts w:hint="eastAsia" w:ascii="宋体" w:hAnsi="宋体"/>
        </w:rPr>
        <w:t>组合电器，将</w:t>
      </w:r>
      <w:r>
        <w:t>35kV</w:t>
      </w:r>
      <w:r>
        <w:rPr>
          <w:rFonts w:hint="eastAsia" w:ascii="宋体" w:hAnsi="宋体"/>
        </w:rPr>
        <w:t>开关、连线母线组合密封起来，可以大大减少占地，并且对工频电场、工频磁场有很好的屏蔽作用。</w:t>
      </w:r>
    </w:p>
    <w:p w14:paraId="66C38D83">
      <w:pPr>
        <w:pStyle w:val="29"/>
      </w:pPr>
      <w:r>
        <w:rPr>
          <w:rFonts w:hint="eastAsia" w:ascii="宋体" w:hAnsi="宋体"/>
        </w:rPr>
        <w:t>（</w:t>
      </w:r>
      <w:r>
        <w:t>3</w:t>
      </w:r>
      <w:r>
        <w:rPr>
          <w:rFonts w:hint="eastAsia" w:ascii="宋体" w:hAnsi="宋体"/>
        </w:rPr>
        <w:t>）将升压站内电气设备接地，以减小工频电场、工频磁场对周边环境的影响。</w:t>
      </w:r>
    </w:p>
    <w:p w14:paraId="2C67AACD">
      <w:pPr>
        <w:widowControl/>
        <w:spacing w:line="360" w:lineRule="auto"/>
        <w:ind w:firstLine="480" w:firstLineChars="200"/>
        <w:jc w:val="left"/>
        <w:rPr>
          <w:rFonts w:ascii="宋体" w:hAnsi="宋体"/>
          <w:kern w:val="0"/>
          <w:sz w:val="24"/>
        </w:rPr>
      </w:pPr>
      <w:r>
        <w:rPr>
          <w:rFonts w:hint="eastAsia" w:ascii="宋体" w:hAnsi="宋体"/>
          <w:kern w:val="0"/>
          <w:sz w:val="24"/>
        </w:rPr>
        <w:t>（4）保证升压站内高压设备、建筑物钢铁件均接地良好，所有设备导电元件间接触部位均连接紧密，以减小因接触不良而产生的火花放电。</w:t>
      </w:r>
    </w:p>
    <w:p w14:paraId="2392E506">
      <w:pPr>
        <w:spacing w:line="360" w:lineRule="auto"/>
        <w:ind w:firstLine="480" w:firstLineChars="200"/>
      </w:pPr>
      <w:r>
        <w:rPr>
          <w:rFonts w:hint="eastAsia" w:ascii="宋体" w:hAnsi="宋体"/>
          <w:kern w:val="0"/>
          <w:sz w:val="24"/>
        </w:rPr>
        <w:t>（5）</w:t>
      </w:r>
      <w:r>
        <w:rPr>
          <w:rFonts w:hint="eastAsia" w:ascii="宋体" w:hAnsi="宋体"/>
        </w:rPr>
        <w:t>升压</w:t>
      </w:r>
      <w:r>
        <w:rPr>
          <w:rFonts w:hint="eastAsia" w:ascii="宋体" w:hAnsi="宋体"/>
          <w:kern w:val="0"/>
          <w:sz w:val="24"/>
        </w:rPr>
        <w:t>站四周采用实体围墙，提高屏蔽效果。</w:t>
      </w:r>
    </w:p>
    <w:bookmarkEnd w:id="145"/>
    <w:bookmarkEnd w:id="146"/>
    <w:bookmarkEnd w:id="147"/>
    <w:bookmarkEnd w:id="148"/>
    <w:bookmarkEnd w:id="149"/>
    <w:p w14:paraId="372851EC">
      <w:pPr>
        <w:pStyle w:val="3"/>
      </w:pPr>
      <w:r>
        <w:t>9</w:t>
      </w:r>
      <w:r>
        <w:rPr>
          <w:rFonts w:hint="eastAsia"/>
        </w:rPr>
        <w:t>专项评价结论</w:t>
      </w:r>
    </w:p>
    <w:p w14:paraId="05D5AFB8">
      <w:pPr>
        <w:pStyle w:val="5"/>
      </w:pPr>
      <w:r>
        <w:t>9.1</w:t>
      </w:r>
      <w:r>
        <w:rPr>
          <w:rFonts w:hint="eastAsia"/>
        </w:rPr>
        <w:t>电磁环境评价结论</w:t>
      </w:r>
    </w:p>
    <w:p w14:paraId="21BC85C7">
      <w:pPr>
        <w:spacing w:line="360" w:lineRule="auto"/>
        <w:ind w:firstLine="480" w:firstLineChars="200"/>
        <w:rPr>
          <w:sz w:val="24"/>
        </w:rPr>
      </w:pPr>
      <w:r>
        <w:rPr>
          <w:rFonts w:hint="eastAsia"/>
          <w:sz w:val="24"/>
        </w:rPr>
        <w:t>本项目升压站和惠州220kV荣田变电站平面布置情况（均为户外布置）、电压等级（均为220kV）一致。荣田变电站主变数量为3台大于本项目升压站主变数量1台。荣田站的220kV出线方式为6回，大于本项目220kV出线方式1回。荣田站占地面积大于本项目。类比项目及本项目周边无其他设备干扰。因此，理论上荣田站工频电磁场对环境的影响比本的影响更大，因此以惠州220kV荣田变电站类比本项目投产后产生的电磁环境影响是保守的，具有可类比性的。通过类比监测可以预测，本项目投产后，围墙外产生的工频电磁环境影响满足《电磁环境控制限值》（GB8702-2014）中的频率为0.05kHz的公众曝露控制限制值要求（电场强度4000V/m、磁感应强度100</w:t>
      </w:r>
      <w:r>
        <w:rPr>
          <w:sz w:val="24"/>
        </w:rPr>
        <w:t>μT</w:t>
      </w:r>
      <w:r>
        <w:rPr>
          <w:rFonts w:hint="eastAsia"/>
          <w:sz w:val="24"/>
        </w:rPr>
        <w:t>）。</w:t>
      </w:r>
    </w:p>
    <w:p w14:paraId="60C78A64">
      <w:pPr>
        <w:pStyle w:val="5"/>
      </w:pPr>
      <w:r>
        <w:t>9.2</w:t>
      </w:r>
      <w:r>
        <w:rPr>
          <w:rFonts w:hint="eastAsia"/>
        </w:rPr>
        <w:t>建议</w:t>
      </w:r>
    </w:p>
    <w:p w14:paraId="18EF7146">
      <w:pPr>
        <w:spacing w:line="360" w:lineRule="auto"/>
        <w:ind w:firstLine="480" w:firstLineChars="200"/>
      </w:pPr>
      <w:r>
        <w:rPr>
          <w:rFonts w:hint="eastAsia"/>
          <w:sz w:val="24"/>
        </w:rPr>
        <w:t>本工程建成后，建设单位如需对其改扩建，必须按照《环境影响评价法》的要求向生态环境主管部门进行申报，并按照相关规定办理环境保护手续。</w:t>
      </w:r>
    </w:p>
    <w:p w14:paraId="37D0EE7B">
      <w:pPr>
        <w:spacing w:line="360" w:lineRule="auto"/>
        <w:ind w:firstLine="480" w:firstLineChars="200"/>
        <w:rPr>
          <w:sz w:val="24"/>
        </w:rPr>
      </w:pPr>
    </w:p>
    <w:p w14:paraId="594DA917">
      <w:bookmarkStart w:id="150" w:name="_GoBack"/>
      <w:bookmarkEnd w:id="150"/>
    </w:p>
    <w:sectPr>
      <w:headerReference r:id="rId7" w:type="default"/>
      <w:pgSz w:w="11906" w:h="16838"/>
      <w:pgMar w:top="1440" w:right="1800" w:bottom="1440" w:left="1800" w:header="851" w:footer="1077"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onsolas">
    <w:panose1 w:val="020B0609020204030204"/>
    <w:charset w:val="00"/>
    <w:family w:val="modern"/>
    <w:pitch w:val="default"/>
    <w:sig w:usb0="E00006FF" w:usb1="0000FCFF" w:usb2="00000001" w:usb3="00000000" w:csb0="6000019F" w:csb1="DFD7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TimesNewRomanPSMT">
    <w:altName w:val="Times New Roman"/>
    <w:panose1 w:val="00000000000000000000"/>
    <w:charset w:val="00"/>
    <w:family w:val="roman"/>
    <w:pitch w:val="default"/>
    <w:sig w:usb0="00000000" w:usb1="00000000" w:usb2="00000000" w:usb3="00000000" w:csb0="00000001" w:csb1="00000000"/>
  </w:font>
  <w:font w:name="新宋体">
    <w:panose1 w:val="02010609030101010101"/>
    <w:charset w:val="86"/>
    <w:family w:val="modern"/>
    <w:pitch w:val="default"/>
    <w:sig w:usb0="00000203" w:usb1="288F0000" w:usb2="00000006" w:usb3="00000000" w:csb0="00040001" w:csb1="00000000"/>
  </w:font>
  <w:font w:name="Cambria Math">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C161D">
    <w:pPr>
      <w:pStyle w:val="18"/>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246E4">
    <w:pPr>
      <w:pStyle w:val="18"/>
      <w:framePr w:wrap="around" w:vAnchor="text" w:hAnchor="margin" w:xAlign="outside" w:y="1"/>
      <w:rPr>
        <w:rStyle w:val="35"/>
      </w:rPr>
    </w:pPr>
    <w:r>
      <w:fldChar w:fldCharType="begin"/>
    </w:r>
    <w:r>
      <w:rPr>
        <w:rStyle w:val="35"/>
      </w:rPr>
      <w:instrText xml:space="preserve">PAGE  </w:instrText>
    </w:r>
    <w:r>
      <w:fldChar w:fldCharType="end"/>
    </w:r>
  </w:p>
  <w:p w14:paraId="482B118B">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07A2A">
    <w:pPr>
      <w:pStyle w:val="18"/>
      <w:ind w:right="360" w:firstLine="36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20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1AAAB25">
                          <w:pPr>
                            <w:pStyle w:val="18"/>
                            <w:rPr>
                              <w:rStyle w:val="35"/>
                              <w:rFonts w:ascii="宋体" w:hAnsi="宋体"/>
                              <w:sz w:val="28"/>
                              <w:szCs w:val="28"/>
                            </w:rPr>
                          </w:pPr>
                          <w:r>
                            <w:rPr>
                              <w:rStyle w:val="35"/>
                              <w:rFonts w:hint="eastAsia" w:ascii="宋体" w:hAnsi="宋体"/>
                              <w:sz w:val="28"/>
                              <w:szCs w:val="28"/>
                              <w:lang w:eastAsia="zh-CN"/>
                            </w:rPr>
                            <w:t>—</w:t>
                          </w:r>
                          <w:r>
                            <w:rPr>
                              <w:sz w:val="24"/>
                              <w:szCs w:val="24"/>
                            </w:rPr>
                            <w:fldChar w:fldCharType="begin"/>
                          </w:r>
                          <w:r>
                            <w:rPr>
                              <w:rStyle w:val="35"/>
                              <w:sz w:val="24"/>
                              <w:szCs w:val="24"/>
                            </w:rPr>
                            <w:instrText xml:space="preserve">PAGE  </w:instrText>
                          </w:r>
                          <w:r>
                            <w:rPr>
                              <w:sz w:val="24"/>
                              <w:szCs w:val="24"/>
                            </w:rPr>
                            <w:fldChar w:fldCharType="separate"/>
                          </w:r>
                          <w:r>
                            <w:rPr>
                              <w:rStyle w:val="35"/>
                              <w:sz w:val="24"/>
                              <w:szCs w:val="24"/>
                            </w:rPr>
                            <w:t>14</w:t>
                          </w:r>
                          <w:r>
                            <w:rPr>
                              <w:sz w:val="24"/>
                              <w:szCs w:val="24"/>
                            </w:rPr>
                            <w:fldChar w:fldCharType="end"/>
                          </w:r>
                          <w:r>
                            <w:rPr>
                              <w:rStyle w:val="35"/>
                              <w:rFonts w:hint="eastAsia" w:ascii="宋体" w:hAnsi="宋体"/>
                              <w:sz w:val="28"/>
                              <w:szCs w:val="28"/>
                              <w:lang w:eastAsia="zh-CN"/>
                            </w:rPr>
                            <w:t>—</w:t>
                          </w:r>
                        </w:p>
                      </w:txbxContent>
                    </wps:txbx>
                    <wps:bodyPr vert="horz" wrap="none" lIns="0" tIns="0" rIns="0" bIns="0" anchor="t" anchorCtr="0">
                      <a:spAutoFit/>
                    </wps:bodyPr>
                  </wps:wsp>
                </a:graphicData>
              </a:graphic>
            </wp:anchor>
          </w:drawing>
        </mc:Choice>
        <mc:Fallback>
          <w:pict>
            <v:shape id="文本框 2050"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ql5uc8AAAAFAQAADwAAAAAAAAABACAAAAAi&#10;AAAAZHJzL2Rvd25yZXYueG1sUEsBAhQAFAAAAAgAh07iQGUW3kDaAQAAtgMAAA4AAAAAAAAAAQAg&#10;AAAAHgEAAGRycy9lMm9Eb2MueG1sUEsFBgAAAAAGAAYAWQEAAGoFAAAAAA==&#10;">
              <v:fill on="f" focussize="0,0"/>
              <v:stroke on="f"/>
              <v:imagedata o:title=""/>
              <o:lock v:ext="edit" aspectratio="f"/>
              <v:textbox inset="0mm,0mm,0mm,0mm" style="mso-fit-shape-to-text:t;">
                <w:txbxContent>
                  <w:p w14:paraId="61AAAB25">
                    <w:pPr>
                      <w:pStyle w:val="18"/>
                      <w:rPr>
                        <w:rStyle w:val="35"/>
                        <w:rFonts w:ascii="宋体" w:hAnsi="宋体"/>
                        <w:sz w:val="28"/>
                        <w:szCs w:val="28"/>
                      </w:rPr>
                    </w:pPr>
                    <w:r>
                      <w:rPr>
                        <w:rStyle w:val="35"/>
                        <w:rFonts w:hint="eastAsia" w:ascii="宋体" w:hAnsi="宋体"/>
                        <w:sz w:val="28"/>
                        <w:szCs w:val="28"/>
                        <w:lang w:eastAsia="zh-CN"/>
                      </w:rPr>
                      <w:t>—</w:t>
                    </w:r>
                    <w:r>
                      <w:rPr>
                        <w:sz w:val="24"/>
                        <w:szCs w:val="24"/>
                      </w:rPr>
                      <w:fldChar w:fldCharType="begin"/>
                    </w:r>
                    <w:r>
                      <w:rPr>
                        <w:rStyle w:val="35"/>
                        <w:sz w:val="24"/>
                        <w:szCs w:val="24"/>
                      </w:rPr>
                      <w:instrText xml:space="preserve">PAGE  </w:instrText>
                    </w:r>
                    <w:r>
                      <w:rPr>
                        <w:sz w:val="24"/>
                        <w:szCs w:val="24"/>
                      </w:rPr>
                      <w:fldChar w:fldCharType="separate"/>
                    </w:r>
                    <w:r>
                      <w:rPr>
                        <w:rStyle w:val="35"/>
                        <w:sz w:val="24"/>
                        <w:szCs w:val="24"/>
                      </w:rPr>
                      <w:t>14</w:t>
                    </w:r>
                    <w:r>
                      <w:rPr>
                        <w:sz w:val="24"/>
                        <w:szCs w:val="24"/>
                      </w:rPr>
                      <w:fldChar w:fldCharType="end"/>
                    </w:r>
                    <w:r>
                      <w:rPr>
                        <w:rStyle w:val="35"/>
                        <w:rFonts w:hint="eastAsia" w:ascii="宋体" w:hAnsi="宋体"/>
                        <w:sz w:val="28"/>
                        <w:szCs w:val="28"/>
                        <w:lang w:eastAsia="zh-CN"/>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BCE90">
    <w:pPr>
      <w:pStyle w:val="18"/>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 name="文本框 20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3525442">
                          <w:pPr>
                            <w:pStyle w:val="18"/>
                            <w:rPr>
                              <w:rStyle w:val="35"/>
                              <w:rFonts w:ascii="宋体" w:hAnsi="宋体"/>
                              <w:sz w:val="28"/>
                              <w:szCs w:val="28"/>
                            </w:rPr>
                          </w:pPr>
                          <w:r>
                            <w:rPr>
                              <w:rStyle w:val="35"/>
                              <w:rFonts w:hint="eastAsia" w:ascii="宋体" w:hAnsi="宋体"/>
                              <w:sz w:val="28"/>
                              <w:szCs w:val="28"/>
                              <w:lang w:eastAsia="zh-CN"/>
                            </w:rPr>
                            <w:t>—</w:t>
                          </w:r>
                          <w:r>
                            <w:rPr>
                              <w:sz w:val="24"/>
                              <w:szCs w:val="24"/>
                            </w:rPr>
                            <w:fldChar w:fldCharType="begin"/>
                          </w:r>
                          <w:r>
                            <w:rPr>
                              <w:rStyle w:val="35"/>
                              <w:sz w:val="24"/>
                              <w:szCs w:val="24"/>
                            </w:rPr>
                            <w:instrText xml:space="preserve">PAGE  </w:instrText>
                          </w:r>
                          <w:r>
                            <w:rPr>
                              <w:sz w:val="24"/>
                              <w:szCs w:val="24"/>
                            </w:rPr>
                            <w:fldChar w:fldCharType="separate"/>
                          </w:r>
                          <w:r>
                            <w:rPr>
                              <w:rStyle w:val="35"/>
                              <w:sz w:val="24"/>
                              <w:szCs w:val="24"/>
                            </w:rPr>
                            <w:t>105</w:t>
                          </w:r>
                          <w:r>
                            <w:rPr>
                              <w:sz w:val="24"/>
                              <w:szCs w:val="24"/>
                            </w:rPr>
                            <w:fldChar w:fldCharType="end"/>
                          </w:r>
                          <w:r>
                            <w:rPr>
                              <w:rStyle w:val="35"/>
                              <w:rFonts w:hint="eastAsia" w:ascii="宋体" w:hAnsi="宋体"/>
                              <w:sz w:val="28"/>
                              <w:szCs w:val="28"/>
                              <w:lang w:eastAsia="zh-CN"/>
                            </w:rPr>
                            <w:t>—</w:t>
                          </w:r>
                        </w:p>
                      </w:txbxContent>
                    </wps:txbx>
                    <wps:bodyPr vert="horz" wrap="none" lIns="0" tIns="0" rIns="0" bIns="0" anchor="t" anchorCtr="0">
                      <a:spAutoFit/>
                    </wps:bodyPr>
                  </wps:wsp>
                </a:graphicData>
              </a:graphic>
            </wp:anchor>
          </w:drawing>
        </mc:Choice>
        <mc:Fallback>
          <w:pict>
            <v:shape id="文本框 2050"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ql5uc8AAAAFAQAADwAAAAAAAAABACAAAAAi&#10;AAAAZHJzL2Rvd25yZXYueG1sUEsBAhQAFAAAAAgAh07iQMDHhrLaAQAAtwMAAA4AAAAAAAAAAQAg&#10;AAAAHgEAAGRycy9lMm9Eb2MueG1sUEsFBgAAAAAGAAYAWQEAAGoFAAAAAA==&#10;">
              <v:fill on="f" focussize="0,0"/>
              <v:stroke on="f"/>
              <v:imagedata o:title=""/>
              <o:lock v:ext="edit" aspectratio="f"/>
              <v:textbox inset="0mm,0mm,0mm,0mm" style="mso-fit-shape-to-text:t;">
                <w:txbxContent>
                  <w:p w14:paraId="33525442">
                    <w:pPr>
                      <w:pStyle w:val="18"/>
                      <w:rPr>
                        <w:rStyle w:val="35"/>
                        <w:rFonts w:ascii="宋体" w:hAnsi="宋体"/>
                        <w:sz w:val="28"/>
                        <w:szCs w:val="28"/>
                      </w:rPr>
                    </w:pPr>
                    <w:r>
                      <w:rPr>
                        <w:rStyle w:val="35"/>
                        <w:rFonts w:hint="eastAsia" w:ascii="宋体" w:hAnsi="宋体"/>
                        <w:sz w:val="28"/>
                        <w:szCs w:val="28"/>
                        <w:lang w:eastAsia="zh-CN"/>
                      </w:rPr>
                      <w:t>—</w:t>
                    </w:r>
                    <w:r>
                      <w:rPr>
                        <w:sz w:val="24"/>
                        <w:szCs w:val="24"/>
                      </w:rPr>
                      <w:fldChar w:fldCharType="begin"/>
                    </w:r>
                    <w:r>
                      <w:rPr>
                        <w:rStyle w:val="35"/>
                        <w:sz w:val="24"/>
                        <w:szCs w:val="24"/>
                      </w:rPr>
                      <w:instrText xml:space="preserve">PAGE  </w:instrText>
                    </w:r>
                    <w:r>
                      <w:rPr>
                        <w:sz w:val="24"/>
                        <w:szCs w:val="24"/>
                      </w:rPr>
                      <w:fldChar w:fldCharType="separate"/>
                    </w:r>
                    <w:r>
                      <w:rPr>
                        <w:rStyle w:val="35"/>
                        <w:sz w:val="24"/>
                        <w:szCs w:val="24"/>
                      </w:rPr>
                      <w:t>105</w:t>
                    </w:r>
                    <w:r>
                      <w:rPr>
                        <w:sz w:val="24"/>
                        <w:szCs w:val="24"/>
                      </w:rPr>
                      <w:fldChar w:fldCharType="end"/>
                    </w:r>
                    <w:r>
                      <w:rPr>
                        <w:rStyle w:val="35"/>
                        <w:rFonts w:hint="eastAsia" w:ascii="宋体" w:hAnsi="宋体"/>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D8939">
    <w:pPr>
      <w:pStyle w:val="1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4C7FFD"/>
    <w:multiLevelType w:val="singleLevel"/>
    <w:tmpl w:val="CF4C7FFD"/>
    <w:lvl w:ilvl="0" w:tentative="0">
      <w:start w:val="1"/>
      <w:numFmt w:val="decimal"/>
      <w:pStyle w:val="11"/>
      <w:lvlText w:val="(%1)"/>
      <w:lvlJc w:val="left"/>
      <w:pPr>
        <w:ind w:left="845" w:hanging="425"/>
      </w:pPr>
      <w:rPr>
        <w:rFonts w:hint="default"/>
      </w:rPr>
    </w:lvl>
  </w:abstractNum>
  <w:abstractNum w:abstractNumId="1">
    <w:nsid w:val="42AB9A05"/>
    <w:multiLevelType w:val="singleLevel"/>
    <w:tmpl w:val="42AB9A05"/>
    <w:lvl w:ilvl="0" w:tentative="0">
      <w:start w:val="1"/>
      <w:numFmt w:val="upperLetter"/>
      <w:suff w:val="nothing"/>
      <w:lvlText w:val="%1、"/>
      <w:lvlJc w:val="left"/>
    </w:lvl>
  </w:abstractNum>
  <w:abstractNum w:abstractNumId="2">
    <w:nsid w:val="43688CC4"/>
    <w:multiLevelType w:val="singleLevel"/>
    <w:tmpl w:val="43688CC4"/>
    <w:lvl w:ilvl="0" w:tentative="0">
      <w:start w:val="1"/>
      <w:numFmt w:val="decimal"/>
      <w:lvlText w:val="(%1)"/>
      <w:lvlJc w:val="left"/>
      <w:pPr>
        <w:ind w:left="845" w:hanging="425"/>
      </w:pPr>
      <w:rPr>
        <w:rFonts w:hint="default"/>
      </w:rPr>
    </w:lvl>
  </w:abstractNum>
  <w:num w:numId="1">
    <w:abstractNumId w:val="0"/>
  </w:num>
  <w:num w:numId="2">
    <w:abstractNumId w:val="1"/>
  </w:num>
  <w:num w:numId="3">
    <w:abstractNumId w:val="0"/>
    <w:lvlOverride w:ilvl="0">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HorizontalSpacing w:val="210"/>
  <w:drawingGridVerticalSpacing w:val="-7946"/>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E4ZDU2MGZhN2VkMDI2YzM0NTBkNDQwNDUxZTcyYWYifQ=="/>
  </w:docVars>
  <w:rsids>
    <w:rsidRoot w:val="00172A27"/>
    <w:rsid w:val="00005963"/>
    <w:rsid w:val="000060B3"/>
    <w:rsid w:val="00011099"/>
    <w:rsid w:val="00012E94"/>
    <w:rsid w:val="00013C17"/>
    <w:rsid w:val="00020CB6"/>
    <w:rsid w:val="000242E8"/>
    <w:rsid w:val="00035D1B"/>
    <w:rsid w:val="00035EDD"/>
    <w:rsid w:val="00036BFD"/>
    <w:rsid w:val="00040F39"/>
    <w:rsid w:val="0004115F"/>
    <w:rsid w:val="0004203B"/>
    <w:rsid w:val="0004364B"/>
    <w:rsid w:val="00051BB5"/>
    <w:rsid w:val="00054EF3"/>
    <w:rsid w:val="00061127"/>
    <w:rsid w:val="00061B1F"/>
    <w:rsid w:val="00071AE4"/>
    <w:rsid w:val="000733C4"/>
    <w:rsid w:val="00074783"/>
    <w:rsid w:val="000802BA"/>
    <w:rsid w:val="0008070B"/>
    <w:rsid w:val="000810AC"/>
    <w:rsid w:val="00081A02"/>
    <w:rsid w:val="00082231"/>
    <w:rsid w:val="0008249F"/>
    <w:rsid w:val="00084FEA"/>
    <w:rsid w:val="000856B5"/>
    <w:rsid w:val="00092D38"/>
    <w:rsid w:val="0009377B"/>
    <w:rsid w:val="000A20C9"/>
    <w:rsid w:val="000A5B78"/>
    <w:rsid w:val="000A60AB"/>
    <w:rsid w:val="000B0278"/>
    <w:rsid w:val="000B058F"/>
    <w:rsid w:val="000B0841"/>
    <w:rsid w:val="000B1901"/>
    <w:rsid w:val="000B4467"/>
    <w:rsid w:val="000B4DB9"/>
    <w:rsid w:val="000B652B"/>
    <w:rsid w:val="000C09AC"/>
    <w:rsid w:val="000C1FA7"/>
    <w:rsid w:val="000C63AE"/>
    <w:rsid w:val="000C767F"/>
    <w:rsid w:val="000D2C0B"/>
    <w:rsid w:val="000D5A44"/>
    <w:rsid w:val="000D6943"/>
    <w:rsid w:val="000D7E8A"/>
    <w:rsid w:val="000E002D"/>
    <w:rsid w:val="000E322D"/>
    <w:rsid w:val="000E3ED2"/>
    <w:rsid w:val="000E56FC"/>
    <w:rsid w:val="000E702E"/>
    <w:rsid w:val="000E7A5C"/>
    <w:rsid w:val="00113404"/>
    <w:rsid w:val="00115B63"/>
    <w:rsid w:val="00120099"/>
    <w:rsid w:val="00122A86"/>
    <w:rsid w:val="00124D41"/>
    <w:rsid w:val="00127CE6"/>
    <w:rsid w:val="0013026C"/>
    <w:rsid w:val="00130762"/>
    <w:rsid w:val="00130D7B"/>
    <w:rsid w:val="00131F42"/>
    <w:rsid w:val="00132B66"/>
    <w:rsid w:val="00132D39"/>
    <w:rsid w:val="0013451D"/>
    <w:rsid w:val="001346CA"/>
    <w:rsid w:val="001357F1"/>
    <w:rsid w:val="00140FA8"/>
    <w:rsid w:val="00141BE8"/>
    <w:rsid w:val="00142FEB"/>
    <w:rsid w:val="00143A2D"/>
    <w:rsid w:val="00145A41"/>
    <w:rsid w:val="00147E1A"/>
    <w:rsid w:val="00151675"/>
    <w:rsid w:val="00157435"/>
    <w:rsid w:val="00161144"/>
    <w:rsid w:val="0016384E"/>
    <w:rsid w:val="00167C2F"/>
    <w:rsid w:val="0017008D"/>
    <w:rsid w:val="001705A0"/>
    <w:rsid w:val="00170CFA"/>
    <w:rsid w:val="00172A27"/>
    <w:rsid w:val="00174308"/>
    <w:rsid w:val="0017504D"/>
    <w:rsid w:val="0017671A"/>
    <w:rsid w:val="00177422"/>
    <w:rsid w:val="00184590"/>
    <w:rsid w:val="001863F6"/>
    <w:rsid w:val="00186E98"/>
    <w:rsid w:val="001870D1"/>
    <w:rsid w:val="0018781E"/>
    <w:rsid w:val="0019262D"/>
    <w:rsid w:val="00193F6A"/>
    <w:rsid w:val="001943AE"/>
    <w:rsid w:val="00196674"/>
    <w:rsid w:val="001A01AA"/>
    <w:rsid w:val="001A1B35"/>
    <w:rsid w:val="001A48A2"/>
    <w:rsid w:val="001A6F61"/>
    <w:rsid w:val="001B1146"/>
    <w:rsid w:val="001B2BEC"/>
    <w:rsid w:val="001B3149"/>
    <w:rsid w:val="001B3CCA"/>
    <w:rsid w:val="001B5F53"/>
    <w:rsid w:val="001B72B8"/>
    <w:rsid w:val="001C1C58"/>
    <w:rsid w:val="001C6593"/>
    <w:rsid w:val="001C69B3"/>
    <w:rsid w:val="001C7D8A"/>
    <w:rsid w:val="001D0554"/>
    <w:rsid w:val="001D32BF"/>
    <w:rsid w:val="001D5595"/>
    <w:rsid w:val="001D7874"/>
    <w:rsid w:val="001D7F22"/>
    <w:rsid w:val="001E045A"/>
    <w:rsid w:val="001E3919"/>
    <w:rsid w:val="001E7FFA"/>
    <w:rsid w:val="001F0F17"/>
    <w:rsid w:val="001F3347"/>
    <w:rsid w:val="001F69E4"/>
    <w:rsid w:val="002102E7"/>
    <w:rsid w:val="002125B4"/>
    <w:rsid w:val="00214CE7"/>
    <w:rsid w:val="002155B8"/>
    <w:rsid w:val="00216334"/>
    <w:rsid w:val="002178BE"/>
    <w:rsid w:val="00220285"/>
    <w:rsid w:val="0022070B"/>
    <w:rsid w:val="00220CD5"/>
    <w:rsid w:val="00223B34"/>
    <w:rsid w:val="00224839"/>
    <w:rsid w:val="002249B2"/>
    <w:rsid w:val="00225F33"/>
    <w:rsid w:val="00226574"/>
    <w:rsid w:val="002278EC"/>
    <w:rsid w:val="00227F06"/>
    <w:rsid w:val="0023280E"/>
    <w:rsid w:val="002377D1"/>
    <w:rsid w:val="00237FA6"/>
    <w:rsid w:val="0024073F"/>
    <w:rsid w:val="0024136A"/>
    <w:rsid w:val="00244316"/>
    <w:rsid w:val="002506BC"/>
    <w:rsid w:val="00253627"/>
    <w:rsid w:val="00254345"/>
    <w:rsid w:val="00256B31"/>
    <w:rsid w:val="00262692"/>
    <w:rsid w:val="002630E3"/>
    <w:rsid w:val="00264557"/>
    <w:rsid w:val="00265CA5"/>
    <w:rsid w:val="00270503"/>
    <w:rsid w:val="00274D86"/>
    <w:rsid w:val="00275E6A"/>
    <w:rsid w:val="0027627C"/>
    <w:rsid w:val="00276CB9"/>
    <w:rsid w:val="00277338"/>
    <w:rsid w:val="00280260"/>
    <w:rsid w:val="002803D7"/>
    <w:rsid w:val="002805AB"/>
    <w:rsid w:val="00281A9E"/>
    <w:rsid w:val="00284204"/>
    <w:rsid w:val="00291773"/>
    <w:rsid w:val="002A168C"/>
    <w:rsid w:val="002A3DC7"/>
    <w:rsid w:val="002A56E1"/>
    <w:rsid w:val="002A702B"/>
    <w:rsid w:val="002A737E"/>
    <w:rsid w:val="002B2D2D"/>
    <w:rsid w:val="002B376E"/>
    <w:rsid w:val="002B49E2"/>
    <w:rsid w:val="002B4F98"/>
    <w:rsid w:val="002B6766"/>
    <w:rsid w:val="002B68B0"/>
    <w:rsid w:val="002B68E5"/>
    <w:rsid w:val="002B7B00"/>
    <w:rsid w:val="002B7C44"/>
    <w:rsid w:val="002C29A3"/>
    <w:rsid w:val="002C2B17"/>
    <w:rsid w:val="002C59A3"/>
    <w:rsid w:val="002C64AC"/>
    <w:rsid w:val="002D26CD"/>
    <w:rsid w:val="002D3DD0"/>
    <w:rsid w:val="002D5F60"/>
    <w:rsid w:val="002D5F69"/>
    <w:rsid w:val="002E0A47"/>
    <w:rsid w:val="002E0D15"/>
    <w:rsid w:val="002E1F3A"/>
    <w:rsid w:val="002E21A2"/>
    <w:rsid w:val="002E298A"/>
    <w:rsid w:val="002F0814"/>
    <w:rsid w:val="002F18A9"/>
    <w:rsid w:val="002F4997"/>
    <w:rsid w:val="00301978"/>
    <w:rsid w:val="0030332C"/>
    <w:rsid w:val="003051C2"/>
    <w:rsid w:val="00312296"/>
    <w:rsid w:val="00312A48"/>
    <w:rsid w:val="00314F0E"/>
    <w:rsid w:val="003171A8"/>
    <w:rsid w:val="00321D8E"/>
    <w:rsid w:val="00325928"/>
    <w:rsid w:val="00327077"/>
    <w:rsid w:val="003326F2"/>
    <w:rsid w:val="00332863"/>
    <w:rsid w:val="00333D0D"/>
    <w:rsid w:val="003357C7"/>
    <w:rsid w:val="0033684D"/>
    <w:rsid w:val="00337381"/>
    <w:rsid w:val="0033791F"/>
    <w:rsid w:val="00337A3E"/>
    <w:rsid w:val="00337B42"/>
    <w:rsid w:val="00341569"/>
    <w:rsid w:val="00341B42"/>
    <w:rsid w:val="0034348F"/>
    <w:rsid w:val="00343635"/>
    <w:rsid w:val="00343B98"/>
    <w:rsid w:val="00353CD2"/>
    <w:rsid w:val="00356653"/>
    <w:rsid w:val="0035743F"/>
    <w:rsid w:val="00357BE2"/>
    <w:rsid w:val="0036170C"/>
    <w:rsid w:val="00361EEA"/>
    <w:rsid w:val="00362AD0"/>
    <w:rsid w:val="00366E0F"/>
    <w:rsid w:val="00370623"/>
    <w:rsid w:val="0037131C"/>
    <w:rsid w:val="00373BEB"/>
    <w:rsid w:val="00375040"/>
    <w:rsid w:val="0037558A"/>
    <w:rsid w:val="00381A72"/>
    <w:rsid w:val="003821B1"/>
    <w:rsid w:val="00382E9E"/>
    <w:rsid w:val="00384676"/>
    <w:rsid w:val="00384C87"/>
    <w:rsid w:val="003858FE"/>
    <w:rsid w:val="00386047"/>
    <w:rsid w:val="00390857"/>
    <w:rsid w:val="00393CEF"/>
    <w:rsid w:val="00393E20"/>
    <w:rsid w:val="003A1BC3"/>
    <w:rsid w:val="003A347C"/>
    <w:rsid w:val="003A4BF3"/>
    <w:rsid w:val="003A765B"/>
    <w:rsid w:val="003B420D"/>
    <w:rsid w:val="003B6AE2"/>
    <w:rsid w:val="003C1632"/>
    <w:rsid w:val="003C6C16"/>
    <w:rsid w:val="003D035D"/>
    <w:rsid w:val="003D794D"/>
    <w:rsid w:val="003E216A"/>
    <w:rsid w:val="003E3058"/>
    <w:rsid w:val="003E5052"/>
    <w:rsid w:val="003E60E8"/>
    <w:rsid w:val="003E6F60"/>
    <w:rsid w:val="003E76A9"/>
    <w:rsid w:val="003F0809"/>
    <w:rsid w:val="003F1595"/>
    <w:rsid w:val="003F1982"/>
    <w:rsid w:val="003F47D1"/>
    <w:rsid w:val="003F6A8C"/>
    <w:rsid w:val="003F755C"/>
    <w:rsid w:val="00404615"/>
    <w:rsid w:val="004062DA"/>
    <w:rsid w:val="00406F01"/>
    <w:rsid w:val="00407A12"/>
    <w:rsid w:val="00407F06"/>
    <w:rsid w:val="00416D50"/>
    <w:rsid w:val="00416FD5"/>
    <w:rsid w:val="00417772"/>
    <w:rsid w:val="00420E6A"/>
    <w:rsid w:val="00424E02"/>
    <w:rsid w:val="00425A9E"/>
    <w:rsid w:val="00426D6B"/>
    <w:rsid w:val="00427F6A"/>
    <w:rsid w:val="00431E6C"/>
    <w:rsid w:val="00432727"/>
    <w:rsid w:val="00433CE7"/>
    <w:rsid w:val="00434821"/>
    <w:rsid w:val="00444ED3"/>
    <w:rsid w:val="00447375"/>
    <w:rsid w:val="00451ADB"/>
    <w:rsid w:val="00452738"/>
    <w:rsid w:val="00456091"/>
    <w:rsid w:val="004565D4"/>
    <w:rsid w:val="00463358"/>
    <w:rsid w:val="00466321"/>
    <w:rsid w:val="0047239D"/>
    <w:rsid w:val="00472CE1"/>
    <w:rsid w:val="004774A8"/>
    <w:rsid w:val="004833C3"/>
    <w:rsid w:val="00484B9B"/>
    <w:rsid w:val="004855F6"/>
    <w:rsid w:val="0048661E"/>
    <w:rsid w:val="004876ED"/>
    <w:rsid w:val="004877A9"/>
    <w:rsid w:val="004926D9"/>
    <w:rsid w:val="00494670"/>
    <w:rsid w:val="0049488F"/>
    <w:rsid w:val="00495871"/>
    <w:rsid w:val="004A10AB"/>
    <w:rsid w:val="004A1742"/>
    <w:rsid w:val="004A3823"/>
    <w:rsid w:val="004A3CF9"/>
    <w:rsid w:val="004A54EE"/>
    <w:rsid w:val="004A5678"/>
    <w:rsid w:val="004B06A8"/>
    <w:rsid w:val="004B4D21"/>
    <w:rsid w:val="004B53C7"/>
    <w:rsid w:val="004B6834"/>
    <w:rsid w:val="004C531B"/>
    <w:rsid w:val="004C6201"/>
    <w:rsid w:val="004D342B"/>
    <w:rsid w:val="004D3BE4"/>
    <w:rsid w:val="004E1190"/>
    <w:rsid w:val="004E2022"/>
    <w:rsid w:val="004E6418"/>
    <w:rsid w:val="004E6946"/>
    <w:rsid w:val="004E770D"/>
    <w:rsid w:val="004E7B53"/>
    <w:rsid w:val="004F1733"/>
    <w:rsid w:val="004F1AD8"/>
    <w:rsid w:val="004F7767"/>
    <w:rsid w:val="005039CB"/>
    <w:rsid w:val="00504A71"/>
    <w:rsid w:val="0050558F"/>
    <w:rsid w:val="00506286"/>
    <w:rsid w:val="0051048D"/>
    <w:rsid w:val="00510813"/>
    <w:rsid w:val="00511990"/>
    <w:rsid w:val="00511DE0"/>
    <w:rsid w:val="00514870"/>
    <w:rsid w:val="00514B9B"/>
    <w:rsid w:val="005161D5"/>
    <w:rsid w:val="005168C2"/>
    <w:rsid w:val="00517F02"/>
    <w:rsid w:val="0052088F"/>
    <w:rsid w:val="00520AAE"/>
    <w:rsid w:val="00524303"/>
    <w:rsid w:val="005258A2"/>
    <w:rsid w:val="00526D86"/>
    <w:rsid w:val="005270D7"/>
    <w:rsid w:val="00533388"/>
    <w:rsid w:val="00534273"/>
    <w:rsid w:val="005401AE"/>
    <w:rsid w:val="00540331"/>
    <w:rsid w:val="00540999"/>
    <w:rsid w:val="00542E07"/>
    <w:rsid w:val="00545424"/>
    <w:rsid w:val="0054639A"/>
    <w:rsid w:val="00551E2A"/>
    <w:rsid w:val="00553F53"/>
    <w:rsid w:val="00554A7B"/>
    <w:rsid w:val="0055572C"/>
    <w:rsid w:val="00556A87"/>
    <w:rsid w:val="0056106A"/>
    <w:rsid w:val="00563B3C"/>
    <w:rsid w:val="005720AE"/>
    <w:rsid w:val="00574830"/>
    <w:rsid w:val="00574CC1"/>
    <w:rsid w:val="00574D9B"/>
    <w:rsid w:val="005806BB"/>
    <w:rsid w:val="005814A8"/>
    <w:rsid w:val="00581F5D"/>
    <w:rsid w:val="005849C7"/>
    <w:rsid w:val="005861F4"/>
    <w:rsid w:val="00586FB2"/>
    <w:rsid w:val="005900C2"/>
    <w:rsid w:val="005937A1"/>
    <w:rsid w:val="005937C6"/>
    <w:rsid w:val="00594D77"/>
    <w:rsid w:val="005969E4"/>
    <w:rsid w:val="00597EB8"/>
    <w:rsid w:val="005A06B7"/>
    <w:rsid w:val="005A1759"/>
    <w:rsid w:val="005A4AA8"/>
    <w:rsid w:val="005A5AC1"/>
    <w:rsid w:val="005A68A7"/>
    <w:rsid w:val="005A6A8F"/>
    <w:rsid w:val="005B091C"/>
    <w:rsid w:val="005B5E39"/>
    <w:rsid w:val="005C2E77"/>
    <w:rsid w:val="005C31EE"/>
    <w:rsid w:val="005C5554"/>
    <w:rsid w:val="005C5961"/>
    <w:rsid w:val="005D36AB"/>
    <w:rsid w:val="005D606F"/>
    <w:rsid w:val="005E285F"/>
    <w:rsid w:val="005E7C16"/>
    <w:rsid w:val="005F0560"/>
    <w:rsid w:val="005F2771"/>
    <w:rsid w:val="005F2837"/>
    <w:rsid w:val="005F41F5"/>
    <w:rsid w:val="005F67C1"/>
    <w:rsid w:val="00602684"/>
    <w:rsid w:val="006120CD"/>
    <w:rsid w:val="00614F95"/>
    <w:rsid w:val="00616AA3"/>
    <w:rsid w:val="00617CC3"/>
    <w:rsid w:val="006257DE"/>
    <w:rsid w:val="0062683C"/>
    <w:rsid w:val="0062762F"/>
    <w:rsid w:val="00633273"/>
    <w:rsid w:val="0063444B"/>
    <w:rsid w:val="006350DE"/>
    <w:rsid w:val="00635F2B"/>
    <w:rsid w:val="0063629D"/>
    <w:rsid w:val="006377A6"/>
    <w:rsid w:val="00637A3D"/>
    <w:rsid w:val="006411EF"/>
    <w:rsid w:val="006423A0"/>
    <w:rsid w:val="006466E8"/>
    <w:rsid w:val="00646EBC"/>
    <w:rsid w:val="006476E8"/>
    <w:rsid w:val="00653FB0"/>
    <w:rsid w:val="0065515C"/>
    <w:rsid w:val="00660488"/>
    <w:rsid w:val="00661515"/>
    <w:rsid w:val="0066542B"/>
    <w:rsid w:val="006748B8"/>
    <w:rsid w:val="0067511D"/>
    <w:rsid w:val="00675A69"/>
    <w:rsid w:val="006775C3"/>
    <w:rsid w:val="00680EED"/>
    <w:rsid w:val="006855AE"/>
    <w:rsid w:val="00685ECF"/>
    <w:rsid w:val="006877D9"/>
    <w:rsid w:val="0069290A"/>
    <w:rsid w:val="0069592B"/>
    <w:rsid w:val="0069775A"/>
    <w:rsid w:val="00697813"/>
    <w:rsid w:val="00697A70"/>
    <w:rsid w:val="006A2848"/>
    <w:rsid w:val="006A3DCA"/>
    <w:rsid w:val="006A3EE8"/>
    <w:rsid w:val="006A72BF"/>
    <w:rsid w:val="006B03F2"/>
    <w:rsid w:val="006B37DC"/>
    <w:rsid w:val="006B4F68"/>
    <w:rsid w:val="006B7F1C"/>
    <w:rsid w:val="006C04BD"/>
    <w:rsid w:val="006C0592"/>
    <w:rsid w:val="006C272E"/>
    <w:rsid w:val="006C2B6D"/>
    <w:rsid w:val="006C5479"/>
    <w:rsid w:val="006D0E4D"/>
    <w:rsid w:val="006D13B5"/>
    <w:rsid w:val="006D4529"/>
    <w:rsid w:val="006E12FF"/>
    <w:rsid w:val="006E1EFD"/>
    <w:rsid w:val="006E457A"/>
    <w:rsid w:val="006E5901"/>
    <w:rsid w:val="006E607E"/>
    <w:rsid w:val="006E6AE0"/>
    <w:rsid w:val="006F1D1C"/>
    <w:rsid w:val="00700861"/>
    <w:rsid w:val="00703110"/>
    <w:rsid w:val="00704749"/>
    <w:rsid w:val="00706A81"/>
    <w:rsid w:val="00706C5D"/>
    <w:rsid w:val="0071093F"/>
    <w:rsid w:val="00713A9C"/>
    <w:rsid w:val="00717C34"/>
    <w:rsid w:val="007219AA"/>
    <w:rsid w:val="00724084"/>
    <w:rsid w:val="00726686"/>
    <w:rsid w:val="007301B5"/>
    <w:rsid w:val="00732922"/>
    <w:rsid w:val="00747785"/>
    <w:rsid w:val="0075162E"/>
    <w:rsid w:val="007533E3"/>
    <w:rsid w:val="00754034"/>
    <w:rsid w:val="00756556"/>
    <w:rsid w:val="00756B23"/>
    <w:rsid w:val="007618C4"/>
    <w:rsid w:val="00762311"/>
    <w:rsid w:val="007657AA"/>
    <w:rsid w:val="0076619D"/>
    <w:rsid w:val="00767687"/>
    <w:rsid w:val="00767980"/>
    <w:rsid w:val="00770B19"/>
    <w:rsid w:val="00772D6E"/>
    <w:rsid w:val="0077463F"/>
    <w:rsid w:val="00776381"/>
    <w:rsid w:val="00781374"/>
    <w:rsid w:val="00782F68"/>
    <w:rsid w:val="007836EA"/>
    <w:rsid w:val="0078492F"/>
    <w:rsid w:val="00784CDA"/>
    <w:rsid w:val="00784F21"/>
    <w:rsid w:val="007906C4"/>
    <w:rsid w:val="007913BB"/>
    <w:rsid w:val="007940EA"/>
    <w:rsid w:val="00795C76"/>
    <w:rsid w:val="007967E8"/>
    <w:rsid w:val="00797123"/>
    <w:rsid w:val="007A2101"/>
    <w:rsid w:val="007A2170"/>
    <w:rsid w:val="007A22BF"/>
    <w:rsid w:val="007A3323"/>
    <w:rsid w:val="007A3F13"/>
    <w:rsid w:val="007A632A"/>
    <w:rsid w:val="007B1633"/>
    <w:rsid w:val="007B1F5F"/>
    <w:rsid w:val="007B6C6A"/>
    <w:rsid w:val="007B72B8"/>
    <w:rsid w:val="007B7A58"/>
    <w:rsid w:val="007C21B5"/>
    <w:rsid w:val="007C4366"/>
    <w:rsid w:val="007D2E1C"/>
    <w:rsid w:val="007D3502"/>
    <w:rsid w:val="007D6D4F"/>
    <w:rsid w:val="007E0336"/>
    <w:rsid w:val="007E228A"/>
    <w:rsid w:val="007E4BD2"/>
    <w:rsid w:val="007E7336"/>
    <w:rsid w:val="007F0ABB"/>
    <w:rsid w:val="007F742C"/>
    <w:rsid w:val="00801393"/>
    <w:rsid w:val="00802F88"/>
    <w:rsid w:val="00811FDC"/>
    <w:rsid w:val="0081293E"/>
    <w:rsid w:val="008152E2"/>
    <w:rsid w:val="00815465"/>
    <w:rsid w:val="00817E9A"/>
    <w:rsid w:val="008207D1"/>
    <w:rsid w:val="00820A62"/>
    <w:rsid w:val="00825C3B"/>
    <w:rsid w:val="00825D6D"/>
    <w:rsid w:val="0082610E"/>
    <w:rsid w:val="008306BD"/>
    <w:rsid w:val="0083180C"/>
    <w:rsid w:val="00831A80"/>
    <w:rsid w:val="008331B9"/>
    <w:rsid w:val="00833743"/>
    <w:rsid w:val="008340A4"/>
    <w:rsid w:val="00835803"/>
    <w:rsid w:val="00842803"/>
    <w:rsid w:val="00845890"/>
    <w:rsid w:val="0085549A"/>
    <w:rsid w:val="00865936"/>
    <w:rsid w:val="00867DA7"/>
    <w:rsid w:val="0087135F"/>
    <w:rsid w:val="0087147D"/>
    <w:rsid w:val="00872D94"/>
    <w:rsid w:val="0087648B"/>
    <w:rsid w:val="00880364"/>
    <w:rsid w:val="00881940"/>
    <w:rsid w:val="00885B97"/>
    <w:rsid w:val="00891592"/>
    <w:rsid w:val="00891E9E"/>
    <w:rsid w:val="0089312D"/>
    <w:rsid w:val="00896175"/>
    <w:rsid w:val="008A180B"/>
    <w:rsid w:val="008A1C51"/>
    <w:rsid w:val="008A2F68"/>
    <w:rsid w:val="008A40F9"/>
    <w:rsid w:val="008B0922"/>
    <w:rsid w:val="008B158C"/>
    <w:rsid w:val="008B472D"/>
    <w:rsid w:val="008B4FA6"/>
    <w:rsid w:val="008B5282"/>
    <w:rsid w:val="008B6218"/>
    <w:rsid w:val="008B7C17"/>
    <w:rsid w:val="008C04DC"/>
    <w:rsid w:val="008C11B1"/>
    <w:rsid w:val="008C2D01"/>
    <w:rsid w:val="008C37C2"/>
    <w:rsid w:val="008C40E6"/>
    <w:rsid w:val="008C72D0"/>
    <w:rsid w:val="008D0F7A"/>
    <w:rsid w:val="008D4B62"/>
    <w:rsid w:val="008D6264"/>
    <w:rsid w:val="008D68E4"/>
    <w:rsid w:val="008D6BA0"/>
    <w:rsid w:val="008D7423"/>
    <w:rsid w:val="008E0506"/>
    <w:rsid w:val="008E0CFF"/>
    <w:rsid w:val="008E5D6B"/>
    <w:rsid w:val="008E76F0"/>
    <w:rsid w:val="008F0B91"/>
    <w:rsid w:val="008F15FE"/>
    <w:rsid w:val="008F2D29"/>
    <w:rsid w:val="008F5187"/>
    <w:rsid w:val="008F58FD"/>
    <w:rsid w:val="008F60D8"/>
    <w:rsid w:val="00902727"/>
    <w:rsid w:val="0090312B"/>
    <w:rsid w:val="009031B6"/>
    <w:rsid w:val="009074E7"/>
    <w:rsid w:val="00913226"/>
    <w:rsid w:val="0091736D"/>
    <w:rsid w:val="00921ECA"/>
    <w:rsid w:val="0092746B"/>
    <w:rsid w:val="00927D88"/>
    <w:rsid w:val="0093037A"/>
    <w:rsid w:val="0093115E"/>
    <w:rsid w:val="00931976"/>
    <w:rsid w:val="00936753"/>
    <w:rsid w:val="00937102"/>
    <w:rsid w:val="0094154D"/>
    <w:rsid w:val="009415DD"/>
    <w:rsid w:val="00942317"/>
    <w:rsid w:val="00945F6A"/>
    <w:rsid w:val="0094600D"/>
    <w:rsid w:val="0095155F"/>
    <w:rsid w:val="00954429"/>
    <w:rsid w:val="00955661"/>
    <w:rsid w:val="009563CE"/>
    <w:rsid w:val="009646AB"/>
    <w:rsid w:val="009754D6"/>
    <w:rsid w:val="00976328"/>
    <w:rsid w:val="0097680D"/>
    <w:rsid w:val="00977F73"/>
    <w:rsid w:val="009813D9"/>
    <w:rsid w:val="00982438"/>
    <w:rsid w:val="0098404C"/>
    <w:rsid w:val="00985283"/>
    <w:rsid w:val="009873EA"/>
    <w:rsid w:val="00990C62"/>
    <w:rsid w:val="00992D8B"/>
    <w:rsid w:val="00994BC3"/>
    <w:rsid w:val="00995992"/>
    <w:rsid w:val="009964EE"/>
    <w:rsid w:val="009A03E5"/>
    <w:rsid w:val="009A0707"/>
    <w:rsid w:val="009A0F3B"/>
    <w:rsid w:val="009A1BB4"/>
    <w:rsid w:val="009A1E6A"/>
    <w:rsid w:val="009A2628"/>
    <w:rsid w:val="009A3200"/>
    <w:rsid w:val="009A353A"/>
    <w:rsid w:val="009B0897"/>
    <w:rsid w:val="009B1033"/>
    <w:rsid w:val="009B2ECE"/>
    <w:rsid w:val="009B374F"/>
    <w:rsid w:val="009B4E86"/>
    <w:rsid w:val="009B7BD9"/>
    <w:rsid w:val="009C242B"/>
    <w:rsid w:val="009C53FA"/>
    <w:rsid w:val="009C6735"/>
    <w:rsid w:val="009C7A53"/>
    <w:rsid w:val="009C7AFA"/>
    <w:rsid w:val="009C7DD5"/>
    <w:rsid w:val="009C7EBC"/>
    <w:rsid w:val="009D561D"/>
    <w:rsid w:val="009E227D"/>
    <w:rsid w:val="009E2ED0"/>
    <w:rsid w:val="009E5019"/>
    <w:rsid w:val="009E6DF8"/>
    <w:rsid w:val="009E7A32"/>
    <w:rsid w:val="009F071D"/>
    <w:rsid w:val="009F6D3F"/>
    <w:rsid w:val="00A01AAF"/>
    <w:rsid w:val="00A03E6A"/>
    <w:rsid w:val="00A04F1B"/>
    <w:rsid w:val="00A0501B"/>
    <w:rsid w:val="00A0553D"/>
    <w:rsid w:val="00A11224"/>
    <w:rsid w:val="00A133F2"/>
    <w:rsid w:val="00A14947"/>
    <w:rsid w:val="00A17347"/>
    <w:rsid w:val="00A22891"/>
    <w:rsid w:val="00A2326F"/>
    <w:rsid w:val="00A26092"/>
    <w:rsid w:val="00A32A83"/>
    <w:rsid w:val="00A35392"/>
    <w:rsid w:val="00A35704"/>
    <w:rsid w:val="00A368DB"/>
    <w:rsid w:val="00A42018"/>
    <w:rsid w:val="00A423AA"/>
    <w:rsid w:val="00A52FD5"/>
    <w:rsid w:val="00A53EC6"/>
    <w:rsid w:val="00A55C0F"/>
    <w:rsid w:val="00A73E3C"/>
    <w:rsid w:val="00A756DE"/>
    <w:rsid w:val="00A762BE"/>
    <w:rsid w:val="00A76752"/>
    <w:rsid w:val="00A804EE"/>
    <w:rsid w:val="00A8083C"/>
    <w:rsid w:val="00A8713F"/>
    <w:rsid w:val="00A8776E"/>
    <w:rsid w:val="00A90BA1"/>
    <w:rsid w:val="00A95714"/>
    <w:rsid w:val="00A96276"/>
    <w:rsid w:val="00A9748A"/>
    <w:rsid w:val="00A97A9A"/>
    <w:rsid w:val="00AA01E7"/>
    <w:rsid w:val="00AA0671"/>
    <w:rsid w:val="00AA2531"/>
    <w:rsid w:val="00AA5E60"/>
    <w:rsid w:val="00AB1E09"/>
    <w:rsid w:val="00AB5330"/>
    <w:rsid w:val="00AB551E"/>
    <w:rsid w:val="00AB6C76"/>
    <w:rsid w:val="00AB6D6C"/>
    <w:rsid w:val="00AB6F43"/>
    <w:rsid w:val="00AB70BC"/>
    <w:rsid w:val="00AB7747"/>
    <w:rsid w:val="00AB7816"/>
    <w:rsid w:val="00AC14CE"/>
    <w:rsid w:val="00AC2A56"/>
    <w:rsid w:val="00AD055E"/>
    <w:rsid w:val="00AD0823"/>
    <w:rsid w:val="00AD47A7"/>
    <w:rsid w:val="00AE38E5"/>
    <w:rsid w:val="00AE7F61"/>
    <w:rsid w:val="00AF0CBF"/>
    <w:rsid w:val="00AF257F"/>
    <w:rsid w:val="00AF33CF"/>
    <w:rsid w:val="00AF4D50"/>
    <w:rsid w:val="00AF6179"/>
    <w:rsid w:val="00AF6816"/>
    <w:rsid w:val="00AF751B"/>
    <w:rsid w:val="00B02B51"/>
    <w:rsid w:val="00B03589"/>
    <w:rsid w:val="00B04B7D"/>
    <w:rsid w:val="00B1295A"/>
    <w:rsid w:val="00B17176"/>
    <w:rsid w:val="00B20A45"/>
    <w:rsid w:val="00B22C5C"/>
    <w:rsid w:val="00B24F30"/>
    <w:rsid w:val="00B25E21"/>
    <w:rsid w:val="00B300CD"/>
    <w:rsid w:val="00B31ABF"/>
    <w:rsid w:val="00B3389A"/>
    <w:rsid w:val="00B33BE3"/>
    <w:rsid w:val="00B367E8"/>
    <w:rsid w:val="00B41C9A"/>
    <w:rsid w:val="00B41F2E"/>
    <w:rsid w:val="00B46F07"/>
    <w:rsid w:val="00B528A4"/>
    <w:rsid w:val="00B53B5D"/>
    <w:rsid w:val="00B53CFD"/>
    <w:rsid w:val="00B576CA"/>
    <w:rsid w:val="00B6055E"/>
    <w:rsid w:val="00B60CFC"/>
    <w:rsid w:val="00B61C8D"/>
    <w:rsid w:val="00B6317D"/>
    <w:rsid w:val="00B66254"/>
    <w:rsid w:val="00B6664F"/>
    <w:rsid w:val="00B700A9"/>
    <w:rsid w:val="00B70C08"/>
    <w:rsid w:val="00B7723F"/>
    <w:rsid w:val="00B80534"/>
    <w:rsid w:val="00B8433C"/>
    <w:rsid w:val="00B84B3D"/>
    <w:rsid w:val="00B85D42"/>
    <w:rsid w:val="00B86E26"/>
    <w:rsid w:val="00B87491"/>
    <w:rsid w:val="00B9021C"/>
    <w:rsid w:val="00B913F6"/>
    <w:rsid w:val="00B948D4"/>
    <w:rsid w:val="00BA04FB"/>
    <w:rsid w:val="00BA29E9"/>
    <w:rsid w:val="00BA40B1"/>
    <w:rsid w:val="00BA531D"/>
    <w:rsid w:val="00BA600A"/>
    <w:rsid w:val="00BA6684"/>
    <w:rsid w:val="00BA7142"/>
    <w:rsid w:val="00BB231E"/>
    <w:rsid w:val="00BB237C"/>
    <w:rsid w:val="00BB41A3"/>
    <w:rsid w:val="00BB6BD8"/>
    <w:rsid w:val="00BB6C81"/>
    <w:rsid w:val="00BC2EFC"/>
    <w:rsid w:val="00BC30BA"/>
    <w:rsid w:val="00BC32DC"/>
    <w:rsid w:val="00BC35B6"/>
    <w:rsid w:val="00BD1B51"/>
    <w:rsid w:val="00BD4596"/>
    <w:rsid w:val="00BD50DA"/>
    <w:rsid w:val="00BD7065"/>
    <w:rsid w:val="00BD7F3C"/>
    <w:rsid w:val="00BE1405"/>
    <w:rsid w:val="00BE312D"/>
    <w:rsid w:val="00BE6FE5"/>
    <w:rsid w:val="00BF123B"/>
    <w:rsid w:val="00BF14C5"/>
    <w:rsid w:val="00BF1C20"/>
    <w:rsid w:val="00C018AD"/>
    <w:rsid w:val="00C10578"/>
    <w:rsid w:val="00C1326D"/>
    <w:rsid w:val="00C135BC"/>
    <w:rsid w:val="00C15C95"/>
    <w:rsid w:val="00C20ACB"/>
    <w:rsid w:val="00C21633"/>
    <w:rsid w:val="00C231A1"/>
    <w:rsid w:val="00C2596A"/>
    <w:rsid w:val="00C25E4C"/>
    <w:rsid w:val="00C27357"/>
    <w:rsid w:val="00C27537"/>
    <w:rsid w:val="00C328FE"/>
    <w:rsid w:val="00C33507"/>
    <w:rsid w:val="00C34E15"/>
    <w:rsid w:val="00C36F5B"/>
    <w:rsid w:val="00C437BA"/>
    <w:rsid w:val="00C4409D"/>
    <w:rsid w:val="00C44E72"/>
    <w:rsid w:val="00C4519A"/>
    <w:rsid w:val="00C45A06"/>
    <w:rsid w:val="00C47E5B"/>
    <w:rsid w:val="00C546BF"/>
    <w:rsid w:val="00C5631F"/>
    <w:rsid w:val="00C61A88"/>
    <w:rsid w:val="00C61E4B"/>
    <w:rsid w:val="00C63CE0"/>
    <w:rsid w:val="00C64BFF"/>
    <w:rsid w:val="00C704E9"/>
    <w:rsid w:val="00C74959"/>
    <w:rsid w:val="00C7501F"/>
    <w:rsid w:val="00C763C9"/>
    <w:rsid w:val="00C77310"/>
    <w:rsid w:val="00C80057"/>
    <w:rsid w:val="00C82232"/>
    <w:rsid w:val="00C82913"/>
    <w:rsid w:val="00C85C02"/>
    <w:rsid w:val="00C8665C"/>
    <w:rsid w:val="00C87819"/>
    <w:rsid w:val="00C90733"/>
    <w:rsid w:val="00C90A48"/>
    <w:rsid w:val="00C972B1"/>
    <w:rsid w:val="00C978FC"/>
    <w:rsid w:val="00CA2CCE"/>
    <w:rsid w:val="00CA43FD"/>
    <w:rsid w:val="00CA5FD5"/>
    <w:rsid w:val="00CA7EF8"/>
    <w:rsid w:val="00CB0425"/>
    <w:rsid w:val="00CB7901"/>
    <w:rsid w:val="00CC0D4E"/>
    <w:rsid w:val="00CC1771"/>
    <w:rsid w:val="00CC2914"/>
    <w:rsid w:val="00CC489B"/>
    <w:rsid w:val="00CC74F6"/>
    <w:rsid w:val="00CD1B40"/>
    <w:rsid w:val="00CD22BF"/>
    <w:rsid w:val="00CD2BCD"/>
    <w:rsid w:val="00CD3542"/>
    <w:rsid w:val="00CD3A4C"/>
    <w:rsid w:val="00CE10E9"/>
    <w:rsid w:val="00CE2910"/>
    <w:rsid w:val="00CE4216"/>
    <w:rsid w:val="00CE5393"/>
    <w:rsid w:val="00CE7B42"/>
    <w:rsid w:val="00CF1026"/>
    <w:rsid w:val="00CF36BE"/>
    <w:rsid w:val="00CF58A2"/>
    <w:rsid w:val="00CF6000"/>
    <w:rsid w:val="00CF6D5C"/>
    <w:rsid w:val="00D003F3"/>
    <w:rsid w:val="00D0364F"/>
    <w:rsid w:val="00D03C41"/>
    <w:rsid w:val="00D06834"/>
    <w:rsid w:val="00D141AF"/>
    <w:rsid w:val="00D21072"/>
    <w:rsid w:val="00D21CFB"/>
    <w:rsid w:val="00D22F64"/>
    <w:rsid w:val="00D26AE4"/>
    <w:rsid w:val="00D308ED"/>
    <w:rsid w:val="00D36D86"/>
    <w:rsid w:val="00D40ACD"/>
    <w:rsid w:val="00D428AA"/>
    <w:rsid w:val="00D43021"/>
    <w:rsid w:val="00D479AA"/>
    <w:rsid w:val="00D50A34"/>
    <w:rsid w:val="00D5116A"/>
    <w:rsid w:val="00D53EFA"/>
    <w:rsid w:val="00D5580D"/>
    <w:rsid w:val="00D56C49"/>
    <w:rsid w:val="00D81801"/>
    <w:rsid w:val="00D83799"/>
    <w:rsid w:val="00D87EA5"/>
    <w:rsid w:val="00D903D2"/>
    <w:rsid w:val="00D94A7C"/>
    <w:rsid w:val="00D95896"/>
    <w:rsid w:val="00DB2983"/>
    <w:rsid w:val="00DB46A6"/>
    <w:rsid w:val="00DB5A2B"/>
    <w:rsid w:val="00DC093C"/>
    <w:rsid w:val="00DC1257"/>
    <w:rsid w:val="00DC3DC0"/>
    <w:rsid w:val="00DC5B2B"/>
    <w:rsid w:val="00DD21C7"/>
    <w:rsid w:val="00DD27D0"/>
    <w:rsid w:val="00DD318D"/>
    <w:rsid w:val="00DD3838"/>
    <w:rsid w:val="00DD4DFD"/>
    <w:rsid w:val="00DD4E55"/>
    <w:rsid w:val="00DE08F5"/>
    <w:rsid w:val="00DE6879"/>
    <w:rsid w:val="00DE6BB8"/>
    <w:rsid w:val="00DF258E"/>
    <w:rsid w:val="00DF2E12"/>
    <w:rsid w:val="00DF514A"/>
    <w:rsid w:val="00DF6690"/>
    <w:rsid w:val="00DF6804"/>
    <w:rsid w:val="00DF76FB"/>
    <w:rsid w:val="00E0358D"/>
    <w:rsid w:val="00E04323"/>
    <w:rsid w:val="00E070A2"/>
    <w:rsid w:val="00E07395"/>
    <w:rsid w:val="00E07CA5"/>
    <w:rsid w:val="00E1251E"/>
    <w:rsid w:val="00E16E6D"/>
    <w:rsid w:val="00E20C4F"/>
    <w:rsid w:val="00E239FD"/>
    <w:rsid w:val="00E2656A"/>
    <w:rsid w:val="00E309D9"/>
    <w:rsid w:val="00E335B9"/>
    <w:rsid w:val="00E40476"/>
    <w:rsid w:val="00E406B4"/>
    <w:rsid w:val="00E40FB9"/>
    <w:rsid w:val="00E412D0"/>
    <w:rsid w:val="00E55E3F"/>
    <w:rsid w:val="00E56322"/>
    <w:rsid w:val="00E60982"/>
    <w:rsid w:val="00E62187"/>
    <w:rsid w:val="00E62C62"/>
    <w:rsid w:val="00E633BF"/>
    <w:rsid w:val="00E654C1"/>
    <w:rsid w:val="00E65D97"/>
    <w:rsid w:val="00E72A5A"/>
    <w:rsid w:val="00E73354"/>
    <w:rsid w:val="00E73794"/>
    <w:rsid w:val="00E74CD8"/>
    <w:rsid w:val="00E763B1"/>
    <w:rsid w:val="00E76508"/>
    <w:rsid w:val="00E808A4"/>
    <w:rsid w:val="00E80BB4"/>
    <w:rsid w:val="00E83081"/>
    <w:rsid w:val="00E85057"/>
    <w:rsid w:val="00E9242D"/>
    <w:rsid w:val="00E9651B"/>
    <w:rsid w:val="00EA5BA7"/>
    <w:rsid w:val="00EA5DA8"/>
    <w:rsid w:val="00EB5255"/>
    <w:rsid w:val="00EB5C47"/>
    <w:rsid w:val="00EC20DA"/>
    <w:rsid w:val="00EC4517"/>
    <w:rsid w:val="00EC570C"/>
    <w:rsid w:val="00ED0639"/>
    <w:rsid w:val="00ED5D6E"/>
    <w:rsid w:val="00ED5F2C"/>
    <w:rsid w:val="00ED6D91"/>
    <w:rsid w:val="00EE287B"/>
    <w:rsid w:val="00EE7BDD"/>
    <w:rsid w:val="00EF2D5F"/>
    <w:rsid w:val="00EF474F"/>
    <w:rsid w:val="00EF4755"/>
    <w:rsid w:val="00EF5A7D"/>
    <w:rsid w:val="00EF7135"/>
    <w:rsid w:val="00EF7806"/>
    <w:rsid w:val="00EF7C24"/>
    <w:rsid w:val="00F013CE"/>
    <w:rsid w:val="00F027DB"/>
    <w:rsid w:val="00F02C7E"/>
    <w:rsid w:val="00F13D7C"/>
    <w:rsid w:val="00F14A7A"/>
    <w:rsid w:val="00F2083C"/>
    <w:rsid w:val="00F21325"/>
    <w:rsid w:val="00F21A13"/>
    <w:rsid w:val="00F21D7C"/>
    <w:rsid w:val="00F22985"/>
    <w:rsid w:val="00F257D9"/>
    <w:rsid w:val="00F314EA"/>
    <w:rsid w:val="00F3383E"/>
    <w:rsid w:val="00F41642"/>
    <w:rsid w:val="00F444F2"/>
    <w:rsid w:val="00F465A7"/>
    <w:rsid w:val="00F46CF3"/>
    <w:rsid w:val="00F50B7C"/>
    <w:rsid w:val="00F550E6"/>
    <w:rsid w:val="00F57926"/>
    <w:rsid w:val="00F66CD8"/>
    <w:rsid w:val="00F67FCB"/>
    <w:rsid w:val="00F74345"/>
    <w:rsid w:val="00F75356"/>
    <w:rsid w:val="00F77054"/>
    <w:rsid w:val="00F77224"/>
    <w:rsid w:val="00F80A0A"/>
    <w:rsid w:val="00F82386"/>
    <w:rsid w:val="00F82B19"/>
    <w:rsid w:val="00F9212D"/>
    <w:rsid w:val="00F9357B"/>
    <w:rsid w:val="00F95DA8"/>
    <w:rsid w:val="00F965DA"/>
    <w:rsid w:val="00F978CE"/>
    <w:rsid w:val="00FA406A"/>
    <w:rsid w:val="00FA5102"/>
    <w:rsid w:val="00FA5AAA"/>
    <w:rsid w:val="00FB17BE"/>
    <w:rsid w:val="00FB45CD"/>
    <w:rsid w:val="00FB503A"/>
    <w:rsid w:val="00FB516C"/>
    <w:rsid w:val="00FB612F"/>
    <w:rsid w:val="00FB7804"/>
    <w:rsid w:val="00FC4AE5"/>
    <w:rsid w:val="00FD0236"/>
    <w:rsid w:val="00FD0531"/>
    <w:rsid w:val="00FD1438"/>
    <w:rsid w:val="00FD18F4"/>
    <w:rsid w:val="00FD54DB"/>
    <w:rsid w:val="00FD5D02"/>
    <w:rsid w:val="00FD619F"/>
    <w:rsid w:val="00FE12EE"/>
    <w:rsid w:val="00FE19F8"/>
    <w:rsid w:val="00FE2744"/>
    <w:rsid w:val="00FE2B00"/>
    <w:rsid w:val="00FF3C6B"/>
    <w:rsid w:val="00FF75C5"/>
    <w:rsid w:val="010B21B6"/>
    <w:rsid w:val="01290F7E"/>
    <w:rsid w:val="01290FF7"/>
    <w:rsid w:val="01553493"/>
    <w:rsid w:val="015B5184"/>
    <w:rsid w:val="015D1E09"/>
    <w:rsid w:val="017C331A"/>
    <w:rsid w:val="017D63A5"/>
    <w:rsid w:val="01816870"/>
    <w:rsid w:val="01A62890"/>
    <w:rsid w:val="01C07707"/>
    <w:rsid w:val="01C14757"/>
    <w:rsid w:val="01D54085"/>
    <w:rsid w:val="01D5692E"/>
    <w:rsid w:val="0201302D"/>
    <w:rsid w:val="020944E3"/>
    <w:rsid w:val="02161D66"/>
    <w:rsid w:val="022F609F"/>
    <w:rsid w:val="02644122"/>
    <w:rsid w:val="026932D9"/>
    <w:rsid w:val="02697903"/>
    <w:rsid w:val="0278402F"/>
    <w:rsid w:val="02796E31"/>
    <w:rsid w:val="0282494E"/>
    <w:rsid w:val="02853A3F"/>
    <w:rsid w:val="02934311"/>
    <w:rsid w:val="02AC5BF8"/>
    <w:rsid w:val="02BE69FC"/>
    <w:rsid w:val="02C329AF"/>
    <w:rsid w:val="02C45F2F"/>
    <w:rsid w:val="02C50D88"/>
    <w:rsid w:val="02C702A5"/>
    <w:rsid w:val="02CF3650"/>
    <w:rsid w:val="02E36ECA"/>
    <w:rsid w:val="02EB55AB"/>
    <w:rsid w:val="02EE336B"/>
    <w:rsid w:val="02F96569"/>
    <w:rsid w:val="03130DDB"/>
    <w:rsid w:val="031A182F"/>
    <w:rsid w:val="032228F1"/>
    <w:rsid w:val="0326012E"/>
    <w:rsid w:val="03274020"/>
    <w:rsid w:val="032846BD"/>
    <w:rsid w:val="032B3AE7"/>
    <w:rsid w:val="035B4EB7"/>
    <w:rsid w:val="035E4AD4"/>
    <w:rsid w:val="03737C33"/>
    <w:rsid w:val="0382082F"/>
    <w:rsid w:val="038509B5"/>
    <w:rsid w:val="038C71B7"/>
    <w:rsid w:val="03930601"/>
    <w:rsid w:val="039E26C9"/>
    <w:rsid w:val="039E5D2E"/>
    <w:rsid w:val="03A0449F"/>
    <w:rsid w:val="03A80D24"/>
    <w:rsid w:val="03A970EB"/>
    <w:rsid w:val="03B938B9"/>
    <w:rsid w:val="03DF1000"/>
    <w:rsid w:val="03EA7B21"/>
    <w:rsid w:val="03ED1C79"/>
    <w:rsid w:val="04086F8E"/>
    <w:rsid w:val="0423719E"/>
    <w:rsid w:val="042561B8"/>
    <w:rsid w:val="045666BF"/>
    <w:rsid w:val="04635A14"/>
    <w:rsid w:val="046A12EF"/>
    <w:rsid w:val="048548E5"/>
    <w:rsid w:val="048B27D4"/>
    <w:rsid w:val="04A539A7"/>
    <w:rsid w:val="04AA17AE"/>
    <w:rsid w:val="04B44285"/>
    <w:rsid w:val="04CD09D8"/>
    <w:rsid w:val="04D95F01"/>
    <w:rsid w:val="05074C4A"/>
    <w:rsid w:val="05175BE6"/>
    <w:rsid w:val="051F5D26"/>
    <w:rsid w:val="05372F85"/>
    <w:rsid w:val="054E4EF4"/>
    <w:rsid w:val="05520E9D"/>
    <w:rsid w:val="05792F1F"/>
    <w:rsid w:val="05886BFB"/>
    <w:rsid w:val="05993EA3"/>
    <w:rsid w:val="05C62378"/>
    <w:rsid w:val="05F4135A"/>
    <w:rsid w:val="05F83EAE"/>
    <w:rsid w:val="05FF6E9E"/>
    <w:rsid w:val="061C02F3"/>
    <w:rsid w:val="062232C8"/>
    <w:rsid w:val="062931C3"/>
    <w:rsid w:val="06303104"/>
    <w:rsid w:val="063E7D85"/>
    <w:rsid w:val="065410A5"/>
    <w:rsid w:val="06671AEC"/>
    <w:rsid w:val="067C43D2"/>
    <w:rsid w:val="06927CD7"/>
    <w:rsid w:val="069652A5"/>
    <w:rsid w:val="069E2991"/>
    <w:rsid w:val="06AD48DB"/>
    <w:rsid w:val="06B92206"/>
    <w:rsid w:val="06E31B2D"/>
    <w:rsid w:val="06FD2305"/>
    <w:rsid w:val="070C0A7E"/>
    <w:rsid w:val="07293586"/>
    <w:rsid w:val="07295285"/>
    <w:rsid w:val="072D2850"/>
    <w:rsid w:val="07460F00"/>
    <w:rsid w:val="075A5764"/>
    <w:rsid w:val="07605DF7"/>
    <w:rsid w:val="07636392"/>
    <w:rsid w:val="0771489A"/>
    <w:rsid w:val="07770C56"/>
    <w:rsid w:val="077C04D2"/>
    <w:rsid w:val="07A02CDC"/>
    <w:rsid w:val="07B06FB7"/>
    <w:rsid w:val="07C660CA"/>
    <w:rsid w:val="07CB41D2"/>
    <w:rsid w:val="07D362E3"/>
    <w:rsid w:val="07D53324"/>
    <w:rsid w:val="07FD1D9B"/>
    <w:rsid w:val="08050167"/>
    <w:rsid w:val="08412397"/>
    <w:rsid w:val="08596F40"/>
    <w:rsid w:val="085A05CF"/>
    <w:rsid w:val="08732744"/>
    <w:rsid w:val="087E315A"/>
    <w:rsid w:val="088D7FBC"/>
    <w:rsid w:val="0894314B"/>
    <w:rsid w:val="08AE4127"/>
    <w:rsid w:val="08BC2983"/>
    <w:rsid w:val="08C55C51"/>
    <w:rsid w:val="08CF5913"/>
    <w:rsid w:val="08D24B08"/>
    <w:rsid w:val="08D273CC"/>
    <w:rsid w:val="08FE0758"/>
    <w:rsid w:val="08FE61BC"/>
    <w:rsid w:val="091F1DB0"/>
    <w:rsid w:val="092217DD"/>
    <w:rsid w:val="09273010"/>
    <w:rsid w:val="092D4E62"/>
    <w:rsid w:val="09355B14"/>
    <w:rsid w:val="09373563"/>
    <w:rsid w:val="09394EAA"/>
    <w:rsid w:val="093A3F74"/>
    <w:rsid w:val="093A7294"/>
    <w:rsid w:val="093C71BD"/>
    <w:rsid w:val="0948654D"/>
    <w:rsid w:val="094C4B4A"/>
    <w:rsid w:val="095255DC"/>
    <w:rsid w:val="0955182B"/>
    <w:rsid w:val="096669FB"/>
    <w:rsid w:val="096B79C4"/>
    <w:rsid w:val="09703D3C"/>
    <w:rsid w:val="09BB0BE1"/>
    <w:rsid w:val="09BD3ABD"/>
    <w:rsid w:val="09D35D18"/>
    <w:rsid w:val="09DF1941"/>
    <w:rsid w:val="09F0628A"/>
    <w:rsid w:val="09FB5C87"/>
    <w:rsid w:val="09FC6526"/>
    <w:rsid w:val="09FF444D"/>
    <w:rsid w:val="0A042799"/>
    <w:rsid w:val="0A0E28B2"/>
    <w:rsid w:val="0A263993"/>
    <w:rsid w:val="0A2D3AC2"/>
    <w:rsid w:val="0A2F7934"/>
    <w:rsid w:val="0A39214C"/>
    <w:rsid w:val="0A3F6A8D"/>
    <w:rsid w:val="0A4309D5"/>
    <w:rsid w:val="0A4814EA"/>
    <w:rsid w:val="0A4B788C"/>
    <w:rsid w:val="0A585950"/>
    <w:rsid w:val="0A6143B7"/>
    <w:rsid w:val="0A690E38"/>
    <w:rsid w:val="0A755BE6"/>
    <w:rsid w:val="0A7858B9"/>
    <w:rsid w:val="0A7D0171"/>
    <w:rsid w:val="0A804FFA"/>
    <w:rsid w:val="0A9C5280"/>
    <w:rsid w:val="0AA755DF"/>
    <w:rsid w:val="0AC4683C"/>
    <w:rsid w:val="0AE4278E"/>
    <w:rsid w:val="0AEE7D87"/>
    <w:rsid w:val="0B020B4A"/>
    <w:rsid w:val="0B120D44"/>
    <w:rsid w:val="0B1960F1"/>
    <w:rsid w:val="0B232B1D"/>
    <w:rsid w:val="0B372B1C"/>
    <w:rsid w:val="0B444407"/>
    <w:rsid w:val="0B4E1310"/>
    <w:rsid w:val="0B76520B"/>
    <w:rsid w:val="0B7C0EA1"/>
    <w:rsid w:val="0B812A55"/>
    <w:rsid w:val="0B843761"/>
    <w:rsid w:val="0B9B10BC"/>
    <w:rsid w:val="0BA44A6E"/>
    <w:rsid w:val="0BC44008"/>
    <w:rsid w:val="0BD16FA7"/>
    <w:rsid w:val="0BD27BF6"/>
    <w:rsid w:val="0BDA1664"/>
    <w:rsid w:val="0C17481D"/>
    <w:rsid w:val="0C1B16BF"/>
    <w:rsid w:val="0C1C76D6"/>
    <w:rsid w:val="0C215C00"/>
    <w:rsid w:val="0C231227"/>
    <w:rsid w:val="0C241773"/>
    <w:rsid w:val="0C261523"/>
    <w:rsid w:val="0C2B2B88"/>
    <w:rsid w:val="0C2D1A29"/>
    <w:rsid w:val="0C393015"/>
    <w:rsid w:val="0C3B3C7D"/>
    <w:rsid w:val="0C444991"/>
    <w:rsid w:val="0C472CE8"/>
    <w:rsid w:val="0C51392F"/>
    <w:rsid w:val="0C68051F"/>
    <w:rsid w:val="0C6C2592"/>
    <w:rsid w:val="0C795407"/>
    <w:rsid w:val="0C805E84"/>
    <w:rsid w:val="0C9100AF"/>
    <w:rsid w:val="0C9548DF"/>
    <w:rsid w:val="0CAB2EAE"/>
    <w:rsid w:val="0CAD6DAB"/>
    <w:rsid w:val="0CBD4B43"/>
    <w:rsid w:val="0CC46D63"/>
    <w:rsid w:val="0CD06013"/>
    <w:rsid w:val="0CF63E8C"/>
    <w:rsid w:val="0D094C9D"/>
    <w:rsid w:val="0D0D5E13"/>
    <w:rsid w:val="0D222D78"/>
    <w:rsid w:val="0D2572E4"/>
    <w:rsid w:val="0D2C0F00"/>
    <w:rsid w:val="0D3065B7"/>
    <w:rsid w:val="0D4066C8"/>
    <w:rsid w:val="0D4D477A"/>
    <w:rsid w:val="0D510909"/>
    <w:rsid w:val="0D5F3348"/>
    <w:rsid w:val="0D621C7D"/>
    <w:rsid w:val="0D707027"/>
    <w:rsid w:val="0D7443C2"/>
    <w:rsid w:val="0D7C6BAC"/>
    <w:rsid w:val="0D8F52FC"/>
    <w:rsid w:val="0DBD62DE"/>
    <w:rsid w:val="0DC15A6B"/>
    <w:rsid w:val="0DC24B3C"/>
    <w:rsid w:val="0DC71C76"/>
    <w:rsid w:val="0DC751B7"/>
    <w:rsid w:val="0DD2388F"/>
    <w:rsid w:val="0DE5692E"/>
    <w:rsid w:val="0DF2499D"/>
    <w:rsid w:val="0DF93AEF"/>
    <w:rsid w:val="0E051546"/>
    <w:rsid w:val="0E1262F0"/>
    <w:rsid w:val="0E1E392B"/>
    <w:rsid w:val="0E2D5343"/>
    <w:rsid w:val="0E4F662E"/>
    <w:rsid w:val="0E5C426F"/>
    <w:rsid w:val="0E6366CF"/>
    <w:rsid w:val="0E73034D"/>
    <w:rsid w:val="0E764709"/>
    <w:rsid w:val="0E7E5C6A"/>
    <w:rsid w:val="0E7F0F18"/>
    <w:rsid w:val="0E804E3D"/>
    <w:rsid w:val="0E80645B"/>
    <w:rsid w:val="0E9528C0"/>
    <w:rsid w:val="0E9B74CE"/>
    <w:rsid w:val="0EBA2D20"/>
    <w:rsid w:val="0ED815FC"/>
    <w:rsid w:val="0EDA37BD"/>
    <w:rsid w:val="0F0105F8"/>
    <w:rsid w:val="0F02664F"/>
    <w:rsid w:val="0F037EB9"/>
    <w:rsid w:val="0F0C70EF"/>
    <w:rsid w:val="0F13775A"/>
    <w:rsid w:val="0F331837"/>
    <w:rsid w:val="0F4677FD"/>
    <w:rsid w:val="0F5C357D"/>
    <w:rsid w:val="0F5F45FE"/>
    <w:rsid w:val="0F620CA1"/>
    <w:rsid w:val="0F656B0F"/>
    <w:rsid w:val="0F775F84"/>
    <w:rsid w:val="0F875BD7"/>
    <w:rsid w:val="0F8C63E9"/>
    <w:rsid w:val="0F91543E"/>
    <w:rsid w:val="0F9A112B"/>
    <w:rsid w:val="0FAE6AB3"/>
    <w:rsid w:val="0FB31382"/>
    <w:rsid w:val="0FB50F31"/>
    <w:rsid w:val="0FBF6575"/>
    <w:rsid w:val="0FDC227A"/>
    <w:rsid w:val="0FF322A2"/>
    <w:rsid w:val="0FFE288F"/>
    <w:rsid w:val="101720FC"/>
    <w:rsid w:val="103317E0"/>
    <w:rsid w:val="104C1CB7"/>
    <w:rsid w:val="104C4F1E"/>
    <w:rsid w:val="105E1844"/>
    <w:rsid w:val="106D2F64"/>
    <w:rsid w:val="106D4A12"/>
    <w:rsid w:val="106E4F5C"/>
    <w:rsid w:val="10B46EAD"/>
    <w:rsid w:val="10B63710"/>
    <w:rsid w:val="10DD02E2"/>
    <w:rsid w:val="10E30636"/>
    <w:rsid w:val="10F10820"/>
    <w:rsid w:val="111332E2"/>
    <w:rsid w:val="111C2F7A"/>
    <w:rsid w:val="11253BA0"/>
    <w:rsid w:val="11337C43"/>
    <w:rsid w:val="114750ED"/>
    <w:rsid w:val="114E316C"/>
    <w:rsid w:val="114F6375"/>
    <w:rsid w:val="11591CE8"/>
    <w:rsid w:val="116104A7"/>
    <w:rsid w:val="11665CA1"/>
    <w:rsid w:val="11B654F6"/>
    <w:rsid w:val="11D456C0"/>
    <w:rsid w:val="11F60E95"/>
    <w:rsid w:val="120D195F"/>
    <w:rsid w:val="120E40D1"/>
    <w:rsid w:val="120F3008"/>
    <w:rsid w:val="12140066"/>
    <w:rsid w:val="121641E7"/>
    <w:rsid w:val="122E54CD"/>
    <w:rsid w:val="12643AA9"/>
    <w:rsid w:val="1270403E"/>
    <w:rsid w:val="12775C11"/>
    <w:rsid w:val="127D5F51"/>
    <w:rsid w:val="12803D18"/>
    <w:rsid w:val="128D1EF9"/>
    <w:rsid w:val="128F1BB5"/>
    <w:rsid w:val="12956253"/>
    <w:rsid w:val="129D5EAC"/>
    <w:rsid w:val="12A30AF7"/>
    <w:rsid w:val="12BF59B6"/>
    <w:rsid w:val="12C26FC6"/>
    <w:rsid w:val="12CD744B"/>
    <w:rsid w:val="12D048AA"/>
    <w:rsid w:val="12D70196"/>
    <w:rsid w:val="13097AB7"/>
    <w:rsid w:val="130E1CFD"/>
    <w:rsid w:val="13163EB4"/>
    <w:rsid w:val="131B713F"/>
    <w:rsid w:val="13213A7F"/>
    <w:rsid w:val="132F1714"/>
    <w:rsid w:val="13306127"/>
    <w:rsid w:val="13377BE5"/>
    <w:rsid w:val="133A3307"/>
    <w:rsid w:val="133C5505"/>
    <w:rsid w:val="13480640"/>
    <w:rsid w:val="134B4AC5"/>
    <w:rsid w:val="13665BEC"/>
    <w:rsid w:val="1384377E"/>
    <w:rsid w:val="13845274"/>
    <w:rsid w:val="138D7035"/>
    <w:rsid w:val="13951726"/>
    <w:rsid w:val="139E2804"/>
    <w:rsid w:val="13A13774"/>
    <w:rsid w:val="13A31000"/>
    <w:rsid w:val="13BC3759"/>
    <w:rsid w:val="13C85E0C"/>
    <w:rsid w:val="13CD79DB"/>
    <w:rsid w:val="13D66DC3"/>
    <w:rsid w:val="13F6641D"/>
    <w:rsid w:val="13F86B52"/>
    <w:rsid w:val="14324D42"/>
    <w:rsid w:val="14396509"/>
    <w:rsid w:val="14452117"/>
    <w:rsid w:val="145F79E0"/>
    <w:rsid w:val="1466796C"/>
    <w:rsid w:val="14880B2E"/>
    <w:rsid w:val="14B336F3"/>
    <w:rsid w:val="14BA7FE1"/>
    <w:rsid w:val="14DB73A3"/>
    <w:rsid w:val="14DD2C3C"/>
    <w:rsid w:val="14E2188E"/>
    <w:rsid w:val="14F23BA3"/>
    <w:rsid w:val="14F5513A"/>
    <w:rsid w:val="14F6710A"/>
    <w:rsid w:val="15132907"/>
    <w:rsid w:val="15267BE4"/>
    <w:rsid w:val="152E53D4"/>
    <w:rsid w:val="153B1D9D"/>
    <w:rsid w:val="157E666A"/>
    <w:rsid w:val="159D781E"/>
    <w:rsid w:val="159F07FB"/>
    <w:rsid w:val="15A7359F"/>
    <w:rsid w:val="16087E1D"/>
    <w:rsid w:val="16162E86"/>
    <w:rsid w:val="16185C27"/>
    <w:rsid w:val="16263479"/>
    <w:rsid w:val="164A3B4D"/>
    <w:rsid w:val="1658564E"/>
    <w:rsid w:val="166406E8"/>
    <w:rsid w:val="169574D9"/>
    <w:rsid w:val="16A70C45"/>
    <w:rsid w:val="16BF1090"/>
    <w:rsid w:val="16CB4265"/>
    <w:rsid w:val="16CB68AB"/>
    <w:rsid w:val="16CE31F3"/>
    <w:rsid w:val="16D1056A"/>
    <w:rsid w:val="16D1446B"/>
    <w:rsid w:val="16D74E22"/>
    <w:rsid w:val="16E277CB"/>
    <w:rsid w:val="16EE00B2"/>
    <w:rsid w:val="170C4992"/>
    <w:rsid w:val="1729125E"/>
    <w:rsid w:val="173916D7"/>
    <w:rsid w:val="17393836"/>
    <w:rsid w:val="17410017"/>
    <w:rsid w:val="17701D14"/>
    <w:rsid w:val="17735226"/>
    <w:rsid w:val="177C5DAF"/>
    <w:rsid w:val="17A32297"/>
    <w:rsid w:val="17B3019A"/>
    <w:rsid w:val="17BE3779"/>
    <w:rsid w:val="17C51A13"/>
    <w:rsid w:val="17CD6104"/>
    <w:rsid w:val="17E4046A"/>
    <w:rsid w:val="17FE0DA3"/>
    <w:rsid w:val="1832493E"/>
    <w:rsid w:val="183654EB"/>
    <w:rsid w:val="1860783C"/>
    <w:rsid w:val="186C7019"/>
    <w:rsid w:val="18753C74"/>
    <w:rsid w:val="18931BC9"/>
    <w:rsid w:val="189F624C"/>
    <w:rsid w:val="18EA50EB"/>
    <w:rsid w:val="18F347CF"/>
    <w:rsid w:val="1913798B"/>
    <w:rsid w:val="191B2052"/>
    <w:rsid w:val="191D5F17"/>
    <w:rsid w:val="1928488B"/>
    <w:rsid w:val="193C2247"/>
    <w:rsid w:val="19425AF7"/>
    <w:rsid w:val="194749E1"/>
    <w:rsid w:val="19503F61"/>
    <w:rsid w:val="195B5C68"/>
    <w:rsid w:val="19793247"/>
    <w:rsid w:val="197D3C23"/>
    <w:rsid w:val="19943B62"/>
    <w:rsid w:val="19984F3F"/>
    <w:rsid w:val="199D6758"/>
    <w:rsid w:val="19A16626"/>
    <w:rsid w:val="19AB1A1E"/>
    <w:rsid w:val="19C63A8D"/>
    <w:rsid w:val="19DE5904"/>
    <w:rsid w:val="19E24BC0"/>
    <w:rsid w:val="19EC46A7"/>
    <w:rsid w:val="19F96721"/>
    <w:rsid w:val="19FE1F89"/>
    <w:rsid w:val="1A032C4D"/>
    <w:rsid w:val="1A03350B"/>
    <w:rsid w:val="1A0E3079"/>
    <w:rsid w:val="1A0E77B0"/>
    <w:rsid w:val="1A1B0BFB"/>
    <w:rsid w:val="1A1C66C0"/>
    <w:rsid w:val="1A204601"/>
    <w:rsid w:val="1A22406A"/>
    <w:rsid w:val="1A332AB5"/>
    <w:rsid w:val="1A42393B"/>
    <w:rsid w:val="1A426370"/>
    <w:rsid w:val="1A49339A"/>
    <w:rsid w:val="1A4C6BC9"/>
    <w:rsid w:val="1A577D62"/>
    <w:rsid w:val="1A5819F4"/>
    <w:rsid w:val="1A5C6D30"/>
    <w:rsid w:val="1A5D6717"/>
    <w:rsid w:val="1A5F08C8"/>
    <w:rsid w:val="1A6644C3"/>
    <w:rsid w:val="1A712F48"/>
    <w:rsid w:val="1A74583D"/>
    <w:rsid w:val="1A8F4CDA"/>
    <w:rsid w:val="1A9D7F26"/>
    <w:rsid w:val="1AA85FF9"/>
    <w:rsid w:val="1AAD45DE"/>
    <w:rsid w:val="1AB128F3"/>
    <w:rsid w:val="1ACD3FC8"/>
    <w:rsid w:val="1AD80BAA"/>
    <w:rsid w:val="1AE9286D"/>
    <w:rsid w:val="1AED0591"/>
    <w:rsid w:val="1AF42920"/>
    <w:rsid w:val="1AFA2F2A"/>
    <w:rsid w:val="1B0002CF"/>
    <w:rsid w:val="1B030868"/>
    <w:rsid w:val="1B046F80"/>
    <w:rsid w:val="1B0C0C76"/>
    <w:rsid w:val="1B1378A0"/>
    <w:rsid w:val="1B152718"/>
    <w:rsid w:val="1B22592B"/>
    <w:rsid w:val="1B2B3E0C"/>
    <w:rsid w:val="1B3267B5"/>
    <w:rsid w:val="1B363CF2"/>
    <w:rsid w:val="1B40161D"/>
    <w:rsid w:val="1B40517B"/>
    <w:rsid w:val="1B441859"/>
    <w:rsid w:val="1B513EEB"/>
    <w:rsid w:val="1B55219D"/>
    <w:rsid w:val="1B6606B1"/>
    <w:rsid w:val="1B7F5A30"/>
    <w:rsid w:val="1B8924DD"/>
    <w:rsid w:val="1B923151"/>
    <w:rsid w:val="1B9F16DF"/>
    <w:rsid w:val="1BA215C8"/>
    <w:rsid w:val="1BA7011B"/>
    <w:rsid w:val="1BB36435"/>
    <w:rsid w:val="1BCF1C7F"/>
    <w:rsid w:val="1BD528A2"/>
    <w:rsid w:val="1BD630EA"/>
    <w:rsid w:val="1BE0346A"/>
    <w:rsid w:val="1BE42369"/>
    <w:rsid w:val="1BF03F86"/>
    <w:rsid w:val="1C0248C1"/>
    <w:rsid w:val="1C1F4407"/>
    <w:rsid w:val="1C215F4D"/>
    <w:rsid w:val="1C2961B2"/>
    <w:rsid w:val="1C4E2AEB"/>
    <w:rsid w:val="1C5E7925"/>
    <w:rsid w:val="1C64233E"/>
    <w:rsid w:val="1CC56E2E"/>
    <w:rsid w:val="1CC93433"/>
    <w:rsid w:val="1CD53B3E"/>
    <w:rsid w:val="1CD65A46"/>
    <w:rsid w:val="1CD93A2C"/>
    <w:rsid w:val="1CF43159"/>
    <w:rsid w:val="1CFD070F"/>
    <w:rsid w:val="1D0366CC"/>
    <w:rsid w:val="1D075A03"/>
    <w:rsid w:val="1D1336AC"/>
    <w:rsid w:val="1D1360AF"/>
    <w:rsid w:val="1D1D3909"/>
    <w:rsid w:val="1D1F3F4E"/>
    <w:rsid w:val="1D4E6113"/>
    <w:rsid w:val="1D5F6196"/>
    <w:rsid w:val="1D6132A5"/>
    <w:rsid w:val="1D654273"/>
    <w:rsid w:val="1D6B563E"/>
    <w:rsid w:val="1D7A442A"/>
    <w:rsid w:val="1D8E56D5"/>
    <w:rsid w:val="1D9A5BAD"/>
    <w:rsid w:val="1DAF752D"/>
    <w:rsid w:val="1DB028E2"/>
    <w:rsid w:val="1DBA0C36"/>
    <w:rsid w:val="1DBC2818"/>
    <w:rsid w:val="1DBD385B"/>
    <w:rsid w:val="1DBF4FD1"/>
    <w:rsid w:val="1DC3042C"/>
    <w:rsid w:val="1DC379C0"/>
    <w:rsid w:val="1DC578B7"/>
    <w:rsid w:val="1DDA2BDE"/>
    <w:rsid w:val="1DDF3427"/>
    <w:rsid w:val="1E017ECA"/>
    <w:rsid w:val="1E1B2715"/>
    <w:rsid w:val="1E23789B"/>
    <w:rsid w:val="1E267496"/>
    <w:rsid w:val="1E286974"/>
    <w:rsid w:val="1E447F71"/>
    <w:rsid w:val="1E552383"/>
    <w:rsid w:val="1E632489"/>
    <w:rsid w:val="1E6B66BB"/>
    <w:rsid w:val="1E741395"/>
    <w:rsid w:val="1E7A43DA"/>
    <w:rsid w:val="1E7C5533"/>
    <w:rsid w:val="1E803E94"/>
    <w:rsid w:val="1E924434"/>
    <w:rsid w:val="1E962C82"/>
    <w:rsid w:val="1E9A1BAC"/>
    <w:rsid w:val="1EA80F37"/>
    <w:rsid w:val="1ECC08A2"/>
    <w:rsid w:val="1ECE3128"/>
    <w:rsid w:val="1EE438DE"/>
    <w:rsid w:val="1EF86B75"/>
    <w:rsid w:val="1F132607"/>
    <w:rsid w:val="1F187900"/>
    <w:rsid w:val="1F2D4AF4"/>
    <w:rsid w:val="1F4A3DF2"/>
    <w:rsid w:val="1F4A5736"/>
    <w:rsid w:val="1F58537F"/>
    <w:rsid w:val="1F5C1247"/>
    <w:rsid w:val="1F666A03"/>
    <w:rsid w:val="1F6C04EA"/>
    <w:rsid w:val="1F747CB8"/>
    <w:rsid w:val="1F922BEA"/>
    <w:rsid w:val="1F9A74E9"/>
    <w:rsid w:val="1FB02966"/>
    <w:rsid w:val="1FB1525C"/>
    <w:rsid w:val="1FB75A8E"/>
    <w:rsid w:val="1FB83B15"/>
    <w:rsid w:val="1FBB6C8E"/>
    <w:rsid w:val="1FC96E7E"/>
    <w:rsid w:val="1FD43A74"/>
    <w:rsid w:val="1FE061E0"/>
    <w:rsid w:val="1FE7539E"/>
    <w:rsid w:val="20085562"/>
    <w:rsid w:val="20102DCD"/>
    <w:rsid w:val="202D39F2"/>
    <w:rsid w:val="203E0533"/>
    <w:rsid w:val="204C36EB"/>
    <w:rsid w:val="205762BE"/>
    <w:rsid w:val="20577143"/>
    <w:rsid w:val="205B00C1"/>
    <w:rsid w:val="20625A90"/>
    <w:rsid w:val="20643009"/>
    <w:rsid w:val="20660464"/>
    <w:rsid w:val="20671BE0"/>
    <w:rsid w:val="207C55F3"/>
    <w:rsid w:val="208C13A5"/>
    <w:rsid w:val="2094678D"/>
    <w:rsid w:val="20963CB8"/>
    <w:rsid w:val="20A05D29"/>
    <w:rsid w:val="20A21A32"/>
    <w:rsid w:val="20A81A1B"/>
    <w:rsid w:val="20B07FB6"/>
    <w:rsid w:val="20B34B89"/>
    <w:rsid w:val="20B646FB"/>
    <w:rsid w:val="20C956DA"/>
    <w:rsid w:val="20DD69AF"/>
    <w:rsid w:val="20E96346"/>
    <w:rsid w:val="20F84858"/>
    <w:rsid w:val="21012D37"/>
    <w:rsid w:val="21024CD8"/>
    <w:rsid w:val="213B163A"/>
    <w:rsid w:val="213B74B1"/>
    <w:rsid w:val="213C62B3"/>
    <w:rsid w:val="21404935"/>
    <w:rsid w:val="21460575"/>
    <w:rsid w:val="214665FB"/>
    <w:rsid w:val="215165E7"/>
    <w:rsid w:val="21545B2B"/>
    <w:rsid w:val="215A2310"/>
    <w:rsid w:val="21683D9F"/>
    <w:rsid w:val="216928F6"/>
    <w:rsid w:val="216B6330"/>
    <w:rsid w:val="218547B9"/>
    <w:rsid w:val="218A1858"/>
    <w:rsid w:val="219900C7"/>
    <w:rsid w:val="21A566A1"/>
    <w:rsid w:val="21BE1C70"/>
    <w:rsid w:val="21C744C6"/>
    <w:rsid w:val="21D55282"/>
    <w:rsid w:val="21D565F5"/>
    <w:rsid w:val="21DE318A"/>
    <w:rsid w:val="21E059ED"/>
    <w:rsid w:val="21EF5B80"/>
    <w:rsid w:val="21F47C82"/>
    <w:rsid w:val="2201074D"/>
    <w:rsid w:val="2224690C"/>
    <w:rsid w:val="222F6DA6"/>
    <w:rsid w:val="223010F0"/>
    <w:rsid w:val="2239743F"/>
    <w:rsid w:val="224448E9"/>
    <w:rsid w:val="22444BE8"/>
    <w:rsid w:val="225405ED"/>
    <w:rsid w:val="22576990"/>
    <w:rsid w:val="22744791"/>
    <w:rsid w:val="22771F27"/>
    <w:rsid w:val="22B37EC2"/>
    <w:rsid w:val="22BA3B0D"/>
    <w:rsid w:val="22BA6536"/>
    <w:rsid w:val="22C22AF9"/>
    <w:rsid w:val="22C87D13"/>
    <w:rsid w:val="22D03E8C"/>
    <w:rsid w:val="22F47480"/>
    <w:rsid w:val="22FC02DA"/>
    <w:rsid w:val="230D2A9C"/>
    <w:rsid w:val="23131247"/>
    <w:rsid w:val="231678B7"/>
    <w:rsid w:val="23187089"/>
    <w:rsid w:val="23190360"/>
    <w:rsid w:val="231E685F"/>
    <w:rsid w:val="232664C0"/>
    <w:rsid w:val="232E22B6"/>
    <w:rsid w:val="23306E66"/>
    <w:rsid w:val="23317DA4"/>
    <w:rsid w:val="23540B28"/>
    <w:rsid w:val="236315CF"/>
    <w:rsid w:val="23664E1C"/>
    <w:rsid w:val="238B61E9"/>
    <w:rsid w:val="2392566A"/>
    <w:rsid w:val="23926741"/>
    <w:rsid w:val="23963781"/>
    <w:rsid w:val="23981740"/>
    <w:rsid w:val="23A96177"/>
    <w:rsid w:val="23DE1C48"/>
    <w:rsid w:val="23F028C3"/>
    <w:rsid w:val="23FB40C5"/>
    <w:rsid w:val="240210CD"/>
    <w:rsid w:val="242460BB"/>
    <w:rsid w:val="242803F2"/>
    <w:rsid w:val="243155C0"/>
    <w:rsid w:val="243E2C46"/>
    <w:rsid w:val="24567DCB"/>
    <w:rsid w:val="24680C9C"/>
    <w:rsid w:val="246B137F"/>
    <w:rsid w:val="246B3251"/>
    <w:rsid w:val="24786578"/>
    <w:rsid w:val="24941016"/>
    <w:rsid w:val="2495131D"/>
    <w:rsid w:val="249849D1"/>
    <w:rsid w:val="24A009A2"/>
    <w:rsid w:val="24A51619"/>
    <w:rsid w:val="24AD71BF"/>
    <w:rsid w:val="24B5591E"/>
    <w:rsid w:val="24BF09F7"/>
    <w:rsid w:val="24C43392"/>
    <w:rsid w:val="24CC180B"/>
    <w:rsid w:val="24D82535"/>
    <w:rsid w:val="24EA4819"/>
    <w:rsid w:val="24F06198"/>
    <w:rsid w:val="24F74C7A"/>
    <w:rsid w:val="24FF3278"/>
    <w:rsid w:val="25020E16"/>
    <w:rsid w:val="2512451D"/>
    <w:rsid w:val="251904F8"/>
    <w:rsid w:val="251D46FF"/>
    <w:rsid w:val="252B4CAE"/>
    <w:rsid w:val="252D53FE"/>
    <w:rsid w:val="25434230"/>
    <w:rsid w:val="254359D3"/>
    <w:rsid w:val="256019EB"/>
    <w:rsid w:val="257062AE"/>
    <w:rsid w:val="25880658"/>
    <w:rsid w:val="259869CA"/>
    <w:rsid w:val="25A4500F"/>
    <w:rsid w:val="25AA0F54"/>
    <w:rsid w:val="25AD0873"/>
    <w:rsid w:val="25B4331C"/>
    <w:rsid w:val="25C91C36"/>
    <w:rsid w:val="25D013A0"/>
    <w:rsid w:val="25EC2D81"/>
    <w:rsid w:val="25F309F9"/>
    <w:rsid w:val="25F82EAD"/>
    <w:rsid w:val="25F926C9"/>
    <w:rsid w:val="26036AD6"/>
    <w:rsid w:val="260C77D4"/>
    <w:rsid w:val="260E0A86"/>
    <w:rsid w:val="260F01A4"/>
    <w:rsid w:val="26123FCD"/>
    <w:rsid w:val="2612497B"/>
    <w:rsid w:val="26135A4F"/>
    <w:rsid w:val="26251BB1"/>
    <w:rsid w:val="265E2362"/>
    <w:rsid w:val="266C5B94"/>
    <w:rsid w:val="26757E48"/>
    <w:rsid w:val="26763B52"/>
    <w:rsid w:val="267C0BE4"/>
    <w:rsid w:val="267D5936"/>
    <w:rsid w:val="26801B62"/>
    <w:rsid w:val="26974A9A"/>
    <w:rsid w:val="269E34EE"/>
    <w:rsid w:val="26A07DB5"/>
    <w:rsid w:val="26AD0EDF"/>
    <w:rsid w:val="26B42DF6"/>
    <w:rsid w:val="26B96957"/>
    <w:rsid w:val="26F00125"/>
    <w:rsid w:val="26F26C8B"/>
    <w:rsid w:val="26F35308"/>
    <w:rsid w:val="2706541A"/>
    <w:rsid w:val="270A2E90"/>
    <w:rsid w:val="27192BBA"/>
    <w:rsid w:val="27372795"/>
    <w:rsid w:val="273920D5"/>
    <w:rsid w:val="27470664"/>
    <w:rsid w:val="27501EF5"/>
    <w:rsid w:val="276226E0"/>
    <w:rsid w:val="27674387"/>
    <w:rsid w:val="277057A2"/>
    <w:rsid w:val="27927C98"/>
    <w:rsid w:val="27A5444E"/>
    <w:rsid w:val="27B650D7"/>
    <w:rsid w:val="27D54F49"/>
    <w:rsid w:val="280B5800"/>
    <w:rsid w:val="28302C9B"/>
    <w:rsid w:val="2836537C"/>
    <w:rsid w:val="285D6A8F"/>
    <w:rsid w:val="286236F5"/>
    <w:rsid w:val="28631082"/>
    <w:rsid w:val="28877F87"/>
    <w:rsid w:val="288B75F6"/>
    <w:rsid w:val="288D4DAE"/>
    <w:rsid w:val="288F54BB"/>
    <w:rsid w:val="28B52638"/>
    <w:rsid w:val="28D064FB"/>
    <w:rsid w:val="28E6219D"/>
    <w:rsid w:val="28E93CA5"/>
    <w:rsid w:val="28FA2AA6"/>
    <w:rsid w:val="29056FA6"/>
    <w:rsid w:val="2907450A"/>
    <w:rsid w:val="290E50E5"/>
    <w:rsid w:val="291C1806"/>
    <w:rsid w:val="2920278B"/>
    <w:rsid w:val="29206EB8"/>
    <w:rsid w:val="29285E3E"/>
    <w:rsid w:val="293038FB"/>
    <w:rsid w:val="293C5F01"/>
    <w:rsid w:val="29507E35"/>
    <w:rsid w:val="295902EC"/>
    <w:rsid w:val="29595666"/>
    <w:rsid w:val="296C0F15"/>
    <w:rsid w:val="297B3A26"/>
    <w:rsid w:val="298170A5"/>
    <w:rsid w:val="2985203B"/>
    <w:rsid w:val="29874881"/>
    <w:rsid w:val="298A2E69"/>
    <w:rsid w:val="298C50D3"/>
    <w:rsid w:val="299E3053"/>
    <w:rsid w:val="29B515CF"/>
    <w:rsid w:val="29B964FB"/>
    <w:rsid w:val="29BD2B65"/>
    <w:rsid w:val="29C15E24"/>
    <w:rsid w:val="29DB6D0B"/>
    <w:rsid w:val="29E20A16"/>
    <w:rsid w:val="29E325E0"/>
    <w:rsid w:val="29E90FCB"/>
    <w:rsid w:val="29EE08F2"/>
    <w:rsid w:val="2A037B95"/>
    <w:rsid w:val="2A0669DB"/>
    <w:rsid w:val="2A0E0381"/>
    <w:rsid w:val="2A153A99"/>
    <w:rsid w:val="2A1668AF"/>
    <w:rsid w:val="2A197B9D"/>
    <w:rsid w:val="2A1A1450"/>
    <w:rsid w:val="2A2A4A6D"/>
    <w:rsid w:val="2A32709C"/>
    <w:rsid w:val="2A40085B"/>
    <w:rsid w:val="2A441513"/>
    <w:rsid w:val="2A452503"/>
    <w:rsid w:val="2A491413"/>
    <w:rsid w:val="2A494264"/>
    <w:rsid w:val="2A5A28C0"/>
    <w:rsid w:val="2A7C2F50"/>
    <w:rsid w:val="2A9B1A9C"/>
    <w:rsid w:val="2AAE4700"/>
    <w:rsid w:val="2AD12ACC"/>
    <w:rsid w:val="2ADF5E10"/>
    <w:rsid w:val="2AE24F0E"/>
    <w:rsid w:val="2AE4128D"/>
    <w:rsid w:val="2AEC1828"/>
    <w:rsid w:val="2B1B1ACA"/>
    <w:rsid w:val="2B1C3CF4"/>
    <w:rsid w:val="2B21357F"/>
    <w:rsid w:val="2B2F421F"/>
    <w:rsid w:val="2B314398"/>
    <w:rsid w:val="2B3C3758"/>
    <w:rsid w:val="2B3E5ACA"/>
    <w:rsid w:val="2B436A94"/>
    <w:rsid w:val="2B4C49F5"/>
    <w:rsid w:val="2B4E0380"/>
    <w:rsid w:val="2B6C31B2"/>
    <w:rsid w:val="2B7678CD"/>
    <w:rsid w:val="2B8A121E"/>
    <w:rsid w:val="2B926C58"/>
    <w:rsid w:val="2BA936A8"/>
    <w:rsid w:val="2BB24821"/>
    <w:rsid w:val="2BE64693"/>
    <w:rsid w:val="2C1A754B"/>
    <w:rsid w:val="2C1E706F"/>
    <w:rsid w:val="2C220EF9"/>
    <w:rsid w:val="2C2B6B11"/>
    <w:rsid w:val="2C2E5F05"/>
    <w:rsid w:val="2C315A5A"/>
    <w:rsid w:val="2C3C7301"/>
    <w:rsid w:val="2C4B1C25"/>
    <w:rsid w:val="2C503C75"/>
    <w:rsid w:val="2C753673"/>
    <w:rsid w:val="2C7A7049"/>
    <w:rsid w:val="2C7D0710"/>
    <w:rsid w:val="2C8163ED"/>
    <w:rsid w:val="2C8A71C7"/>
    <w:rsid w:val="2C8D0825"/>
    <w:rsid w:val="2C9A7E1E"/>
    <w:rsid w:val="2CBC0556"/>
    <w:rsid w:val="2CC30C89"/>
    <w:rsid w:val="2CD522CC"/>
    <w:rsid w:val="2CFA74E2"/>
    <w:rsid w:val="2CFC49DE"/>
    <w:rsid w:val="2D0048EF"/>
    <w:rsid w:val="2D0430D4"/>
    <w:rsid w:val="2D130BCD"/>
    <w:rsid w:val="2D1C5C25"/>
    <w:rsid w:val="2D2A6F89"/>
    <w:rsid w:val="2D3F6A8E"/>
    <w:rsid w:val="2D5024B1"/>
    <w:rsid w:val="2D5A3697"/>
    <w:rsid w:val="2D603111"/>
    <w:rsid w:val="2D657276"/>
    <w:rsid w:val="2D6A35CF"/>
    <w:rsid w:val="2D6C0ACE"/>
    <w:rsid w:val="2D9E0AF4"/>
    <w:rsid w:val="2D9E56F5"/>
    <w:rsid w:val="2DA4345E"/>
    <w:rsid w:val="2DA463E5"/>
    <w:rsid w:val="2DAA78F4"/>
    <w:rsid w:val="2DB52E33"/>
    <w:rsid w:val="2DC74D48"/>
    <w:rsid w:val="2DC93455"/>
    <w:rsid w:val="2DF56401"/>
    <w:rsid w:val="2E052D91"/>
    <w:rsid w:val="2E0D5B3B"/>
    <w:rsid w:val="2E1210D6"/>
    <w:rsid w:val="2E214136"/>
    <w:rsid w:val="2E2A1FC9"/>
    <w:rsid w:val="2E305BDD"/>
    <w:rsid w:val="2E3D373C"/>
    <w:rsid w:val="2E445AB0"/>
    <w:rsid w:val="2E5A1071"/>
    <w:rsid w:val="2E5B1F07"/>
    <w:rsid w:val="2E5C027B"/>
    <w:rsid w:val="2E6163A5"/>
    <w:rsid w:val="2E667F96"/>
    <w:rsid w:val="2E6E3917"/>
    <w:rsid w:val="2E7D3430"/>
    <w:rsid w:val="2E8226AB"/>
    <w:rsid w:val="2E8A7C2F"/>
    <w:rsid w:val="2E9504D5"/>
    <w:rsid w:val="2E9953C5"/>
    <w:rsid w:val="2EAD1E32"/>
    <w:rsid w:val="2EC97F24"/>
    <w:rsid w:val="2EE937C5"/>
    <w:rsid w:val="2EF941E3"/>
    <w:rsid w:val="2EFD3192"/>
    <w:rsid w:val="2F105766"/>
    <w:rsid w:val="2F182326"/>
    <w:rsid w:val="2F1D3645"/>
    <w:rsid w:val="2F385E37"/>
    <w:rsid w:val="2F4839AE"/>
    <w:rsid w:val="2F4903B6"/>
    <w:rsid w:val="2F4A2FBB"/>
    <w:rsid w:val="2F4E1E25"/>
    <w:rsid w:val="2F500BE7"/>
    <w:rsid w:val="2F5E5400"/>
    <w:rsid w:val="2F6F560C"/>
    <w:rsid w:val="2F7D2569"/>
    <w:rsid w:val="2FA80683"/>
    <w:rsid w:val="2FAD70FD"/>
    <w:rsid w:val="2FBE1E11"/>
    <w:rsid w:val="2FCA1C23"/>
    <w:rsid w:val="2FD065E6"/>
    <w:rsid w:val="2FD95E2A"/>
    <w:rsid w:val="2FD96870"/>
    <w:rsid w:val="2FF93F65"/>
    <w:rsid w:val="30220830"/>
    <w:rsid w:val="3031101F"/>
    <w:rsid w:val="303136ED"/>
    <w:rsid w:val="303C40BF"/>
    <w:rsid w:val="304C762E"/>
    <w:rsid w:val="30580BC9"/>
    <w:rsid w:val="306F5CA5"/>
    <w:rsid w:val="30777C6C"/>
    <w:rsid w:val="309025B5"/>
    <w:rsid w:val="30A04311"/>
    <w:rsid w:val="30A27194"/>
    <w:rsid w:val="30BA1326"/>
    <w:rsid w:val="30C6081A"/>
    <w:rsid w:val="30CC0106"/>
    <w:rsid w:val="30E653B9"/>
    <w:rsid w:val="31046EDD"/>
    <w:rsid w:val="31060B03"/>
    <w:rsid w:val="31096DB9"/>
    <w:rsid w:val="311E2ED7"/>
    <w:rsid w:val="311F0607"/>
    <w:rsid w:val="312219CD"/>
    <w:rsid w:val="31225770"/>
    <w:rsid w:val="312A4BDA"/>
    <w:rsid w:val="313C25EB"/>
    <w:rsid w:val="3152026D"/>
    <w:rsid w:val="315619EE"/>
    <w:rsid w:val="315C449C"/>
    <w:rsid w:val="31646A53"/>
    <w:rsid w:val="316747B0"/>
    <w:rsid w:val="317628E4"/>
    <w:rsid w:val="31763069"/>
    <w:rsid w:val="31874B65"/>
    <w:rsid w:val="31B07ABA"/>
    <w:rsid w:val="31B82709"/>
    <w:rsid w:val="31C92DD3"/>
    <w:rsid w:val="31D05482"/>
    <w:rsid w:val="31FD5F56"/>
    <w:rsid w:val="321524FD"/>
    <w:rsid w:val="321539AE"/>
    <w:rsid w:val="321A557C"/>
    <w:rsid w:val="321D3A90"/>
    <w:rsid w:val="322D3B28"/>
    <w:rsid w:val="32376679"/>
    <w:rsid w:val="32400B34"/>
    <w:rsid w:val="324725C8"/>
    <w:rsid w:val="32512E81"/>
    <w:rsid w:val="325249A1"/>
    <w:rsid w:val="326D56F7"/>
    <w:rsid w:val="32710566"/>
    <w:rsid w:val="32854FB5"/>
    <w:rsid w:val="329E6876"/>
    <w:rsid w:val="32A96FBC"/>
    <w:rsid w:val="32B25590"/>
    <w:rsid w:val="32F950AA"/>
    <w:rsid w:val="330917B8"/>
    <w:rsid w:val="333015F2"/>
    <w:rsid w:val="33437474"/>
    <w:rsid w:val="33492096"/>
    <w:rsid w:val="334B6320"/>
    <w:rsid w:val="3352607B"/>
    <w:rsid w:val="336C70CB"/>
    <w:rsid w:val="337B70C2"/>
    <w:rsid w:val="33836AF0"/>
    <w:rsid w:val="33A00355"/>
    <w:rsid w:val="33B35503"/>
    <w:rsid w:val="33D934D4"/>
    <w:rsid w:val="33E421CD"/>
    <w:rsid w:val="33FE2F6A"/>
    <w:rsid w:val="340E07E5"/>
    <w:rsid w:val="341F1779"/>
    <w:rsid w:val="341F3ECE"/>
    <w:rsid w:val="34235BF7"/>
    <w:rsid w:val="34317430"/>
    <w:rsid w:val="34553963"/>
    <w:rsid w:val="34575B77"/>
    <w:rsid w:val="34577A8B"/>
    <w:rsid w:val="3458285A"/>
    <w:rsid w:val="348F4216"/>
    <w:rsid w:val="34A0118E"/>
    <w:rsid w:val="34A81347"/>
    <w:rsid w:val="34A86EDD"/>
    <w:rsid w:val="34B47F31"/>
    <w:rsid w:val="34D45742"/>
    <w:rsid w:val="34DF56F2"/>
    <w:rsid w:val="34E8541C"/>
    <w:rsid w:val="350112C3"/>
    <w:rsid w:val="350872D0"/>
    <w:rsid w:val="35163ECD"/>
    <w:rsid w:val="3518640F"/>
    <w:rsid w:val="35242642"/>
    <w:rsid w:val="35362B38"/>
    <w:rsid w:val="3537362E"/>
    <w:rsid w:val="354A78AC"/>
    <w:rsid w:val="3560001F"/>
    <w:rsid w:val="35787AE2"/>
    <w:rsid w:val="3583097D"/>
    <w:rsid w:val="358C5FA8"/>
    <w:rsid w:val="35A02AC6"/>
    <w:rsid w:val="35A74696"/>
    <w:rsid w:val="35B80565"/>
    <w:rsid w:val="35B91A24"/>
    <w:rsid w:val="35C15DF1"/>
    <w:rsid w:val="35D23E16"/>
    <w:rsid w:val="35E35909"/>
    <w:rsid w:val="35EE4F1C"/>
    <w:rsid w:val="35EF7D63"/>
    <w:rsid w:val="35F36C6F"/>
    <w:rsid w:val="36074A7F"/>
    <w:rsid w:val="360A04DA"/>
    <w:rsid w:val="362E19B0"/>
    <w:rsid w:val="366404B4"/>
    <w:rsid w:val="36745695"/>
    <w:rsid w:val="367758D2"/>
    <w:rsid w:val="36797078"/>
    <w:rsid w:val="367B406A"/>
    <w:rsid w:val="367B5FFB"/>
    <w:rsid w:val="36923549"/>
    <w:rsid w:val="36B75FBF"/>
    <w:rsid w:val="36BD0C45"/>
    <w:rsid w:val="36CE7E18"/>
    <w:rsid w:val="36D17509"/>
    <w:rsid w:val="36E2759B"/>
    <w:rsid w:val="36F112DD"/>
    <w:rsid w:val="36FC1776"/>
    <w:rsid w:val="37081F05"/>
    <w:rsid w:val="371A41AD"/>
    <w:rsid w:val="37256D7C"/>
    <w:rsid w:val="372A4104"/>
    <w:rsid w:val="37367726"/>
    <w:rsid w:val="37461D7F"/>
    <w:rsid w:val="37593BB5"/>
    <w:rsid w:val="37740530"/>
    <w:rsid w:val="377575F2"/>
    <w:rsid w:val="378E4827"/>
    <w:rsid w:val="37A421A4"/>
    <w:rsid w:val="37C268A8"/>
    <w:rsid w:val="37CD1572"/>
    <w:rsid w:val="37D31163"/>
    <w:rsid w:val="37E00298"/>
    <w:rsid w:val="37E0396C"/>
    <w:rsid w:val="37F241BC"/>
    <w:rsid w:val="37FC2A88"/>
    <w:rsid w:val="38103D90"/>
    <w:rsid w:val="38201470"/>
    <w:rsid w:val="383D612C"/>
    <w:rsid w:val="38412502"/>
    <w:rsid w:val="3841740D"/>
    <w:rsid w:val="38570300"/>
    <w:rsid w:val="38672EDD"/>
    <w:rsid w:val="38742535"/>
    <w:rsid w:val="38852606"/>
    <w:rsid w:val="388C02E2"/>
    <w:rsid w:val="38993495"/>
    <w:rsid w:val="389B4C26"/>
    <w:rsid w:val="38B302F9"/>
    <w:rsid w:val="38C55642"/>
    <w:rsid w:val="38C76B7D"/>
    <w:rsid w:val="38C94A4F"/>
    <w:rsid w:val="38D77B23"/>
    <w:rsid w:val="38EA08EA"/>
    <w:rsid w:val="38EA1652"/>
    <w:rsid w:val="38EA556C"/>
    <w:rsid w:val="38F12CD3"/>
    <w:rsid w:val="38F859E5"/>
    <w:rsid w:val="38F94775"/>
    <w:rsid w:val="39023E19"/>
    <w:rsid w:val="390F4E79"/>
    <w:rsid w:val="39123D32"/>
    <w:rsid w:val="391C79B9"/>
    <w:rsid w:val="392971ED"/>
    <w:rsid w:val="392A76E4"/>
    <w:rsid w:val="39325651"/>
    <w:rsid w:val="39434D45"/>
    <w:rsid w:val="395955F4"/>
    <w:rsid w:val="395A018F"/>
    <w:rsid w:val="396C3BCD"/>
    <w:rsid w:val="396D0253"/>
    <w:rsid w:val="39784A3D"/>
    <w:rsid w:val="39944E25"/>
    <w:rsid w:val="399869DD"/>
    <w:rsid w:val="39AB1EEB"/>
    <w:rsid w:val="39AE3CB7"/>
    <w:rsid w:val="39BC596C"/>
    <w:rsid w:val="39C44090"/>
    <w:rsid w:val="39C761F0"/>
    <w:rsid w:val="39CA37C8"/>
    <w:rsid w:val="39CF330D"/>
    <w:rsid w:val="39DE1130"/>
    <w:rsid w:val="39FC356A"/>
    <w:rsid w:val="3A1C5E5E"/>
    <w:rsid w:val="3A2129A2"/>
    <w:rsid w:val="3A2B60E7"/>
    <w:rsid w:val="3A4E7D87"/>
    <w:rsid w:val="3A586CEC"/>
    <w:rsid w:val="3A5B4C97"/>
    <w:rsid w:val="3A5F1FEB"/>
    <w:rsid w:val="3A710065"/>
    <w:rsid w:val="3A7D52B2"/>
    <w:rsid w:val="3A834F4A"/>
    <w:rsid w:val="3A872856"/>
    <w:rsid w:val="3AB10686"/>
    <w:rsid w:val="3AB34845"/>
    <w:rsid w:val="3AB93D55"/>
    <w:rsid w:val="3AC6112F"/>
    <w:rsid w:val="3AC87148"/>
    <w:rsid w:val="3AD4668F"/>
    <w:rsid w:val="3B116BB6"/>
    <w:rsid w:val="3B166FCD"/>
    <w:rsid w:val="3B3763D1"/>
    <w:rsid w:val="3B4A2F8A"/>
    <w:rsid w:val="3B4A7DDB"/>
    <w:rsid w:val="3B504245"/>
    <w:rsid w:val="3B535C42"/>
    <w:rsid w:val="3B931663"/>
    <w:rsid w:val="3B9E50AA"/>
    <w:rsid w:val="3BBE6BA8"/>
    <w:rsid w:val="3BC344E1"/>
    <w:rsid w:val="3BD14628"/>
    <w:rsid w:val="3BD53DD9"/>
    <w:rsid w:val="3BE54378"/>
    <w:rsid w:val="3BEE45FA"/>
    <w:rsid w:val="3C0A5820"/>
    <w:rsid w:val="3C0B6FF0"/>
    <w:rsid w:val="3C101BAF"/>
    <w:rsid w:val="3C2F6E1E"/>
    <w:rsid w:val="3C43281A"/>
    <w:rsid w:val="3C4328FF"/>
    <w:rsid w:val="3C4F64BA"/>
    <w:rsid w:val="3C5D3F6D"/>
    <w:rsid w:val="3C6B471B"/>
    <w:rsid w:val="3C6E0FA5"/>
    <w:rsid w:val="3C7E53EB"/>
    <w:rsid w:val="3C9C060C"/>
    <w:rsid w:val="3CA75679"/>
    <w:rsid w:val="3CA92D80"/>
    <w:rsid w:val="3CBA69FD"/>
    <w:rsid w:val="3CBD75F7"/>
    <w:rsid w:val="3CC133DF"/>
    <w:rsid w:val="3CC25605"/>
    <w:rsid w:val="3CD27175"/>
    <w:rsid w:val="3CDA245A"/>
    <w:rsid w:val="3CF66210"/>
    <w:rsid w:val="3CFE3698"/>
    <w:rsid w:val="3D0A723E"/>
    <w:rsid w:val="3D1E06B7"/>
    <w:rsid w:val="3D381A9D"/>
    <w:rsid w:val="3D432C19"/>
    <w:rsid w:val="3D4B3569"/>
    <w:rsid w:val="3D7D13B4"/>
    <w:rsid w:val="3D8024EF"/>
    <w:rsid w:val="3D91725C"/>
    <w:rsid w:val="3D9840BA"/>
    <w:rsid w:val="3DCB201B"/>
    <w:rsid w:val="3DF16D3A"/>
    <w:rsid w:val="3E03792D"/>
    <w:rsid w:val="3E085C93"/>
    <w:rsid w:val="3E196F1D"/>
    <w:rsid w:val="3E1D6B9B"/>
    <w:rsid w:val="3E1E5F49"/>
    <w:rsid w:val="3E565887"/>
    <w:rsid w:val="3E590403"/>
    <w:rsid w:val="3E7A5F0C"/>
    <w:rsid w:val="3E827CA9"/>
    <w:rsid w:val="3E874FDE"/>
    <w:rsid w:val="3E8C2196"/>
    <w:rsid w:val="3E920AF4"/>
    <w:rsid w:val="3E925F4B"/>
    <w:rsid w:val="3EA656B8"/>
    <w:rsid w:val="3EA950F3"/>
    <w:rsid w:val="3EAE7081"/>
    <w:rsid w:val="3EB668F0"/>
    <w:rsid w:val="3EB918F4"/>
    <w:rsid w:val="3EBB2ECA"/>
    <w:rsid w:val="3EC0702C"/>
    <w:rsid w:val="3EDA0523"/>
    <w:rsid w:val="3EE73486"/>
    <w:rsid w:val="3EFB23D8"/>
    <w:rsid w:val="3F0249CB"/>
    <w:rsid w:val="3F0277DB"/>
    <w:rsid w:val="3F057E99"/>
    <w:rsid w:val="3F0B1C27"/>
    <w:rsid w:val="3F0D3840"/>
    <w:rsid w:val="3F111A39"/>
    <w:rsid w:val="3F1537A6"/>
    <w:rsid w:val="3F301835"/>
    <w:rsid w:val="3F343854"/>
    <w:rsid w:val="3F392067"/>
    <w:rsid w:val="3F5766F6"/>
    <w:rsid w:val="3F684E13"/>
    <w:rsid w:val="3F7462A8"/>
    <w:rsid w:val="3F9545CE"/>
    <w:rsid w:val="3F9B2462"/>
    <w:rsid w:val="3FC04F5B"/>
    <w:rsid w:val="3FC1467E"/>
    <w:rsid w:val="3FC427D0"/>
    <w:rsid w:val="3FDB5B7F"/>
    <w:rsid w:val="3FDF439B"/>
    <w:rsid w:val="3FF174D3"/>
    <w:rsid w:val="3FFD7491"/>
    <w:rsid w:val="4004477A"/>
    <w:rsid w:val="40161282"/>
    <w:rsid w:val="402021C8"/>
    <w:rsid w:val="402415EA"/>
    <w:rsid w:val="403A4838"/>
    <w:rsid w:val="40433064"/>
    <w:rsid w:val="404916C8"/>
    <w:rsid w:val="404A6ABB"/>
    <w:rsid w:val="407A6407"/>
    <w:rsid w:val="407E2ECB"/>
    <w:rsid w:val="408B679C"/>
    <w:rsid w:val="409B44DC"/>
    <w:rsid w:val="409E3000"/>
    <w:rsid w:val="40B25B72"/>
    <w:rsid w:val="40B50165"/>
    <w:rsid w:val="40BC3333"/>
    <w:rsid w:val="40D44377"/>
    <w:rsid w:val="40DB03E7"/>
    <w:rsid w:val="40E42D76"/>
    <w:rsid w:val="41024A81"/>
    <w:rsid w:val="410272E5"/>
    <w:rsid w:val="41157F5C"/>
    <w:rsid w:val="412B1948"/>
    <w:rsid w:val="412C2959"/>
    <w:rsid w:val="41344C0E"/>
    <w:rsid w:val="413D6633"/>
    <w:rsid w:val="41502B0B"/>
    <w:rsid w:val="416E476B"/>
    <w:rsid w:val="417A6FEA"/>
    <w:rsid w:val="41852078"/>
    <w:rsid w:val="418A15AA"/>
    <w:rsid w:val="419531AD"/>
    <w:rsid w:val="41C35CBE"/>
    <w:rsid w:val="41C54B00"/>
    <w:rsid w:val="41CD3418"/>
    <w:rsid w:val="41D84D9F"/>
    <w:rsid w:val="41DC1D4C"/>
    <w:rsid w:val="41ED3559"/>
    <w:rsid w:val="41F304DD"/>
    <w:rsid w:val="41F624AC"/>
    <w:rsid w:val="41FC7B45"/>
    <w:rsid w:val="4200449D"/>
    <w:rsid w:val="42283977"/>
    <w:rsid w:val="422F436D"/>
    <w:rsid w:val="423939B5"/>
    <w:rsid w:val="423A3BCC"/>
    <w:rsid w:val="423F4C95"/>
    <w:rsid w:val="424B3FCB"/>
    <w:rsid w:val="424E57D2"/>
    <w:rsid w:val="425231BE"/>
    <w:rsid w:val="42607126"/>
    <w:rsid w:val="4264556E"/>
    <w:rsid w:val="42777629"/>
    <w:rsid w:val="42844704"/>
    <w:rsid w:val="428A37BA"/>
    <w:rsid w:val="428A7385"/>
    <w:rsid w:val="428F005E"/>
    <w:rsid w:val="429916F1"/>
    <w:rsid w:val="42B26C49"/>
    <w:rsid w:val="42B9407A"/>
    <w:rsid w:val="42BA7E20"/>
    <w:rsid w:val="42C34868"/>
    <w:rsid w:val="42F441C2"/>
    <w:rsid w:val="43062F38"/>
    <w:rsid w:val="430920E3"/>
    <w:rsid w:val="430A14B8"/>
    <w:rsid w:val="430C28CD"/>
    <w:rsid w:val="433A6FE6"/>
    <w:rsid w:val="433F57C7"/>
    <w:rsid w:val="43480868"/>
    <w:rsid w:val="4350713C"/>
    <w:rsid w:val="435D247B"/>
    <w:rsid w:val="436653E0"/>
    <w:rsid w:val="437974E3"/>
    <w:rsid w:val="437D2C44"/>
    <w:rsid w:val="437E5ED1"/>
    <w:rsid w:val="43A11456"/>
    <w:rsid w:val="43A80926"/>
    <w:rsid w:val="43AC3237"/>
    <w:rsid w:val="43B97CC3"/>
    <w:rsid w:val="43BE7277"/>
    <w:rsid w:val="43C4431A"/>
    <w:rsid w:val="43D26508"/>
    <w:rsid w:val="43D972C2"/>
    <w:rsid w:val="43FD519D"/>
    <w:rsid w:val="440C37B6"/>
    <w:rsid w:val="44147EF8"/>
    <w:rsid w:val="441B5909"/>
    <w:rsid w:val="44204569"/>
    <w:rsid w:val="44464FBD"/>
    <w:rsid w:val="444E691A"/>
    <w:rsid w:val="44595A26"/>
    <w:rsid w:val="447543AD"/>
    <w:rsid w:val="447942AE"/>
    <w:rsid w:val="447C42FB"/>
    <w:rsid w:val="447E334D"/>
    <w:rsid w:val="4490173E"/>
    <w:rsid w:val="449D03F2"/>
    <w:rsid w:val="44A81DF3"/>
    <w:rsid w:val="44B951CC"/>
    <w:rsid w:val="44BC15C3"/>
    <w:rsid w:val="44CD14E0"/>
    <w:rsid w:val="44D312CB"/>
    <w:rsid w:val="44DF3EE6"/>
    <w:rsid w:val="44E8297A"/>
    <w:rsid w:val="44F20B0B"/>
    <w:rsid w:val="44F83329"/>
    <w:rsid w:val="44FD0D42"/>
    <w:rsid w:val="44FD2351"/>
    <w:rsid w:val="45023F67"/>
    <w:rsid w:val="45102588"/>
    <w:rsid w:val="45103FCD"/>
    <w:rsid w:val="45196801"/>
    <w:rsid w:val="45207AB1"/>
    <w:rsid w:val="45212495"/>
    <w:rsid w:val="452C0E77"/>
    <w:rsid w:val="452E3A5A"/>
    <w:rsid w:val="452E5F4C"/>
    <w:rsid w:val="453400E2"/>
    <w:rsid w:val="4548303B"/>
    <w:rsid w:val="45581928"/>
    <w:rsid w:val="45612018"/>
    <w:rsid w:val="458946E9"/>
    <w:rsid w:val="45A47C0E"/>
    <w:rsid w:val="45B5248C"/>
    <w:rsid w:val="45BA50F4"/>
    <w:rsid w:val="45D36784"/>
    <w:rsid w:val="45E20BF8"/>
    <w:rsid w:val="4608598F"/>
    <w:rsid w:val="461116D8"/>
    <w:rsid w:val="461B4E32"/>
    <w:rsid w:val="465322EA"/>
    <w:rsid w:val="46577FD6"/>
    <w:rsid w:val="46582462"/>
    <w:rsid w:val="466126C2"/>
    <w:rsid w:val="46891F32"/>
    <w:rsid w:val="469E2042"/>
    <w:rsid w:val="46A16E54"/>
    <w:rsid w:val="46AE540B"/>
    <w:rsid w:val="46BD3C56"/>
    <w:rsid w:val="46BD7E3A"/>
    <w:rsid w:val="46BE4267"/>
    <w:rsid w:val="46CD26F6"/>
    <w:rsid w:val="46D955A7"/>
    <w:rsid w:val="46E30892"/>
    <w:rsid w:val="46FE53CA"/>
    <w:rsid w:val="470D5EFF"/>
    <w:rsid w:val="47133957"/>
    <w:rsid w:val="471E00F8"/>
    <w:rsid w:val="473E1EB0"/>
    <w:rsid w:val="4746588A"/>
    <w:rsid w:val="47571BE5"/>
    <w:rsid w:val="475E4540"/>
    <w:rsid w:val="4761139A"/>
    <w:rsid w:val="478363F0"/>
    <w:rsid w:val="478419C7"/>
    <w:rsid w:val="478667E8"/>
    <w:rsid w:val="47A07E0C"/>
    <w:rsid w:val="47A364CB"/>
    <w:rsid w:val="47AB2495"/>
    <w:rsid w:val="47B31F36"/>
    <w:rsid w:val="47B47669"/>
    <w:rsid w:val="47B5521D"/>
    <w:rsid w:val="47F657E4"/>
    <w:rsid w:val="482B6030"/>
    <w:rsid w:val="484E29CE"/>
    <w:rsid w:val="48685C89"/>
    <w:rsid w:val="4870272E"/>
    <w:rsid w:val="48786CDD"/>
    <w:rsid w:val="488B77FD"/>
    <w:rsid w:val="48961A71"/>
    <w:rsid w:val="489A33E2"/>
    <w:rsid w:val="489E4B25"/>
    <w:rsid w:val="48A04066"/>
    <w:rsid w:val="48A919A2"/>
    <w:rsid w:val="48B96422"/>
    <w:rsid w:val="48C236E0"/>
    <w:rsid w:val="48E00A0E"/>
    <w:rsid w:val="48E42677"/>
    <w:rsid w:val="48EF7614"/>
    <w:rsid w:val="48FC4DD5"/>
    <w:rsid w:val="49046CA3"/>
    <w:rsid w:val="49206EBD"/>
    <w:rsid w:val="492B3241"/>
    <w:rsid w:val="492C5847"/>
    <w:rsid w:val="492E5178"/>
    <w:rsid w:val="492F4FC4"/>
    <w:rsid w:val="49365057"/>
    <w:rsid w:val="493D6CCF"/>
    <w:rsid w:val="49537376"/>
    <w:rsid w:val="495502AC"/>
    <w:rsid w:val="49770D3E"/>
    <w:rsid w:val="4984428F"/>
    <w:rsid w:val="499A656A"/>
    <w:rsid w:val="49A34C52"/>
    <w:rsid w:val="49B63215"/>
    <w:rsid w:val="49BD751C"/>
    <w:rsid w:val="49D752D2"/>
    <w:rsid w:val="49DC7715"/>
    <w:rsid w:val="49DE2F30"/>
    <w:rsid w:val="4A023139"/>
    <w:rsid w:val="4A12193E"/>
    <w:rsid w:val="4A1913D8"/>
    <w:rsid w:val="4A1A40DD"/>
    <w:rsid w:val="4A214254"/>
    <w:rsid w:val="4A24326F"/>
    <w:rsid w:val="4A2C7A91"/>
    <w:rsid w:val="4A3423ED"/>
    <w:rsid w:val="4A3D3E9E"/>
    <w:rsid w:val="4A4B200E"/>
    <w:rsid w:val="4A4F22F4"/>
    <w:rsid w:val="4A5015D7"/>
    <w:rsid w:val="4A52230F"/>
    <w:rsid w:val="4A5508CF"/>
    <w:rsid w:val="4A56406B"/>
    <w:rsid w:val="4A753493"/>
    <w:rsid w:val="4A7B576F"/>
    <w:rsid w:val="4A831F19"/>
    <w:rsid w:val="4A8750FF"/>
    <w:rsid w:val="4A9A4608"/>
    <w:rsid w:val="4A9D1976"/>
    <w:rsid w:val="4AB447C7"/>
    <w:rsid w:val="4AB8557E"/>
    <w:rsid w:val="4AD3621F"/>
    <w:rsid w:val="4AD370CB"/>
    <w:rsid w:val="4AD829C7"/>
    <w:rsid w:val="4AF364D1"/>
    <w:rsid w:val="4AF561A9"/>
    <w:rsid w:val="4B191747"/>
    <w:rsid w:val="4B262445"/>
    <w:rsid w:val="4B3830C8"/>
    <w:rsid w:val="4B4B43AD"/>
    <w:rsid w:val="4B4B4F3A"/>
    <w:rsid w:val="4B7B55AE"/>
    <w:rsid w:val="4B897215"/>
    <w:rsid w:val="4BB025A3"/>
    <w:rsid w:val="4BB818E3"/>
    <w:rsid w:val="4BC813A0"/>
    <w:rsid w:val="4BCF2539"/>
    <w:rsid w:val="4BE122B8"/>
    <w:rsid w:val="4BE574D3"/>
    <w:rsid w:val="4C262731"/>
    <w:rsid w:val="4C3121D9"/>
    <w:rsid w:val="4C4A0649"/>
    <w:rsid w:val="4C4A67DC"/>
    <w:rsid w:val="4C505930"/>
    <w:rsid w:val="4C781179"/>
    <w:rsid w:val="4C7B3441"/>
    <w:rsid w:val="4C7E5ECA"/>
    <w:rsid w:val="4C876AA5"/>
    <w:rsid w:val="4CC3178F"/>
    <w:rsid w:val="4CC8391B"/>
    <w:rsid w:val="4CD4659F"/>
    <w:rsid w:val="4CD60F16"/>
    <w:rsid w:val="4D0E00FB"/>
    <w:rsid w:val="4D0F2CBB"/>
    <w:rsid w:val="4D176606"/>
    <w:rsid w:val="4D181709"/>
    <w:rsid w:val="4D1E0DB2"/>
    <w:rsid w:val="4D2340EF"/>
    <w:rsid w:val="4D2C4A47"/>
    <w:rsid w:val="4D2D17F8"/>
    <w:rsid w:val="4D3429E3"/>
    <w:rsid w:val="4D3C02B6"/>
    <w:rsid w:val="4D591CCF"/>
    <w:rsid w:val="4D7C3219"/>
    <w:rsid w:val="4DB079DF"/>
    <w:rsid w:val="4DB217DF"/>
    <w:rsid w:val="4DB40FC8"/>
    <w:rsid w:val="4DDE52F2"/>
    <w:rsid w:val="4DDF50D5"/>
    <w:rsid w:val="4DEC4FB0"/>
    <w:rsid w:val="4E053483"/>
    <w:rsid w:val="4E075D8A"/>
    <w:rsid w:val="4E0A4317"/>
    <w:rsid w:val="4E123A6D"/>
    <w:rsid w:val="4E1F55B0"/>
    <w:rsid w:val="4E3C11E3"/>
    <w:rsid w:val="4E4570C3"/>
    <w:rsid w:val="4E684916"/>
    <w:rsid w:val="4E8A3048"/>
    <w:rsid w:val="4EA91037"/>
    <w:rsid w:val="4EB929BD"/>
    <w:rsid w:val="4EC00FAD"/>
    <w:rsid w:val="4ED734FC"/>
    <w:rsid w:val="4EEB72AE"/>
    <w:rsid w:val="4F023CA0"/>
    <w:rsid w:val="4F1E72AE"/>
    <w:rsid w:val="4F2834FA"/>
    <w:rsid w:val="4F417B9E"/>
    <w:rsid w:val="4F4360F9"/>
    <w:rsid w:val="4F46206A"/>
    <w:rsid w:val="4F50603E"/>
    <w:rsid w:val="4F5956B0"/>
    <w:rsid w:val="4F6914CB"/>
    <w:rsid w:val="4F720B34"/>
    <w:rsid w:val="4F735C7A"/>
    <w:rsid w:val="4F8F51C4"/>
    <w:rsid w:val="4F9843DC"/>
    <w:rsid w:val="4FAC1232"/>
    <w:rsid w:val="4FB535FD"/>
    <w:rsid w:val="4FC43F2F"/>
    <w:rsid w:val="4FC62A8C"/>
    <w:rsid w:val="4FE20F0D"/>
    <w:rsid w:val="4FE51552"/>
    <w:rsid w:val="4FFE6BC7"/>
    <w:rsid w:val="500275C6"/>
    <w:rsid w:val="500D68E5"/>
    <w:rsid w:val="500F6515"/>
    <w:rsid w:val="50102920"/>
    <w:rsid w:val="501555FE"/>
    <w:rsid w:val="50436FA0"/>
    <w:rsid w:val="50504C4B"/>
    <w:rsid w:val="505244FE"/>
    <w:rsid w:val="5054507D"/>
    <w:rsid w:val="5055670B"/>
    <w:rsid w:val="50693288"/>
    <w:rsid w:val="50765439"/>
    <w:rsid w:val="50780255"/>
    <w:rsid w:val="5080281F"/>
    <w:rsid w:val="50872313"/>
    <w:rsid w:val="50885712"/>
    <w:rsid w:val="509C6E7C"/>
    <w:rsid w:val="50A761A9"/>
    <w:rsid w:val="50A86389"/>
    <w:rsid w:val="50AF7F4C"/>
    <w:rsid w:val="50CE105A"/>
    <w:rsid w:val="50E175D6"/>
    <w:rsid w:val="50FE2C3B"/>
    <w:rsid w:val="51053D89"/>
    <w:rsid w:val="51213171"/>
    <w:rsid w:val="51395E2C"/>
    <w:rsid w:val="514618AF"/>
    <w:rsid w:val="51496914"/>
    <w:rsid w:val="51532628"/>
    <w:rsid w:val="515A5D4C"/>
    <w:rsid w:val="5162104E"/>
    <w:rsid w:val="516B7222"/>
    <w:rsid w:val="517053AE"/>
    <w:rsid w:val="517626CF"/>
    <w:rsid w:val="517E58AD"/>
    <w:rsid w:val="51B70ED6"/>
    <w:rsid w:val="51B70F1C"/>
    <w:rsid w:val="51C4728A"/>
    <w:rsid w:val="51C66F05"/>
    <w:rsid w:val="51C86DFD"/>
    <w:rsid w:val="51D86473"/>
    <w:rsid w:val="51DA51B6"/>
    <w:rsid w:val="51E676A8"/>
    <w:rsid w:val="52016397"/>
    <w:rsid w:val="520933FF"/>
    <w:rsid w:val="523120B5"/>
    <w:rsid w:val="523B21B4"/>
    <w:rsid w:val="52467435"/>
    <w:rsid w:val="52576053"/>
    <w:rsid w:val="525A6722"/>
    <w:rsid w:val="5265506D"/>
    <w:rsid w:val="526820AA"/>
    <w:rsid w:val="527A099A"/>
    <w:rsid w:val="527C310E"/>
    <w:rsid w:val="52854E16"/>
    <w:rsid w:val="52A5384B"/>
    <w:rsid w:val="52C60EA3"/>
    <w:rsid w:val="52CA7215"/>
    <w:rsid w:val="52CC4284"/>
    <w:rsid w:val="52D87D9D"/>
    <w:rsid w:val="52D96D58"/>
    <w:rsid w:val="52DC7DA2"/>
    <w:rsid w:val="52F9239D"/>
    <w:rsid w:val="52FA4064"/>
    <w:rsid w:val="530A451B"/>
    <w:rsid w:val="53251CC0"/>
    <w:rsid w:val="532C6BD6"/>
    <w:rsid w:val="53347D07"/>
    <w:rsid w:val="53514928"/>
    <w:rsid w:val="5360580D"/>
    <w:rsid w:val="53681107"/>
    <w:rsid w:val="53723262"/>
    <w:rsid w:val="537D1022"/>
    <w:rsid w:val="538974E0"/>
    <w:rsid w:val="53A039CC"/>
    <w:rsid w:val="53A1505A"/>
    <w:rsid w:val="53A977FF"/>
    <w:rsid w:val="53B00A03"/>
    <w:rsid w:val="53BB0031"/>
    <w:rsid w:val="53BD2D28"/>
    <w:rsid w:val="53BE31E4"/>
    <w:rsid w:val="53BF71EB"/>
    <w:rsid w:val="53C42E33"/>
    <w:rsid w:val="53C85C0C"/>
    <w:rsid w:val="53CA4B5C"/>
    <w:rsid w:val="53D16680"/>
    <w:rsid w:val="53E065DE"/>
    <w:rsid w:val="53E71D02"/>
    <w:rsid w:val="54063E08"/>
    <w:rsid w:val="540C15CD"/>
    <w:rsid w:val="541C1803"/>
    <w:rsid w:val="543437E8"/>
    <w:rsid w:val="544A49FB"/>
    <w:rsid w:val="544D7EC0"/>
    <w:rsid w:val="54737A92"/>
    <w:rsid w:val="54861E17"/>
    <w:rsid w:val="54866A74"/>
    <w:rsid w:val="548D164F"/>
    <w:rsid w:val="54B11955"/>
    <w:rsid w:val="54D10B29"/>
    <w:rsid w:val="54D823B1"/>
    <w:rsid w:val="54DB5D8E"/>
    <w:rsid w:val="54E23F82"/>
    <w:rsid w:val="54E92A22"/>
    <w:rsid w:val="54EA2E9C"/>
    <w:rsid w:val="54F73313"/>
    <w:rsid w:val="54F80955"/>
    <w:rsid w:val="54FF00D5"/>
    <w:rsid w:val="550C1C7D"/>
    <w:rsid w:val="550E1D4C"/>
    <w:rsid w:val="551471E2"/>
    <w:rsid w:val="552C7841"/>
    <w:rsid w:val="555170A7"/>
    <w:rsid w:val="555A11E3"/>
    <w:rsid w:val="55776F63"/>
    <w:rsid w:val="55781A33"/>
    <w:rsid w:val="558277EC"/>
    <w:rsid w:val="5587536D"/>
    <w:rsid w:val="558A14C5"/>
    <w:rsid w:val="558D60CB"/>
    <w:rsid w:val="559679BF"/>
    <w:rsid w:val="559B02AF"/>
    <w:rsid w:val="559B174B"/>
    <w:rsid w:val="55BF42B5"/>
    <w:rsid w:val="55CD08B0"/>
    <w:rsid w:val="55CE0CF4"/>
    <w:rsid w:val="55DC2608"/>
    <w:rsid w:val="55E402E1"/>
    <w:rsid w:val="55E47C60"/>
    <w:rsid w:val="55EA4C20"/>
    <w:rsid w:val="55F167E8"/>
    <w:rsid w:val="55F95B7B"/>
    <w:rsid w:val="55FA2B5E"/>
    <w:rsid w:val="55FE16A4"/>
    <w:rsid w:val="55FE634D"/>
    <w:rsid w:val="560665DB"/>
    <w:rsid w:val="561147A2"/>
    <w:rsid w:val="56453079"/>
    <w:rsid w:val="5664387E"/>
    <w:rsid w:val="56651D87"/>
    <w:rsid w:val="56674CC2"/>
    <w:rsid w:val="566C0726"/>
    <w:rsid w:val="56774978"/>
    <w:rsid w:val="567C5F0F"/>
    <w:rsid w:val="568722B5"/>
    <w:rsid w:val="568D4368"/>
    <w:rsid w:val="56950D3E"/>
    <w:rsid w:val="56984784"/>
    <w:rsid w:val="56B22A9C"/>
    <w:rsid w:val="56B35663"/>
    <w:rsid w:val="56B35DA1"/>
    <w:rsid w:val="56D81268"/>
    <w:rsid w:val="56E15D28"/>
    <w:rsid w:val="56E619F8"/>
    <w:rsid w:val="56ED7D3C"/>
    <w:rsid w:val="56F821FF"/>
    <w:rsid w:val="57076506"/>
    <w:rsid w:val="571978AC"/>
    <w:rsid w:val="572B7B5A"/>
    <w:rsid w:val="5738008B"/>
    <w:rsid w:val="573A6BC9"/>
    <w:rsid w:val="574452E9"/>
    <w:rsid w:val="575948AB"/>
    <w:rsid w:val="5779787D"/>
    <w:rsid w:val="577A4E24"/>
    <w:rsid w:val="5781672E"/>
    <w:rsid w:val="57881719"/>
    <w:rsid w:val="57987D43"/>
    <w:rsid w:val="57A148A8"/>
    <w:rsid w:val="57B25425"/>
    <w:rsid w:val="57B72A76"/>
    <w:rsid w:val="57C3426C"/>
    <w:rsid w:val="57CA7AFF"/>
    <w:rsid w:val="57CB6390"/>
    <w:rsid w:val="57CE1F93"/>
    <w:rsid w:val="57D54D61"/>
    <w:rsid w:val="57DB6A45"/>
    <w:rsid w:val="57F037A5"/>
    <w:rsid w:val="58136718"/>
    <w:rsid w:val="58471721"/>
    <w:rsid w:val="586C5128"/>
    <w:rsid w:val="5871611C"/>
    <w:rsid w:val="58822791"/>
    <w:rsid w:val="588743D1"/>
    <w:rsid w:val="5887701A"/>
    <w:rsid w:val="588B17D7"/>
    <w:rsid w:val="589C6A67"/>
    <w:rsid w:val="58B410C1"/>
    <w:rsid w:val="58CA15E3"/>
    <w:rsid w:val="58CC63E5"/>
    <w:rsid w:val="58CE14D5"/>
    <w:rsid w:val="59113E3B"/>
    <w:rsid w:val="594323B0"/>
    <w:rsid w:val="59440F70"/>
    <w:rsid w:val="595E50D1"/>
    <w:rsid w:val="59C0439F"/>
    <w:rsid w:val="59CD0D11"/>
    <w:rsid w:val="59D744EB"/>
    <w:rsid w:val="59D90954"/>
    <w:rsid w:val="59D95C1B"/>
    <w:rsid w:val="59DD2FEF"/>
    <w:rsid w:val="59DE48C6"/>
    <w:rsid w:val="59E259F8"/>
    <w:rsid w:val="59F75022"/>
    <w:rsid w:val="5A0715ED"/>
    <w:rsid w:val="5A086E84"/>
    <w:rsid w:val="5A116BA9"/>
    <w:rsid w:val="5A15764B"/>
    <w:rsid w:val="5A212B5E"/>
    <w:rsid w:val="5A354685"/>
    <w:rsid w:val="5A4C35DA"/>
    <w:rsid w:val="5A906857"/>
    <w:rsid w:val="5A911819"/>
    <w:rsid w:val="5AB17682"/>
    <w:rsid w:val="5ABE2233"/>
    <w:rsid w:val="5AE357C5"/>
    <w:rsid w:val="5AE7473A"/>
    <w:rsid w:val="5AE8318D"/>
    <w:rsid w:val="5AFD1F0F"/>
    <w:rsid w:val="5B0B71C8"/>
    <w:rsid w:val="5B0B746D"/>
    <w:rsid w:val="5B0D2C07"/>
    <w:rsid w:val="5B1F1D40"/>
    <w:rsid w:val="5B224D9C"/>
    <w:rsid w:val="5B3D503E"/>
    <w:rsid w:val="5B487EF4"/>
    <w:rsid w:val="5B5176DD"/>
    <w:rsid w:val="5B567F18"/>
    <w:rsid w:val="5B583D48"/>
    <w:rsid w:val="5B6C31AF"/>
    <w:rsid w:val="5B7025E1"/>
    <w:rsid w:val="5B730C78"/>
    <w:rsid w:val="5B7409F5"/>
    <w:rsid w:val="5B74525E"/>
    <w:rsid w:val="5B8B0F84"/>
    <w:rsid w:val="5BB950E0"/>
    <w:rsid w:val="5BC911AF"/>
    <w:rsid w:val="5BD2798C"/>
    <w:rsid w:val="5BDF5D95"/>
    <w:rsid w:val="5BE132C7"/>
    <w:rsid w:val="5BF74F15"/>
    <w:rsid w:val="5BFE7528"/>
    <w:rsid w:val="5C0B01FC"/>
    <w:rsid w:val="5C123BB2"/>
    <w:rsid w:val="5C2D3542"/>
    <w:rsid w:val="5C2F47DC"/>
    <w:rsid w:val="5C3453E1"/>
    <w:rsid w:val="5C4E7EBF"/>
    <w:rsid w:val="5C5E1108"/>
    <w:rsid w:val="5C60228C"/>
    <w:rsid w:val="5C61619C"/>
    <w:rsid w:val="5C6B0C4D"/>
    <w:rsid w:val="5C707C9D"/>
    <w:rsid w:val="5C7923AE"/>
    <w:rsid w:val="5CA95684"/>
    <w:rsid w:val="5CB457B1"/>
    <w:rsid w:val="5CBA72EC"/>
    <w:rsid w:val="5CE377F6"/>
    <w:rsid w:val="5CE800B9"/>
    <w:rsid w:val="5CEB10A6"/>
    <w:rsid w:val="5CEB1F32"/>
    <w:rsid w:val="5CEB58B5"/>
    <w:rsid w:val="5CF52734"/>
    <w:rsid w:val="5D0133D7"/>
    <w:rsid w:val="5D025C34"/>
    <w:rsid w:val="5D060795"/>
    <w:rsid w:val="5D09549A"/>
    <w:rsid w:val="5D1A65A5"/>
    <w:rsid w:val="5D330978"/>
    <w:rsid w:val="5D4E1118"/>
    <w:rsid w:val="5D542ACC"/>
    <w:rsid w:val="5D545EF5"/>
    <w:rsid w:val="5D6069F6"/>
    <w:rsid w:val="5D705226"/>
    <w:rsid w:val="5D811FA9"/>
    <w:rsid w:val="5D8729DD"/>
    <w:rsid w:val="5D876F07"/>
    <w:rsid w:val="5DD57F3D"/>
    <w:rsid w:val="5DD91FDB"/>
    <w:rsid w:val="5DDA3670"/>
    <w:rsid w:val="5DDE513F"/>
    <w:rsid w:val="5DEC1914"/>
    <w:rsid w:val="5DF83279"/>
    <w:rsid w:val="5E0A5DB2"/>
    <w:rsid w:val="5E2467F1"/>
    <w:rsid w:val="5E2A0E12"/>
    <w:rsid w:val="5E3C08A4"/>
    <w:rsid w:val="5E4858FA"/>
    <w:rsid w:val="5E810D15"/>
    <w:rsid w:val="5E814E3F"/>
    <w:rsid w:val="5EA638DC"/>
    <w:rsid w:val="5EAE123D"/>
    <w:rsid w:val="5ECC7E73"/>
    <w:rsid w:val="5ED25B0F"/>
    <w:rsid w:val="5ED6017D"/>
    <w:rsid w:val="5EDB648D"/>
    <w:rsid w:val="5EDE06E9"/>
    <w:rsid w:val="5EFC65AF"/>
    <w:rsid w:val="5EFE2A8B"/>
    <w:rsid w:val="5F1430C8"/>
    <w:rsid w:val="5F1A2B43"/>
    <w:rsid w:val="5F1E3E75"/>
    <w:rsid w:val="5F205E7A"/>
    <w:rsid w:val="5F3426AA"/>
    <w:rsid w:val="5F3A5F03"/>
    <w:rsid w:val="5F4467F2"/>
    <w:rsid w:val="5F4C7464"/>
    <w:rsid w:val="5F713653"/>
    <w:rsid w:val="5F8144F5"/>
    <w:rsid w:val="5F8D3464"/>
    <w:rsid w:val="5FA22336"/>
    <w:rsid w:val="5FAA5964"/>
    <w:rsid w:val="5FB837BB"/>
    <w:rsid w:val="5FC7088D"/>
    <w:rsid w:val="5FD324F5"/>
    <w:rsid w:val="5FF12A26"/>
    <w:rsid w:val="602A0A99"/>
    <w:rsid w:val="60476827"/>
    <w:rsid w:val="604B55C8"/>
    <w:rsid w:val="606616F8"/>
    <w:rsid w:val="60791491"/>
    <w:rsid w:val="608D6647"/>
    <w:rsid w:val="609D0A6C"/>
    <w:rsid w:val="60BE673B"/>
    <w:rsid w:val="60C76B53"/>
    <w:rsid w:val="60CC405A"/>
    <w:rsid w:val="60D16085"/>
    <w:rsid w:val="60FD296C"/>
    <w:rsid w:val="61024F1F"/>
    <w:rsid w:val="610318FE"/>
    <w:rsid w:val="610F1C1B"/>
    <w:rsid w:val="612304AE"/>
    <w:rsid w:val="612B2150"/>
    <w:rsid w:val="614C3E2D"/>
    <w:rsid w:val="61556EA8"/>
    <w:rsid w:val="61591259"/>
    <w:rsid w:val="615B4081"/>
    <w:rsid w:val="616B4BDB"/>
    <w:rsid w:val="617A0E8C"/>
    <w:rsid w:val="618D3028"/>
    <w:rsid w:val="61961AD3"/>
    <w:rsid w:val="61A134B6"/>
    <w:rsid w:val="61A81742"/>
    <w:rsid w:val="61AE4938"/>
    <w:rsid w:val="61C00696"/>
    <w:rsid w:val="61C51BC1"/>
    <w:rsid w:val="61C92C5C"/>
    <w:rsid w:val="61D56802"/>
    <w:rsid w:val="61E215D8"/>
    <w:rsid w:val="61E8730B"/>
    <w:rsid w:val="61EB2977"/>
    <w:rsid w:val="62013102"/>
    <w:rsid w:val="621B3775"/>
    <w:rsid w:val="621B45F5"/>
    <w:rsid w:val="62207EA7"/>
    <w:rsid w:val="62242E49"/>
    <w:rsid w:val="62290383"/>
    <w:rsid w:val="62364782"/>
    <w:rsid w:val="625E4787"/>
    <w:rsid w:val="626835BA"/>
    <w:rsid w:val="62686D2D"/>
    <w:rsid w:val="6278231E"/>
    <w:rsid w:val="6286142F"/>
    <w:rsid w:val="62935338"/>
    <w:rsid w:val="6294684F"/>
    <w:rsid w:val="62AE295F"/>
    <w:rsid w:val="62BE1469"/>
    <w:rsid w:val="62E10122"/>
    <w:rsid w:val="62F35E5B"/>
    <w:rsid w:val="62F66CEB"/>
    <w:rsid w:val="63036E5E"/>
    <w:rsid w:val="63122828"/>
    <w:rsid w:val="631B5667"/>
    <w:rsid w:val="63233089"/>
    <w:rsid w:val="632464AD"/>
    <w:rsid w:val="63352A98"/>
    <w:rsid w:val="633E4312"/>
    <w:rsid w:val="63587771"/>
    <w:rsid w:val="638E72AF"/>
    <w:rsid w:val="6394356A"/>
    <w:rsid w:val="6396771F"/>
    <w:rsid w:val="639C68A1"/>
    <w:rsid w:val="639D3CDE"/>
    <w:rsid w:val="63AA14A6"/>
    <w:rsid w:val="63B42711"/>
    <w:rsid w:val="63C61B2C"/>
    <w:rsid w:val="63D40BE9"/>
    <w:rsid w:val="63D9671E"/>
    <w:rsid w:val="63DD6D15"/>
    <w:rsid w:val="63EE37B5"/>
    <w:rsid w:val="63FE4E83"/>
    <w:rsid w:val="64102431"/>
    <w:rsid w:val="64122A66"/>
    <w:rsid w:val="64231110"/>
    <w:rsid w:val="64234A2A"/>
    <w:rsid w:val="642833F3"/>
    <w:rsid w:val="64461B32"/>
    <w:rsid w:val="64576512"/>
    <w:rsid w:val="64591F80"/>
    <w:rsid w:val="64722171"/>
    <w:rsid w:val="647313FA"/>
    <w:rsid w:val="64805BBD"/>
    <w:rsid w:val="6481235E"/>
    <w:rsid w:val="64824A51"/>
    <w:rsid w:val="64844D89"/>
    <w:rsid w:val="649613BE"/>
    <w:rsid w:val="64A5243A"/>
    <w:rsid w:val="64A60AB9"/>
    <w:rsid w:val="64C41404"/>
    <w:rsid w:val="64C53B39"/>
    <w:rsid w:val="64F016E5"/>
    <w:rsid w:val="64F531DE"/>
    <w:rsid w:val="65027ABB"/>
    <w:rsid w:val="651849E7"/>
    <w:rsid w:val="651D2466"/>
    <w:rsid w:val="65253F4E"/>
    <w:rsid w:val="65373578"/>
    <w:rsid w:val="65400A0F"/>
    <w:rsid w:val="655156B8"/>
    <w:rsid w:val="65532D3A"/>
    <w:rsid w:val="65563800"/>
    <w:rsid w:val="65612BA4"/>
    <w:rsid w:val="65853F67"/>
    <w:rsid w:val="65963718"/>
    <w:rsid w:val="65B4181C"/>
    <w:rsid w:val="65C32780"/>
    <w:rsid w:val="65CE7875"/>
    <w:rsid w:val="65D2215E"/>
    <w:rsid w:val="65D53B3C"/>
    <w:rsid w:val="65DA72BC"/>
    <w:rsid w:val="65EC689D"/>
    <w:rsid w:val="65F3286C"/>
    <w:rsid w:val="66046AED"/>
    <w:rsid w:val="66184B79"/>
    <w:rsid w:val="6628743B"/>
    <w:rsid w:val="66324DDB"/>
    <w:rsid w:val="66414CB0"/>
    <w:rsid w:val="66471214"/>
    <w:rsid w:val="664C72D1"/>
    <w:rsid w:val="66502A64"/>
    <w:rsid w:val="666C4D0C"/>
    <w:rsid w:val="667A1FA3"/>
    <w:rsid w:val="66824A0D"/>
    <w:rsid w:val="66872C93"/>
    <w:rsid w:val="6687782C"/>
    <w:rsid w:val="668D77BF"/>
    <w:rsid w:val="66A9422C"/>
    <w:rsid w:val="66A97712"/>
    <w:rsid w:val="66BF6C0F"/>
    <w:rsid w:val="66C9385E"/>
    <w:rsid w:val="66D13BD9"/>
    <w:rsid w:val="66D42BF4"/>
    <w:rsid w:val="67134DC9"/>
    <w:rsid w:val="671D0337"/>
    <w:rsid w:val="671F124A"/>
    <w:rsid w:val="672419BF"/>
    <w:rsid w:val="674563F7"/>
    <w:rsid w:val="674E15E2"/>
    <w:rsid w:val="67582786"/>
    <w:rsid w:val="676747DD"/>
    <w:rsid w:val="677A33C6"/>
    <w:rsid w:val="67817F22"/>
    <w:rsid w:val="67846480"/>
    <w:rsid w:val="678F4A0D"/>
    <w:rsid w:val="67937146"/>
    <w:rsid w:val="67A229CD"/>
    <w:rsid w:val="67A54F67"/>
    <w:rsid w:val="67D876D1"/>
    <w:rsid w:val="67E0604E"/>
    <w:rsid w:val="67E4036E"/>
    <w:rsid w:val="681F6961"/>
    <w:rsid w:val="684B52B1"/>
    <w:rsid w:val="684F78EE"/>
    <w:rsid w:val="68610A2F"/>
    <w:rsid w:val="687360D5"/>
    <w:rsid w:val="68805514"/>
    <w:rsid w:val="688B17CD"/>
    <w:rsid w:val="688F75D4"/>
    <w:rsid w:val="68AF48FC"/>
    <w:rsid w:val="68AF4F6A"/>
    <w:rsid w:val="68C652FB"/>
    <w:rsid w:val="68CE6198"/>
    <w:rsid w:val="68CF1995"/>
    <w:rsid w:val="68D57EE0"/>
    <w:rsid w:val="68EA1133"/>
    <w:rsid w:val="68F0573F"/>
    <w:rsid w:val="69136767"/>
    <w:rsid w:val="69201F6D"/>
    <w:rsid w:val="69243374"/>
    <w:rsid w:val="69316E2F"/>
    <w:rsid w:val="69367747"/>
    <w:rsid w:val="694E2071"/>
    <w:rsid w:val="69590E14"/>
    <w:rsid w:val="695B00C8"/>
    <w:rsid w:val="695B41E2"/>
    <w:rsid w:val="69645065"/>
    <w:rsid w:val="6975005E"/>
    <w:rsid w:val="69766163"/>
    <w:rsid w:val="697722D3"/>
    <w:rsid w:val="697A3B33"/>
    <w:rsid w:val="69800908"/>
    <w:rsid w:val="69966418"/>
    <w:rsid w:val="69972BAD"/>
    <w:rsid w:val="69A4786B"/>
    <w:rsid w:val="69A47B5F"/>
    <w:rsid w:val="69C325D1"/>
    <w:rsid w:val="69C57539"/>
    <w:rsid w:val="69D1000B"/>
    <w:rsid w:val="69D44760"/>
    <w:rsid w:val="69E524A5"/>
    <w:rsid w:val="69ED4C90"/>
    <w:rsid w:val="69ED7247"/>
    <w:rsid w:val="69EE0E56"/>
    <w:rsid w:val="69FD0ADD"/>
    <w:rsid w:val="6A07505B"/>
    <w:rsid w:val="6A2E789D"/>
    <w:rsid w:val="6A357A9B"/>
    <w:rsid w:val="6A374997"/>
    <w:rsid w:val="6A4752AC"/>
    <w:rsid w:val="6A520EC7"/>
    <w:rsid w:val="6A781EA8"/>
    <w:rsid w:val="6A8B2401"/>
    <w:rsid w:val="6AB50766"/>
    <w:rsid w:val="6AB731FC"/>
    <w:rsid w:val="6ACA4DE6"/>
    <w:rsid w:val="6ACF3C49"/>
    <w:rsid w:val="6AEC1106"/>
    <w:rsid w:val="6AEE0834"/>
    <w:rsid w:val="6AF87E20"/>
    <w:rsid w:val="6B045E29"/>
    <w:rsid w:val="6B1B68E8"/>
    <w:rsid w:val="6B2C10C6"/>
    <w:rsid w:val="6B322639"/>
    <w:rsid w:val="6B5B1E26"/>
    <w:rsid w:val="6B612FC2"/>
    <w:rsid w:val="6B680481"/>
    <w:rsid w:val="6B7023C8"/>
    <w:rsid w:val="6B7D3B7E"/>
    <w:rsid w:val="6B9227B4"/>
    <w:rsid w:val="6BA20E6B"/>
    <w:rsid w:val="6BB549BE"/>
    <w:rsid w:val="6BC83D68"/>
    <w:rsid w:val="6BE8563B"/>
    <w:rsid w:val="6C027655"/>
    <w:rsid w:val="6C1A7C9E"/>
    <w:rsid w:val="6C21190A"/>
    <w:rsid w:val="6C217C65"/>
    <w:rsid w:val="6C3F7B14"/>
    <w:rsid w:val="6C4E03FA"/>
    <w:rsid w:val="6C636C38"/>
    <w:rsid w:val="6C792F7C"/>
    <w:rsid w:val="6C7C0D27"/>
    <w:rsid w:val="6CB53A30"/>
    <w:rsid w:val="6CC64F43"/>
    <w:rsid w:val="6CC705F6"/>
    <w:rsid w:val="6CCE3AAF"/>
    <w:rsid w:val="6CEE5008"/>
    <w:rsid w:val="6D051A5E"/>
    <w:rsid w:val="6D0748ED"/>
    <w:rsid w:val="6D0A3CCA"/>
    <w:rsid w:val="6D1B16BF"/>
    <w:rsid w:val="6D250D79"/>
    <w:rsid w:val="6D2612DD"/>
    <w:rsid w:val="6D3C1EA5"/>
    <w:rsid w:val="6D500511"/>
    <w:rsid w:val="6D542726"/>
    <w:rsid w:val="6D553968"/>
    <w:rsid w:val="6D564B88"/>
    <w:rsid w:val="6D5D405E"/>
    <w:rsid w:val="6D741F1D"/>
    <w:rsid w:val="6D7768FC"/>
    <w:rsid w:val="6D7E2DD0"/>
    <w:rsid w:val="6D8400AA"/>
    <w:rsid w:val="6D9B4B6A"/>
    <w:rsid w:val="6DB34098"/>
    <w:rsid w:val="6DB545B6"/>
    <w:rsid w:val="6DC14887"/>
    <w:rsid w:val="6DC644B5"/>
    <w:rsid w:val="6DC6722B"/>
    <w:rsid w:val="6DDC03DA"/>
    <w:rsid w:val="6DE02FB4"/>
    <w:rsid w:val="6DFA3C25"/>
    <w:rsid w:val="6E006D77"/>
    <w:rsid w:val="6E0640E3"/>
    <w:rsid w:val="6E0E6A81"/>
    <w:rsid w:val="6E15649A"/>
    <w:rsid w:val="6E162CD6"/>
    <w:rsid w:val="6E1D47B4"/>
    <w:rsid w:val="6E250730"/>
    <w:rsid w:val="6E2537CB"/>
    <w:rsid w:val="6E34564F"/>
    <w:rsid w:val="6E514CED"/>
    <w:rsid w:val="6E58683C"/>
    <w:rsid w:val="6E6E1852"/>
    <w:rsid w:val="6E707570"/>
    <w:rsid w:val="6E936208"/>
    <w:rsid w:val="6EB563D5"/>
    <w:rsid w:val="6ECD70BB"/>
    <w:rsid w:val="6ED92677"/>
    <w:rsid w:val="6EDF4CDE"/>
    <w:rsid w:val="6EE171DB"/>
    <w:rsid w:val="6EE709E4"/>
    <w:rsid w:val="6EEA1E1D"/>
    <w:rsid w:val="6EEE0481"/>
    <w:rsid w:val="6F0578A9"/>
    <w:rsid w:val="6F163CDA"/>
    <w:rsid w:val="6F1B008F"/>
    <w:rsid w:val="6F225983"/>
    <w:rsid w:val="6F313F50"/>
    <w:rsid w:val="6F410A62"/>
    <w:rsid w:val="6F481949"/>
    <w:rsid w:val="6F4F61C7"/>
    <w:rsid w:val="6F553FF3"/>
    <w:rsid w:val="6F5E44DC"/>
    <w:rsid w:val="6F6F29AA"/>
    <w:rsid w:val="6F721674"/>
    <w:rsid w:val="6F7C57BD"/>
    <w:rsid w:val="6F8F22AD"/>
    <w:rsid w:val="6FAD09E4"/>
    <w:rsid w:val="6FB31F91"/>
    <w:rsid w:val="6FB723DF"/>
    <w:rsid w:val="6FBD581F"/>
    <w:rsid w:val="6FC23D10"/>
    <w:rsid w:val="6FC77FEF"/>
    <w:rsid w:val="6FCE07C9"/>
    <w:rsid w:val="6FDB6EB0"/>
    <w:rsid w:val="6FDD52B2"/>
    <w:rsid w:val="6FE00F93"/>
    <w:rsid w:val="6FE4557C"/>
    <w:rsid w:val="6FE83031"/>
    <w:rsid w:val="6FE943BE"/>
    <w:rsid w:val="6FF61221"/>
    <w:rsid w:val="6FFC5590"/>
    <w:rsid w:val="70146F31"/>
    <w:rsid w:val="701E58D7"/>
    <w:rsid w:val="702E25CC"/>
    <w:rsid w:val="702E52D2"/>
    <w:rsid w:val="70316C41"/>
    <w:rsid w:val="70426511"/>
    <w:rsid w:val="70556136"/>
    <w:rsid w:val="70572E0C"/>
    <w:rsid w:val="70657568"/>
    <w:rsid w:val="706D1DD0"/>
    <w:rsid w:val="70742018"/>
    <w:rsid w:val="70856B87"/>
    <w:rsid w:val="70866506"/>
    <w:rsid w:val="70876450"/>
    <w:rsid w:val="70881F20"/>
    <w:rsid w:val="70A04491"/>
    <w:rsid w:val="70A23821"/>
    <w:rsid w:val="70CD7EDF"/>
    <w:rsid w:val="70D34368"/>
    <w:rsid w:val="70D527EE"/>
    <w:rsid w:val="70D57F83"/>
    <w:rsid w:val="70D94D44"/>
    <w:rsid w:val="70DD0CC4"/>
    <w:rsid w:val="70DE5F0F"/>
    <w:rsid w:val="70E368B7"/>
    <w:rsid w:val="70E86CF9"/>
    <w:rsid w:val="70F52455"/>
    <w:rsid w:val="70F82D44"/>
    <w:rsid w:val="70FF4E63"/>
    <w:rsid w:val="71261555"/>
    <w:rsid w:val="71410ED4"/>
    <w:rsid w:val="714504BF"/>
    <w:rsid w:val="71587D37"/>
    <w:rsid w:val="715B5300"/>
    <w:rsid w:val="715D3EDF"/>
    <w:rsid w:val="71827F4E"/>
    <w:rsid w:val="718A530E"/>
    <w:rsid w:val="71A60812"/>
    <w:rsid w:val="71AC2F29"/>
    <w:rsid w:val="71D27F8A"/>
    <w:rsid w:val="71D866F2"/>
    <w:rsid w:val="71E430A4"/>
    <w:rsid w:val="71F40B4B"/>
    <w:rsid w:val="71F91306"/>
    <w:rsid w:val="7207034A"/>
    <w:rsid w:val="72080440"/>
    <w:rsid w:val="720F3BE4"/>
    <w:rsid w:val="721318E7"/>
    <w:rsid w:val="72323D33"/>
    <w:rsid w:val="72477C94"/>
    <w:rsid w:val="724872F5"/>
    <w:rsid w:val="72553024"/>
    <w:rsid w:val="72623E06"/>
    <w:rsid w:val="7279546E"/>
    <w:rsid w:val="727D0344"/>
    <w:rsid w:val="727E1A7E"/>
    <w:rsid w:val="72B42400"/>
    <w:rsid w:val="72C50963"/>
    <w:rsid w:val="72C56258"/>
    <w:rsid w:val="72DC24C9"/>
    <w:rsid w:val="73122968"/>
    <w:rsid w:val="731512D5"/>
    <w:rsid w:val="73172F05"/>
    <w:rsid w:val="731F5D5E"/>
    <w:rsid w:val="7320764C"/>
    <w:rsid w:val="73225916"/>
    <w:rsid w:val="73316BCC"/>
    <w:rsid w:val="733311AD"/>
    <w:rsid w:val="7369341D"/>
    <w:rsid w:val="736D203E"/>
    <w:rsid w:val="7384624A"/>
    <w:rsid w:val="73AA4FBF"/>
    <w:rsid w:val="73AE5841"/>
    <w:rsid w:val="73B61923"/>
    <w:rsid w:val="73B9129B"/>
    <w:rsid w:val="73BE7056"/>
    <w:rsid w:val="73C51AD5"/>
    <w:rsid w:val="73CE69C4"/>
    <w:rsid w:val="73D30CF1"/>
    <w:rsid w:val="73DB7982"/>
    <w:rsid w:val="73FD7311"/>
    <w:rsid w:val="740219FB"/>
    <w:rsid w:val="740D3A9C"/>
    <w:rsid w:val="741E793C"/>
    <w:rsid w:val="74206BBD"/>
    <w:rsid w:val="74374AA8"/>
    <w:rsid w:val="7445169B"/>
    <w:rsid w:val="744E6EE8"/>
    <w:rsid w:val="745E3944"/>
    <w:rsid w:val="7460498C"/>
    <w:rsid w:val="7466394F"/>
    <w:rsid w:val="74965846"/>
    <w:rsid w:val="74A5187D"/>
    <w:rsid w:val="74A85BBF"/>
    <w:rsid w:val="74B61284"/>
    <w:rsid w:val="74BA6D91"/>
    <w:rsid w:val="74BD4057"/>
    <w:rsid w:val="74BD5C92"/>
    <w:rsid w:val="74D40474"/>
    <w:rsid w:val="74DC46B8"/>
    <w:rsid w:val="74F30EF9"/>
    <w:rsid w:val="74F64386"/>
    <w:rsid w:val="74FA3BFA"/>
    <w:rsid w:val="750065EE"/>
    <w:rsid w:val="750D2E9B"/>
    <w:rsid w:val="7510015C"/>
    <w:rsid w:val="75114E6B"/>
    <w:rsid w:val="7515083D"/>
    <w:rsid w:val="75243B8C"/>
    <w:rsid w:val="752A4B6B"/>
    <w:rsid w:val="75393046"/>
    <w:rsid w:val="753C119D"/>
    <w:rsid w:val="754D71AF"/>
    <w:rsid w:val="755E7D8C"/>
    <w:rsid w:val="755F6C92"/>
    <w:rsid w:val="75631EE9"/>
    <w:rsid w:val="756D1671"/>
    <w:rsid w:val="756F66A3"/>
    <w:rsid w:val="7576628A"/>
    <w:rsid w:val="75792770"/>
    <w:rsid w:val="759040DD"/>
    <w:rsid w:val="75A263E4"/>
    <w:rsid w:val="75CF25B4"/>
    <w:rsid w:val="75DD7DC6"/>
    <w:rsid w:val="75E01020"/>
    <w:rsid w:val="75E64B9B"/>
    <w:rsid w:val="75F24839"/>
    <w:rsid w:val="76011E94"/>
    <w:rsid w:val="76141F85"/>
    <w:rsid w:val="761D59DA"/>
    <w:rsid w:val="7635099D"/>
    <w:rsid w:val="763E417E"/>
    <w:rsid w:val="765033A4"/>
    <w:rsid w:val="768B10D4"/>
    <w:rsid w:val="769B48C6"/>
    <w:rsid w:val="76B825E7"/>
    <w:rsid w:val="76BB2B66"/>
    <w:rsid w:val="76C7558A"/>
    <w:rsid w:val="76F27FD5"/>
    <w:rsid w:val="76FF2A2C"/>
    <w:rsid w:val="77134C02"/>
    <w:rsid w:val="77140443"/>
    <w:rsid w:val="77762421"/>
    <w:rsid w:val="778E6A42"/>
    <w:rsid w:val="77A54E85"/>
    <w:rsid w:val="77A64798"/>
    <w:rsid w:val="77A65EA3"/>
    <w:rsid w:val="77A97224"/>
    <w:rsid w:val="77AE30AA"/>
    <w:rsid w:val="77B56B1F"/>
    <w:rsid w:val="77E4086F"/>
    <w:rsid w:val="77E838FE"/>
    <w:rsid w:val="7801001E"/>
    <w:rsid w:val="780F09F4"/>
    <w:rsid w:val="78264EE7"/>
    <w:rsid w:val="783F5E22"/>
    <w:rsid w:val="78682DFD"/>
    <w:rsid w:val="78690D25"/>
    <w:rsid w:val="786B2883"/>
    <w:rsid w:val="78894BDE"/>
    <w:rsid w:val="789B6207"/>
    <w:rsid w:val="78A90480"/>
    <w:rsid w:val="78BB4FC5"/>
    <w:rsid w:val="78C24571"/>
    <w:rsid w:val="78CC50C2"/>
    <w:rsid w:val="78DF513B"/>
    <w:rsid w:val="78E47B15"/>
    <w:rsid w:val="78EC35B8"/>
    <w:rsid w:val="79125E2A"/>
    <w:rsid w:val="791A7DF9"/>
    <w:rsid w:val="791C5623"/>
    <w:rsid w:val="79324936"/>
    <w:rsid w:val="793C2C83"/>
    <w:rsid w:val="793D0328"/>
    <w:rsid w:val="79415BCD"/>
    <w:rsid w:val="794D5E3C"/>
    <w:rsid w:val="79A747FB"/>
    <w:rsid w:val="79B71ED3"/>
    <w:rsid w:val="79BB2BAC"/>
    <w:rsid w:val="79D657D8"/>
    <w:rsid w:val="79E975F6"/>
    <w:rsid w:val="79EB0BED"/>
    <w:rsid w:val="7A0075BF"/>
    <w:rsid w:val="7A121CD4"/>
    <w:rsid w:val="7A217F6D"/>
    <w:rsid w:val="7A286001"/>
    <w:rsid w:val="7A2D420C"/>
    <w:rsid w:val="7A311697"/>
    <w:rsid w:val="7A363506"/>
    <w:rsid w:val="7A364017"/>
    <w:rsid w:val="7A3B76D3"/>
    <w:rsid w:val="7A4A7637"/>
    <w:rsid w:val="7A5A3766"/>
    <w:rsid w:val="7A6E79B9"/>
    <w:rsid w:val="7A7C15DE"/>
    <w:rsid w:val="7A8265E1"/>
    <w:rsid w:val="7AA6120E"/>
    <w:rsid w:val="7AB845C8"/>
    <w:rsid w:val="7ACA7126"/>
    <w:rsid w:val="7AD372AA"/>
    <w:rsid w:val="7AD72D49"/>
    <w:rsid w:val="7AD9724E"/>
    <w:rsid w:val="7AE70B98"/>
    <w:rsid w:val="7AEC5333"/>
    <w:rsid w:val="7B322C17"/>
    <w:rsid w:val="7B3F2D9A"/>
    <w:rsid w:val="7B422303"/>
    <w:rsid w:val="7B512F55"/>
    <w:rsid w:val="7B571E87"/>
    <w:rsid w:val="7B5C403C"/>
    <w:rsid w:val="7B63055D"/>
    <w:rsid w:val="7B686D42"/>
    <w:rsid w:val="7B801F33"/>
    <w:rsid w:val="7B841746"/>
    <w:rsid w:val="7B97579D"/>
    <w:rsid w:val="7B977C05"/>
    <w:rsid w:val="7BB8270C"/>
    <w:rsid w:val="7BBA4AD9"/>
    <w:rsid w:val="7BC11241"/>
    <w:rsid w:val="7BDB66F8"/>
    <w:rsid w:val="7BDE4618"/>
    <w:rsid w:val="7BE77302"/>
    <w:rsid w:val="7BFB1EEE"/>
    <w:rsid w:val="7BFE3545"/>
    <w:rsid w:val="7C040E7D"/>
    <w:rsid w:val="7C112729"/>
    <w:rsid w:val="7C170F88"/>
    <w:rsid w:val="7C2048A2"/>
    <w:rsid w:val="7C215D25"/>
    <w:rsid w:val="7C40324C"/>
    <w:rsid w:val="7C4B39F0"/>
    <w:rsid w:val="7C636E2B"/>
    <w:rsid w:val="7C6B287F"/>
    <w:rsid w:val="7C6C5AC7"/>
    <w:rsid w:val="7C6D2D62"/>
    <w:rsid w:val="7C8E2C1F"/>
    <w:rsid w:val="7C9141DF"/>
    <w:rsid w:val="7C9C24C7"/>
    <w:rsid w:val="7C9D2C60"/>
    <w:rsid w:val="7CAA4AC5"/>
    <w:rsid w:val="7CAA5C91"/>
    <w:rsid w:val="7CAF0D17"/>
    <w:rsid w:val="7CC6544B"/>
    <w:rsid w:val="7CE8058A"/>
    <w:rsid w:val="7D0239FF"/>
    <w:rsid w:val="7D1202A5"/>
    <w:rsid w:val="7D1A5707"/>
    <w:rsid w:val="7D4C418D"/>
    <w:rsid w:val="7D5E40CD"/>
    <w:rsid w:val="7D6841EF"/>
    <w:rsid w:val="7D7129E3"/>
    <w:rsid w:val="7D734C70"/>
    <w:rsid w:val="7D84320B"/>
    <w:rsid w:val="7DB66CE7"/>
    <w:rsid w:val="7DCD56F2"/>
    <w:rsid w:val="7DD4705C"/>
    <w:rsid w:val="7DF158DE"/>
    <w:rsid w:val="7DF618EA"/>
    <w:rsid w:val="7E0407AF"/>
    <w:rsid w:val="7E06203D"/>
    <w:rsid w:val="7E074BD1"/>
    <w:rsid w:val="7E245359"/>
    <w:rsid w:val="7E2A22B2"/>
    <w:rsid w:val="7E2B11A5"/>
    <w:rsid w:val="7E37257C"/>
    <w:rsid w:val="7E4547B7"/>
    <w:rsid w:val="7E6B406D"/>
    <w:rsid w:val="7E800465"/>
    <w:rsid w:val="7E80654E"/>
    <w:rsid w:val="7E9B6B06"/>
    <w:rsid w:val="7EAA3545"/>
    <w:rsid w:val="7EB77F7A"/>
    <w:rsid w:val="7EC63A9C"/>
    <w:rsid w:val="7EE76B7C"/>
    <w:rsid w:val="7EF94232"/>
    <w:rsid w:val="7F001CE7"/>
    <w:rsid w:val="7F164838"/>
    <w:rsid w:val="7F2E445B"/>
    <w:rsid w:val="7F4F37DA"/>
    <w:rsid w:val="7F6605DD"/>
    <w:rsid w:val="7F6761DD"/>
    <w:rsid w:val="7F951DA0"/>
    <w:rsid w:val="7FA65B77"/>
    <w:rsid w:val="7FAC07B1"/>
    <w:rsid w:val="7FB629A9"/>
    <w:rsid w:val="7FC5252F"/>
    <w:rsid w:val="7FE47E50"/>
    <w:rsid w:val="7FEB7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name="index 1" w:locked="1"/>
    <w:lsdException w:unhideWhenUsed="0" w:uiPriority="0" w:semiHidden="0" w:name="index 2" w:locked="1"/>
    <w:lsdException w:unhideWhenUsed="0" w:uiPriority="0" w:semiHidden="0" w:name="index 3" w:locked="1"/>
    <w:lsdException w:qFormat="1"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qFormat="1" w:unhideWhenUsed="0" w:uiPriority="0" w:semiHidden="0" w:name="toc 3" w:locked="1"/>
    <w:lsdException w:qFormat="1" w:unhideWhenUsed="0" w:uiPriority="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qFormat="1" w:unhideWhenUsed="0" w:uiPriority="0" w:name="index heading" w:locked="1"/>
    <w:lsdException w:qFormat="1" w:unhideWhenUsed="0" w:uiPriority="0"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qFormat="1" w:unhideWhenUsed="0" w:uiPriority="0" w:semiHidden="0" w:name="HTML Cite" w:locked="1"/>
    <w:lsdException w:qFormat="1" w:unhideWhenUsed="0" w:uiPriority="0" w:semiHidden="0" w:name="HTML Code" w:locked="1"/>
    <w:lsdException w:qFormat="1" w:unhideWhenUsed="0" w:uiPriority="0" w:semiHidden="0" w:name="HTML Definition" w:locked="1"/>
    <w:lsdException w:qFormat="1" w:unhideWhenUsed="0" w:uiPriority="0" w:semiHidden="0" w:name="HTML Keyboard" w:locked="1"/>
    <w:lsdException w:unhideWhenUsed="0" w:uiPriority="0" w:semiHidden="0" w:name="HTML Preformatted" w:locked="1"/>
    <w:lsdException w:qFormat="1" w:unhideWhenUsed="0" w:uiPriority="0" w:semiHidden="0" w:name="HTML Sample" w:locked="1"/>
    <w:lsdException w:unhideWhenUsed="0" w:uiPriority="0" w:semiHidden="0" w:name="HTML Typewriter" w:locked="1"/>
    <w:lsdException w:qFormat="1"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99" w:semiHidden="0" w:name="Table Grid"/>
    <w:lsdException w:uiPriority="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6"/>
    <w:qFormat/>
    <w:locked/>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4"/>
    <w:link w:val="47"/>
    <w:autoRedefine/>
    <w:qFormat/>
    <w:locked/>
    <w:uiPriority w:val="0"/>
    <w:pPr>
      <w:keepNext/>
      <w:keepLines/>
      <w:outlineLvl w:val="1"/>
    </w:pPr>
    <w:rPr>
      <w:rFonts w:asciiTheme="minorEastAsia" w:hAnsiTheme="minorEastAsia" w:eastAsiaTheme="minorEastAsia"/>
      <w:b/>
      <w:bCs/>
      <w:sz w:val="30"/>
      <w:szCs w:val="30"/>
    </w:rPr>
  </w:style>
  <w:style w:type="paragraph" w:styleId="5">
    <w:name w:val="heading 3"/>
    <w:basedOn w:val="1"/>
    <w:next w:val="1"/>
    <w:autoRedefine/>
    <w:qFormat/>
    <w:locked/>
    <w:uiPriority w:val="0"/>
    <w:pPr>
      <w:keepNext/>
      <w:keepLines/>
      <w:spacing w:before="120" w:after="120"/>
      <w:outlineLvl w:val="2"/>
    </w:pPr>
    <w:rPr>
      <w:rFonts w:eastAsiaTheme="minorEastAsia"/>
      <w:b/>
      <w:bCs/>
      <w:sz w:val="28"/>
      <w:szCs w:val="28"/>
    </w:rPr>
  </w:style>
  <w:style w:type="paragraph" w:styleId="6">
    <w:name w:val="heading 4"/>
    <w:basedOn w:val="1"/>
    <w:next w:val="1"/>
    <w:autoRedefine/>
    <w:qFormat/>
    <w:locked/>
    <w:uiPriority w:val="0"/>
    <w:pPr>
      <w:keepNext/>
      <w:keepLines/>
      <w:spacing w:before="120" w:after="120"/>
      <w:outlineLvl w:val="3"/>
    </w:pPr>
    <w:rPr>
      <w:rFonts w:eastAsiaTheme="minorEastAsia"/>
      <w:b/>
      <w:kern w:val="28"/>
      <w:sz w:val="24"/>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customStyle="1" w:styleId="4">
    <w:name w:val="报告"/>
    <w:basedOn w:val="1"/>
    <w:autoRedefine/>
    <w:qFormat/>
    <w:uiPriority w:val="0"/>
    <w:pPr>
      <w:spacing w:line="360" w:lineRule="auto"/>
      <w:ind w:firstLine="505"/>
    </w:pPr>
  </w:style>
  <w:style w:type="paragraph" w:styleId="7">
    <w:name w:val="Normal Indent"/>
    <w:basedOn w:val="1"/>
    <w:autoRedefine/>
    <w:qFormat/>
    <w:locked/>
    <w:uiPriority w:val="99"/>
    <w:pPr>
      <w:ind w:firstLine="420"/>
    </w:pPr>
  </w:style>
  <w:style w:type="paragraph" w:styleId="8">
    <w:name w:val="caption"/>
    <w:basedOn w:val="1"/>
    <w:next w:val="1"/>
    <w:qFormat/>
    <w:locked/>
    <w:uiPriority w:val="0"/>
    <w:pPr>
      <w:keepNext/>
      <w:spacing w:before="156" w:beforeLines="50" w:after="156" w:afterLines="50"/>
      <w:jc w:val="center"/>
    </w:pPr>
    <w:rPr>
      <w:rFonts w:eastAsia="黑体" w:cs="宋体"/>
      <w:sz w:val="24"/>
      <w:lang w:val="zh-CN"/>
    </w:rPr>
  </w:style>
  <w:style w:type="paragraph" w:styleId="9">
    <w:name w:val="annotation text"/>
    <w:basedOn w:val="1"/>
    <w:link w:val="48"/>
    <w:autoRedefine/>
    <w:semiHidden/>
    <w:qFormat/>
    <w:uiPriority w:val="0"/>
    <w:pPr>
      <w:jc w:val="left"/>
    </w:pPr>
    <w:rPr>
      <w:kern w:val="0"/>
      <w:sz w:val="24"/>
      <w:szCs w:val="20"/>
    </w:rPr>
  </w:style>
  <w:style w:type="paragraph" w:styleId="10">
    <w:name w:val="Body Text"/>
    <w:basedOn w:val="1"/>
    <w:next w:val="1"/>
    <w:link w:val="49"/>
    <w:qFormat/>
    <w:uiPriority w:val="0"/>
    <w:pPr>
      <w:widowControl/>
      <w:snapToGrid w:val="0"/>
      <w:spacing w:line="360" w:lineRule="auto"/>
      <w:ind w:firstLine="480" w:firstLineChars="200"/>
    </w:pPr>
    <w:rPr>
      <w:kern w:val="0"/>
      <w:sz w:val="24"/>
      <w:szCs w:val="20"/>
    </w:rPr>
  </w:style>
  <w:style w:type="paragraph" w:styleId="11">
    <w:name w:val="Body Text Indent"/>
    <w:basedOn w:val="1"/>
    <w:link w:val="50"/>
    <w:autoRedefine/>
    <w:qFormat/>
    <w:uiPriority w:val="0"/>
    <w:pPr>
      <w:numPr>
        <w:ilvl w:val="0"/>
        <w:numId w:val="1"/>
      </w:numPr>
      <w:spacing w:after="120"/>
    </w:pPr>
    <w:rPr>
      <w:color w:val="000000"/>
      <w:kern w:val="0"/>
      <w:sz w:val="24"/>
      <w:szCs w:val="20"/>
    </w:rPr>
  </w:style>
  <w:style w:type="paragraph" w:styleId="12">
    <w:name w:val="index 4"/>
    <w:basedOn w:val="1"/>
    <w:next w:val="1"/>
    <w:autoRedefine/>
    <w:qFormat/>
    <w:locked/>
    <w:uiPriority w:val="0"/>
    <w:pPr>
      <w:ind w:left="600" w:leftChars="600"/>
    </w:pPr>
  </w:style>
  <w:style w:type="paragraph" w:styleId="13">
    <w:name w:val="toc 3"/>
    <w:basedOn w:val="1"/>
    <w:next w:val="1"/>
    <w:autoRedefine/>
    <w:qFormat/>
    <w:locked/>
    <w:uiPriority w:val="0"/>
    <w:pPr>
      <w:ind w:left="840" w:leftChars="400"/>
    </w:pPr>
  </w:style>
  <w:style w:type="paragraph" w:styleId="14">
    <w:name w:val="Plain Text"/>
    <w:basedOn w:val="1"/>
    <w:next w:val="6"/>
    <w:autoRedefine/>
    <w:qFormat/>
    <w:locked/>
    <w:uiPriority w:val="0"/>
    <w:pPr>
      <w:spacing w:line="360" w:lineRule="auto"/>
    </w:pPr>
    <w:rPr>
      <w:rFonts w:hAnsi="Courier New"/>
    </w:rPr>
  </w:style>
  <w:style w:type="paragraph" w:styleId="15">
    <w:name w:val="Date"/>
    <w:basedOn w:val="1"/>
    <w:next w:val="1"/>
    <w:link w:val="51"/>
    <w:autoRedefine/>
    <w:qFormat/>
    <w:uiPriority w:val="0"/>
    <w:pPr>
      <w:ind w:left="100" w:leftChars="2500"/>
    </w:pPr>
    <w:rPr>
      <w:kern w:val="0"/>
      <w:sz w:val="24"/>
      <w:szCs w:val="20"/>
    </w:rPr>
  </w:style>
  <w:style w:type="paragraph" w:styleId="16">
    <w:name w:val="Body Text Indent 2"/>
    <w:basedOn w:val="1"/>
    <w:next w:val="1"/>
    <w:autoRedefine/>
    <w:qFormat/>
    <w:locked/>
    <w:uiPriority w:val="0"/>
    <w:pPr>
      <w:spacing w:line="360" w:lineRule="auto"/>
      <w:ind w:left="420" w:leftChars="200"/>
    </w:pPr>
  </w:style>
  <w:style w:type="paragraph" w:styleId="17">
    <w:name w:val="Balloon Text"/>
    <w:basedOn w:val="1"/>
    <w:link w:val="52"/>
    <w:autoRedefine/>
    <w:semiHidden/>
    <w:qFormat/>
    <w:uiPriority w:val="0"/>
    <w:rPr>
      <w:kern w:val="0"/>
      <w:sz w:val="18"/>
      <w:szCs w:val="20"/>
    </w:rPr>
  </w:style>
  <w:style w:type="paragraph" w:styleId="18">
    <w:name w:val="footer"/>
    <w:basedOn w:val="1"/>
    <w:link w:val="53"/>
    <w:autoRedefine/>
    <w:qFormat/>
    <w:uiPriority w:val="99"/>
    <w:pPr>
      <w:tabs>
        <w:tab w:val="center" w:pos="4153"/>
        <w:tab w:val="right" w:pos="8306"/>
      </w:tabs>
      <w:snapToGrid w:val="0"/>
      <w:jc w:val="left"/>
    </w:pPr>
    <w:rPr>
      <w:kern w:val="0"/>
      <w:sz w:val="18"/>
      <w:szCs w:val="20"/>
    </w:rPr>
  </w:style>
  <w:style w:type="paragraph" w:styleId="19">
    <w:name w:val="header"/>
    <w:basedOn w:val="1"/>
    <w:link w:val="54"/>
    <w:autoRedefine/>
    <w:qFormat/>
    <w:uiPriority w:val="0"/>
    <w:pPr>
      <w:pBdr>
        <w:bottom w:val="single" w:color="auto" w:sz="6" w:space="1"/>
      </w:pBdr>
      <w:tabs>
        <w:tab w:val="center" w:pos="4153"/>
        <w:tab w:val="right" w:pos="8306"/>
      </w:tabs>
      <w:snapToGrid w:val="0"/>
      <w:jc w:val="center"/>
    </w:pPr>
    <w:rPr>
      <w:kern w:val="0"/>
      <w:sz w:val="18"/>
      <w:szCs w:val="20"/>
    </w:rPr>
  </w:style>
  <w:style w:type="paragraph" w:styleId="20">
    <w:name w:val="toc 1"/>
    <w:basedOn w:val="1"/>
    <w:next w:val="1"/>
    <w:autoRedefine/>
    <w:qFormat/>
    <w:locked/>
    <w:uiPriority w:val="0"/>
    <w:pPr>
      <w:spacing w:before="120" w:line="360" w:lineRule="atLeast"/>
    </w:pPr>
    <w:rPr>
      <w:rFonts w:eastAsia="黑体"/>
      <w:b/>
      <w:bCs/>
      <w:caps/>
      <w:sz w:val="24"/>
    </w:rPr>
  </w:style>
  <w:style w:type="paragraph" w:styleId="21">
    <w:name w:val="toc 4"/>
    <w:basedOn w:val="6"/>
    <w:next w:val="1"/>
    <w:autoRedefine/>
    <w:semiHidden/>
    <w:qFormat/>
    <w:locked/>
    <w:uiPriority w:val="0"/>
    <w:pPr>
      <w:keepNext w:val="0"/>
      <w:keepLines w:val="0"/>
      <w:spacing w:before="0" w:after="0" w:line="360" w:lineRule="atLeast"/>
      <w:ind w:left="720"/>
      <w:outlineLvl w:val="9"/>
    </w:pPr>
    <w:rPr>
      <w:rFonts w:eastAsia="宋体"/>
      <w:b w:val="0"/>
      <w:kern w:val="0"/>
      <w:sz w:val="21"/>
      <w:szCs w:val="18"/>
    </w:rPr>
  </w:style>
  <w:style w:type="paragraph" w:styleId="22">
    <w:name w:val="index heading"/>
    <w:basedOn w:val="1"/>
    <w:next w:val="23"/>
    <w:autoRedefine/>
    <w:semiHidden/>
    <w:qFormat/>
    <w:locked/>
    <w:uiPriority w:val="0"/>
    <w:rPr>
      <w:rFonts w:ascii="Arial" w:hAnsi="Arial" w:cs="Arial"/>
      <w:b/>
      <w:bCs/>
    </w:rPr>
  </w:style>
  <w:style w:type="paragraph" w:styleId="23">
    <w:name w:val="index 1"/>
    <w:basedOn w:val="1"/>
    <w:next w:val="1"/>
    <w:autoRedefine/>
    <w:semiHidden/>
    <w:qFormat/>
    <w:locked/>
    <w:uiPriority w:val="0"/>
    <w:pPr>
      <w:adjustRightInd w:val="0"/>
      <w:snapToGrid w:val="0"/>
      <w:spacing w:line="440" w:lineRule="atLeast"/>
      <w:ind w:left="240" w:hanging="240"/>
      <w:jc w:val="left"/>
    </w:pPr>
    <w:rPr>
      <w:rFonts w:ascii="宋体"/>
      <w:sz w:val="18"/>
      <w:szCs w:val="18"/>
    </w:rPr>
  </w:style>
  <w:style w:type="paragraph" w:styleId="24">
    <w:name w:val="table of figures"/>
    <w:basedOn w:val="1"/>
    <w:next w:val="1"/>
    <w:autoRedefine/>
    <w:qFormat/>
    <w:locked/>
    <w:uiPriority w:val="0"/>
    <w:pPr>
      <w:ind w:left="200" w:leftChars="200" w:hanging="200" w:hangingChars="200"/>
    </w:pPr>
  </w:style>
  <w:style w:type="paragraph" w:styleId="25">
    <w:name w:val="toc 2"/>
    <w:basedOn w:val="3"/>
    <w:next w:val="1"/>
    <w:autoRedefine/>
    <w:qFormat/>
    <w:locked/>
    <w:uiPriority w:val="0"/>
    <w:pPr>
      <w:keepNext w:val="0"/>
      <w:keepLines w:val="0"/>
      <w:spacing w:line="360" w:lineRule="atLeast"/>
      <w:ind w:left="240"/>
      <w:outlineLvl w:val="9"/>
    </w:pPr>
    <w:rPr>
      <w:rFonts w:eastAsia="宋体"/>
      <w:b w:val="0"/>
      <w:smallCaps/>
      <w:sz w:val="21"/>
    </w:rPr>
  </w:style>
  <w:style w:type="paragraph" w:styleId="26">
    <w:name w:val="Body Text 2"/>
    <w:basedOn w:val="1"/>
    <w:autoRedefine/>
    <w:qFormat/>
    <w:locked/>
    <w:uiPriority w:val="0"/>
    <w:pPr>
      <w:spacing w:after="120" w:line="480" w:lineRule="auto"/>
    </w:pPr>
  </w:style>
  <w:style w:type="paragraph" w:styleId="27">
    <w:name w:val="Normal (Web)"/>
    <w:basedOn w:val="1"/>
    <w:link w:val="55"/>
    <w:autoRedefine/>
    <w:qFormat/>
    <w:uiPriority w:val="0"/>
    <w:pPr>
      <w:widowControl/>
      <w:spacing w:before="100" w:beforeAutospacing="1" w:after="100" w:afterAutospacing="1"/>
      <w:jc w:val="left"/>
    </w:pPr>
    <w:rPr>
      <w:rFonts w:ascii="宋体" w:hAnsi="宋体"/>
      <w:kern w:val="0"/>
      <w:sz w:val="24"/>
      <w:szCs w:val="20"/>
    </w:rPr>
  </w:style>
  <w:style w:type="paragraph" w:styleId="28">
    <w:name w:val="annotation subject"/>
    <w:basedOn w:val="9"/>
    <w:next w:val="9"/>
    <w:link w:val="56"/>
    <w:autoRedefine/>
    <w:semiHidden/>
    <w:qFormat/>
    <w:uiPriority w:val="0"/>
    <w:rPr>
      <w:b/>
    </w:rPr>
  </w:style>
  <w:style w:type="paragraph" w:styleId="29">
    <w:name w:val="Body Text First Indent"/>
    <w:basedOn w:val="10"/>
    <w:autoRedefine/>
    <w:qFormat/>
    <w:locked/>
    <w:uiPriority w:val="0"/>
    <w:rPr>
      <w:kern w:val="2"/>
      <w:szCs w:val="24"/>
    </w:rPr>
  </w:style>
  <w:style w:type="paragraph" w:styleId="30">
    <w:name w:val="Body Text First Indent 2"/>
    <w:basedOn w:val="11"/>
    <w:autoRedefine/>
    <w:qFormat/>
    <w:locked/>
    <w:uiPriority w:val="0"/>
    <w:pPr>
      <w:ind w:firstLine="420" w:firstLineChars="200"/>
    </w:pPr>
  </w:style>
  <w:style w:type="table" w:styleId="32">
    <w:name w:val="Table Grid"/>
    <w:basedOn w:val="31"/>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autoRedefine/>
    <w:qFormat/>
    <w:locked/>
    <w:uiPriority w:val="0"/>
    <w:rPr>
      <w:b/>
      <w:lang w:eastAsia="en-US"/>
    </w:rPr>
  </w:style>
  <w:style w:type="character" w:styleId="35">
    <w:name w:val="page number"/>
    <w:autoRedefine/>
    <w:qFormat/>
    <w:locked/>
    <w:uiPriority w:val="0"/>
    <w:rPr>
      <w:lang w:eastAsia="en-US"/>
    </w:rPr>
  </w:style>
  <w:style w:type="character" w:styleId="36">
    <w:name w:val="FollowedHyperlink"/>
    <w:autoRedefine/>
    <w:qFormat/>
    <w:locked/>
    <w:uiPriority w:val="0"/>
    <w:rPr>
      <w:rFonts w:ascii="微软雅黑" w:hAnsi="微软雅黑" w:eastAsia="微软雅黑" w:cs="微软雅黑"/>
      <w:color w:val="1E50A2"/>
      <w:sz w:val="19"/>
      <w:szCs w:val="19"/>
      <w:u w:val="single"/>
      <w:lang w:eastAsia="en-US"/>
    </w:rPr>
  </w:style>
  <w:style w:type="character" w:styleId="37">
    <w:name w:val="Emphasis"/>
    <w:autoRedefine/>
    <w:qFormat/>
    <w:locked/>
    <w:uiPriority w:val="0"/>
    <w:rPr>
      <w:lang w:eastAsia="en-US"/>
    </w:rPr>
  </w:style>
  <w:style w:type="character" w:styleId="38">
    <w:name w:val="HTML Definition"/>
    <w:autoRedefine/>
    <w:qFormat/>
    <w:locked/>
    <w:uiPriority w:val="0"/>
    <w:rPr>
      <w:lang w:eastAsia="en-US"/>
    </w:rPr>
  </w:style>
  <w:style w:type="character" w:styleId="39">
    <w:name w:val="HTML Variable"/>
    <w:autoRedefine/>
    <w:qFormat/>
    <w:locked/>
    <w:uiPriority w:val="0"/>
    <w:rPr>
      <w:lang w:eastAsia="en-US"/>
    </w:rPr>
  </w:style>
  <w:style w:type="character" w:styleId="40">
    <w:name w:val="Hyperlink"/>
    <w:autoRedefine/>
    <w:qFormat/>
    <w:locked/>
    <w:uiPriority w:val="0"/>
    <w:rPr>
      <w:rFonts w:hint="eastAsia" w:ascii="微软雅黑" w:hAnsi="微软雅黑" w:eastAsia="微软雅黑" w:cs="微软雅黑"/>
      <w:color w:val="1E50A2"/>
      <w:sz w:val="19"/>
      <w:szCs w:val="19"/>
      <w:u w:val="single"/>
      <w:lang w:eastAsia="en-US"/>
    </w:rPr>
  </w:style>
  <w:style w:type="character" w:styleId="41">
    <w:name w:val="HTML Code"/>
    <w:autoRedefine/>
    <w:qFormat/>
    <w:locked/>
    <w:uiPriority w:val="0"/>
    <w:rPr>
      <w:rFonts w:ascii="Consolas" w:hAnsi="Consolas" w:eastAsia="Consolas" w:cs="Consolas"/>
      <w:color w:val="C7254E"/>
      <w:sz w:val="21"/>
      <w:szCs w:val="21"/>
      <w:shd w:val="clear" w:color="auto" w:fill="F9F2F4"/>
      <w:lang w:eastAsia="en-US"/>
    </w:rPr>
  </w:style>
  <w:style w:type="character" w:styleId="42">
    <w:name w:val="annotation reference"/>
    <w:autoRedefine/>
    <w:semiHidden/>
    <w:qFormat/>
    <w:uiPriority w:val="0"/>
    <w:rPr>
      <w:sz w:val="21"/>
    </w:rPr>
  </w:style>
  <w:style w:type="character" w:styleId="43">
    <w:name w:val="HTML Cite"/>
    <w:autoRedefine/>
    <w:qFormat/>
    <w:locked/>
    <w:uiPriority w:val="0"/>
    <w:rPr>
      <w:lang w:eastAsia="en-US"/>
    </w:rPr>
  </w:style>
  <w:style w:type="character" w:styleId="44">
    <w:name w:val="HTML Keyboard"/>
    <w:autoRedefine/>
    <w:qFormat/>
    <w:locked/>
    <w:uiPriority w:val="0"/>
    <w:rPr>
      <w:rFonts w:hint="default" w:ascii="Consolas" w:hAnsi="Consolas" w:eastAsia="Consolas" w:cs="Consolas"/>
      <w:color w:val="FFFFFF"/>
      <w:sz w:val="21"/>
      <w:szCs w:val="21"/>
      <w:shd w:val="clear" w:color="auto" w:fill="333333"/>
      <w:lang w:eastAsia="en-US"/>
    </w:rPr>
  </w:style>
  <w:style w:type="character" w:styleId="45">
    <w:name w:val="HTML Sample"/>
    <w:autoRedefine/>
    <w:qFormat/>
    <w:locked/>
    <w:uiPriority w:val="0"/>
    <w:rPr>
      <w:rFonts w:hint="default" w:ascii="Consolas" w:hAnsi="Consolas" w:eastAsia="Consolas" w:cs="Consolas"/>
      <w:sz w:val="21"/>
      <w:szCs w:val="21"/>
      <w:lang w:eastAsia="en-US"/>
    </w:rPr>
  </w:style>
  <w:style w:type="character" w:customStyle="1" w:styleId="46">
    <w:name w:val="标题 1 字符"/>
    <w:basedOn w:val="33"/>
    <w:link w:val="2"/>
    <w:qFormat/>
    <w:uiPriority w:val="9"/>
    <w:rPr>
      <w:rFonts w:eastAsia="黑体"/>
      <w:b/>
      <w:bCs/>
      <w:color w:val="000000"/>
      <w:kern w:val="44"/>
      <w:sz w:val="30"/>
      <w:szCs w:val="30"/>
    </w:rPr>
  </w:style>
  <w:style w:type="character" w:customStyle="1" w:styleId="47">
    <w:name w:val="标题 2 字符1"/>
    <w:link w:val="3"/>
    <w:autoRedefine/>
    <w:qFormat/>
    <w:uiPriority w:val="0"/>
    <w:rPr>
      <w:rFonts w:asciiTheme="minorEastAsia" w:hAnsiTheme="minorEastAsia" w:eastAsiaTheme="minorEastAsia"/>
      <w:b/>
      <w:bCs/>
      <w:kern w:val="2"/>
      <w:sz w:val="30"/>
      <w:szCs w:val="30"/>
    </w:rPr>
  </w:style>
  <w:style w:type="character" w:customStyle="1" w:styleId="48">
    <w:name w:val="批注文字 字符"/>
    <w:link w:val="9"/>
    <w:autoRedefine/>
    <w:qFormat/>
    <w:locked/>
    <w:uiPriority w:val="0"/>
    <w:rPr>
      <w:rFonts w:ascii="Times New Roman" w:hAnsi="Times New Roman" w:eastAsia="宋体"/>
      <w:sz w:val="24"/>
    </w:rPr>
  </w:style>
  <w:style w:type="character" w:customStyle="1" w:styleId="49">
    <w:name w:val="正文文本 字符"/>
    <w:link w:val="10"/>
    <w:autoRedefine/>
    <w:qFormat/>
    <w:locked/>
    <w:uiPriority w:val="0"/>
    <w:rPr>
      <w:sz w:val="24"/>
    </w:rPr>
  </w:style>
  <w:style w:type="character" w:customStyle="1" w:styleId="50">
    <w:name w:val="正文文本缩进 字符"/>
    <w:link w:val="11"/>
    <w:autoRedefine/>
    <w:qFormat/>
    <w:locked/>
    <w:uiPriority w:val="0"/>
    <w:rPr>
      <w:color w:val="000000"/>
      <w:sz w:val="24"/>
    </w:rPr>
  </w:style>
  <w:style w:type="character" w:customStyle="1" w:styleId="51">
    <w:name w:val="日期 字符1"/>
    <w:link w:val="15"/>
    <w:autoRedefine/>
    <w:qFormat/>
    <w:locked/>
    <w:uiPriority w:val="0"/>
    <w:rPr>
      <w:rFonts w:ascii="Times New Roman" w:hAnsi="Times New Roman" w:eastAsia="宋体"/>
      <w:sz w:val="24"/>
    </w:rPr>
  </w:style>
  <w:style w:type="character" w:customStyle="1" w:styleId="52">
    <w:name w:val="批注框文本 字符"/>
    <w:link w:val="17"/>
    <w:autoRedefine/>
    <w:semiHidden/>
    <w:qFormat/>
    <w:locked/>
    <w:uiPriority w:val="0"/>
    <w:rPr>
      <w:rFonts w:ascii="Times New Roman" w:hAnsi="Times New Roman" w:eastAsia="宋体"/>
      <w:sz w:val="18"/>
    </w:rPr>
  </w:style>
  <w:style w:type="character" w:customStyle="1" w:styleId="53">
    <w:name w:val="页脚 字符1"/>
    <w:link w:val="18"/>
    <w:autoRedefine/>
    <w:qFormat/>
    <w:locked/>
    <w:uiPriority w:val="99"/>
    <w:rPr>
      <w:sz w:val="18"/>
    </w:rPr>
  </w:style>
  <w:style w:type="character" w:customStyle="1" w:styleId="54">
    <w:name w:val="页眉 字符"/>
    <w:link w:val="19"/>
    <w:autoRedefine/>
    <w:qFormat/>
    <w:locked/>
    <w:uiPriority w:val="0"/>
    <w:rPr>
      <w:sz w:val="18"/>
    </w:rPr>
  </w:style>
  <w:style w:type="character" w:customStyle="1" w:styleId="55">
    <w:name w:val="普通(网站) 字符"/>
    <w:link w:val="27"/>
    <w:autoRedefine/>
    <w:qFormat/>
    <w:locked/>
    <w:uiPriority w:val="0"/>
    <w:rPr>
      <w:rFonts w:ascii="宋体" w:hAnsi="宋体" w:eastAsia="宋体"/>
      <w:sz w:val="24"/>
    </w:rPr>
  </w:style>
  <w:style w:type="character" w:customStyle="1" w:styleId="56">
    <w:name w:val="批注主题 字符"/>
    <w:link w:val="28"/>
    <w:autoRedefine/>
    <w:semiHidden/>
    <w:qFormat/>
    <w:locked/>
    <w:uiPriority w:val="0"/>
    <w:rPr>
      <w:rFonts w:ascii="Times New Roman" w:hAnsi="Times New Roman" w:eastAsia="宋体"/>
      <w:b/>
      <w:kern w:val="2"/>
      <w:sz w:val="24"/>
    </w:rPr>
  </w:style>
  <w:style w:type="paragraph" w:customStyle="1" w:styleId="57">
    <w:name w:val="Char"/>
    <w:basedOn w:val="1"/>
    <w:autoRedefine/>
    <w:qFormat/>
    <w:uiPriority w:val="0"/>
    <w:pPr>
      <w:spacing w:after="160" w:line="240" w:lineRule="exact"/>
    </w:pPr>
    <w:rPr>
      <w:rFonts w:ascii="Arial" w:hAnsi="Arial" w:eastAsia="Times New Roman" w:cs="Verdana"/>
      <w:b/>
      <w:lang w:eastAsia="en-US"/>
    </w:rPr>
  </w:style>
  <w:style w:type="paragraph" w:customStyle="1" w:styleId="58">
    <w:name w:val="图表标题"/>
    <w:basedOn w:val="59"/>
    <w:autoRedefine/>
    <w:qFormat/>
    <w:uiPriority w:val="0"/>
    <w:rPr>
      <w:b/>
    </w:rPr>
  </w:style>
  <w:style w:type="paragraph" w:customStyle="1" w:styleId="59">
    <w:name w:val="表格"/>
    <w:basedOn w:val="14"/>
    <w:next w:val="29"/>
    <w:link w:val="60"/>
    <w:qFormat/>
    <w:uiPriority w:val="0"/>
    <w:pPr>
      <w:adjustRightInd w:val="0"/>
      <w:snapToGrid w:val="0"/>
      <w:spacing w:before="24" w:beforeLines="10" w:after="24" w:afterLines="10" w:line="259" w:lineRule="auto"/>
      <w:jc w:val="center"/>
    </w:pPr>
    <w:rPr>
      <w:rFonts w:hAnsi="Times New Roman"/>
      <w:kern w:val="0"/>
      <w:szCs w:val="21"/>
    </w:rPr>
  </w:style>
  <w:style w:type="character" w:customStyle="1" w:styleId="60">
    <w:name w:val="表格 Char"/>
    <w:link w:val="59"/>
    <w:autoRedefine/>
    <w:qFormat/>
    <w:locked/>
    <w:uiPriority w:val="0"/>
    <w:rPr>
      <w:sz w:val="21"/>
      <w:szCs w:val="21"/>
    </w:rPr>
  </w:style>
  <w:style w:type="character" w:customStyle="1" w:styleId="61">
    <w:name w:val="标题 2 字符"/>
    <w:autoRedefine/>
    <w:qFormat/>
    <w:uiPriority w:val="0"/>
    <w:rPr>
      <w:rFonts w:ascii="Arial" w:hAnsi="Arial" w:eastAsia="黑体"/>
      <w:sz w:val="32"/>
    </w:rPr>
  </w:style>
  <w:style w:type="character" w:customStyle="1" w:styleId="62">
    <w:name w:val="tit"/>
    <w:autoRedefine/>
    <w:qFormat/>
    <w:uiPriority w:val="0"/>
    <w:rPr>
      <w:lang w:eastAsia="en-US"/>
    </w:rPr>
  </w:style>
  <w:style w:type="character" w:customStyle="1" w:styleId="63">
    <w:name w:val="invest3"/>
    <w:autoRedefine/>
    <w:qFormat/>
    <w:uiPriority w:val="0"/>
    <w:rPr>
      <w:lang w:eastAsia="en-US"/>
    </w:rPr>
  </w:style>
  <w:style w:type="character" w:customStyle="1" w:styleId="64">
    <w:name w:val="c-icon"/>
    <w:autoRedefine/>
    <w:qFormat/>
    <w:uiPriority w:val="0"/>
    <w:rPr>
      <w:lang w:eastAsia="en-US"/>
    </w:rPr>
  </w:style>
  <w:style w:type="character" w:customStyle="1" w:styleId="65">
    <w:name w:val="hover29"/>
    <w:autoRedefine/>
    <w:qFormat/>
    <w:uiPriority w:val="0"/>
    <w:rPr>
      <w:color w:val="315EFB"/>
      <w:lang w:eastAsia="en-US"/>
    </w:rPr>
  </w:style>
  <w:style w:type="character" w:customStyle="1" w:styleId="66">
    <w:name w:val="govopen4"/>
    <w:autoRedefine/>
    <w:qFormat/>
    <w:uiPriority w:val="0"/>
    <w:rPr>
      <w:lang w:eastAsia="en-US"/>
    </w:rPr>
  </w:style>
  <w:style w:type="character" w:customStyle="1" w:styleId="67">
    <w:name w:val="active3"/>
    <w:autoRedefine/>
    <w:qFormat/>
    <w:uiPriority w:val="0"/>
    <w:rPr>
      <w:lang w:eastAsia="en-US"/>
    </w:rPr>
  </w:style>
  <w:style w:type="character" w:customStyle="1" w:styleId="68">
    <w:name w:val="intro2"/>
    <w:autoRedefine/>
    <w:qFormat/>
    <w:uiPriority w:val="0"/>
    <w:rPr>
      <w:lang w:eastAsia="en-US"/>
    </w:rPr>
  </w:style>
  <w:style w:type="character" w:customStyle="1" w:styleId="69">
    <w:name w:val="govopen2"/>
    <w:autoRedefine/>
    <w:qFormat/>
    <w:uiPriority w:val="0"/>
    <w:rPr>
      <w:lang w:eastAsia="en-US"/>
    </w:rPr>
  </w:style>
  <w:style w:type="character" w:customStyle="1" w:styleId="70">
    <w:name w:val="service1"/>
    <w:autoRedefine/>
    <w:qFormat/>
    <w:uiPriority w:val="0"/>
    <w:rPr>
      <w:lang w:eastAsia="en-US"/>
    </w:rPr>
  </w:style>
  <w:style w:type="character" w:customStyle="1" w:styleId="71">
    <w:name w:val="title-text"/>
    <w:autoRedefine/>
    <w:qFormat/>
    <w:uiPriority w:val="0"/>
    <w:rPr>
      <w:lang w:eastAsia="en-US"/>
    </w:rPr>
  </w:style>
  <w:style w:type="character" w:customStyle="1" w:styleId="72">
    <w:name w:val="hover27"/>
    <w:autoRedefine/>
    <w:qFormat/>
    <w:uiPriority w:val="0"/>
    <w:rPr>
      <w:color w:val="315EFB"/>
      <w:lang w:eastAsia="en-US"/>
    </w:rPr>
  </w:style>
  <w:style w:type="character" w:customStyle="1" w:styleId="73">
    <w:name w:val="批注文字 字符1"/>
    <w:autoRedefine/>
    <w:semiHidden/>
    <w:qFormat/>
    <w:uiPriority w:val="0"/>
    <w:rPr>
      <w:rFonts w:ascii="Times New Roman" w:hAnsi="Times New Roman" w:eastAsia="宋体"/>
      <w:sz w:val="24"/>
    </w:rPr>
  </w:style>
  <w:style w:type="character" w:customStyle="1" w:styleId="74">
    <w:name w:val="layui-layer-tabnow"/>
    <w:autoRedefine/>
    <w:qFormat/>
    <w:uiPriority w:val="0"/>
    <w:rPr>
      <w:bdr w:val="single" w:color="CCCCCC" w:sz="4" w:space="0"/>
      <w:shd w:val="clear" w:color="auto" w:fill="FFFFFF"/>
      <w:lang w:eastAsia="en-US"/>
    </w:rPr>
  </w:style>
  <w:style w:type="character" w:customStyle="1" w:styleId="75">
    <w:name w:val="invest"/>
    <w:autoRedefine/>
    <w:qFormat/>
    <w:uiPriority w:val="0"/>
    <w:rPr>
      <w:lang w:eastAsia="en-US"/>
    </w:rPr>
  </w:style>
  <w:style w:type="character" w:customStyle="1" w:styleId="76">
    <w:name w:val="active2"/>
    <w:autoRedefine/>
    <w:qFormat/>
    <w:uiPriority w:val="0"/>
    <w:rPr>
      <w:lang w:eastAsia="en-US"/>
    </w:rPr>
  </w:style>
  <w:style w:type="character" w:customStyle="1" w:styleId="77">
    <w:name w:val="日期 字符"/>
    <w:autoRedefine/>
    <w:semiHidden/>
    <w:qFormat/>
    <w:uiPriority w:val="0"/>
    <w:rPr>
      <w:rFonts w:ascii="Times New Roman" w:hAnsi="Times New Roman" w:eastAsia="宋体"/>
      <w:sz w:val="24"/>
    </w:rPr>
  </w:style>
  <w:style w:type="character" w:customStyle="1" w:styleId="78">
    <w:name w:val="hover28"/>
    <w:autoRedefine/>
    <w:qFormat/>
    <w:uiPriority w:val="0"/>
    <w:rPr>
      <w:color w:val="315EFB"/>
      <w:shd w:val="clear" w:color="auto" w:fill="F0F3FD"/>
      <w:lang w:eastAsia="en-US"/>
    </w:rPr>
  </w:style>
  <w:style w:type="character" w:customStyle="1" w:styleId="79">
    <w:name w:val="intro3"/>
    <w:autoRedefine/>
    <w:qFormat/>
    <w:uiPriority w:val="0"/>
    <w:rPr>
      <w:lang w:eastAsia="en-US"/>
    </w:rPr>
  </w:style>
  <w:style w:type="character" w:customStyle="1" w:styleId="80">
    <w:name w:val="service2"/>
    <w:autoRedefine/>
    <w:qFormat/>
    <w:uiPriority w:val="0"/>
    <w:rPr>
      <w:lang w:eastAsia="en-US"/>
    </w:rPr>
  </w:style>
  <w:style w:type="character" w:customStyle="1" w:styleId="81">
    <w:name w:val="total"/>
    <w:autoRedefine/>
    <w:qFormat/>
    <w:uiPriority w:val="0"/>
    <w:rPr>
      <w:color w:val="FFFFFF"/>
      <w:shd w:val="clear" w:color="auto" w:fill="64BD45"/>
      <w:lang w:eastAsia="en-US"/>
    </w:rPr>
  </w:style>
  <w:style w:type="character" w:customStyle="1" w:styleId="82">
    <w:name w:val="st"/>
    <w:autoRedefine/>
    <w:qFormat/>
    <w:uiPriority w:val="0"/>
    <w:rPr>
      <w:color w:val="999999"/>
      <w:lang w:eastAsia="en-US"/>
    </w:rPr>
  </w:style>
  <w:style w:type="character" w:customStyle="1" w:styleId="83">
    <w:name w:val="fontborder"/>
    <w:autoRedefine/>
    <w:qFormat/>
    <w:uiPriority w:val="0"/>
    <w:rPr>
      <w:bdr w:val="single" w:color="000000" w:sz="4" w:space="0"/>
      <w:lang w:eastAsia="en-US"/>
    </w:rPr>
  </w:style>
  <w:style w:type="character" w:customStyle="1" w:styleId="84">
    <w:name w:val="s2"/>
    <w:autoRedefine/>
    <w:qFormat/>
    <w:uiPriority w:val="0"/>
    <w:rPr>
      <w:b/>
      <w:color w:val="525352"/>
      <w:spacing w:val="12"/>
      <w:sz w:val="16"/>
      <w:szCs w:val="16"/>
      <w:lang w:eastAsia="en-US"/>
    </w:rPr>
  </w:style>
  <w:style w:type="character" w:customStyle="1" w:styleId="85">
    <w:name w:val="active1"/>
    <w:autoRedefine/>
    <w:qFormat/>
    <w:uiPriority w:val="0"/>
    <w:rPr>
      <w:lang w:eastAsia="en-US"/>
    </w:rPr>
  </w:style>
  <w:style w:type="character" w:customStyle="1" w:styleId="86">
    <w:name w:val="页脚 字符"/>
    <w:autoRedefine/>
    <w:qFormat/>
    <w:uiPriority w:val="99"/>
    <w:rPr>
      <w:lang w:eastAsia="en-US"/>
    </w:rPr>
  </w:style>
  <w:style w:type="character" w:customStyle="1" w:styleId="87">
    <w:name w:val="hover11"/>
    <w:autoRedefine/>
    <w:qFormat/>
    <w:uiPriority w:val="0"/>
    <w:rPr>
      <w:color w:val="2AA3FF"/>
      <w:lang w:eastAsia="en-US"/>
    </w:rPr>
  </w:style>
  <w:style w:type="character" w:customStyle="1" w:styleId="88">
    <w:name w:val="service3"/>
    <w:autoRedefine/>
    <w:qFormat/>
    <w:uiPriority w:val="0"/>
    <w:rPr>
      <w:lang w:eastAsia="en-US"/>
    </w:rPr>
  </w:style>
  <w:style w:type="character" w:customStyle="1" w:styleId="89">
    <w:name w:val="active"/>
    <w:autoRedefine/>
    <w:qFormat/>
    <w:uiPriority w:val="0"/>
    <w:rPr>
      <w:lang w:eastAsia="en-US"/>
    </w:rPr>
  </w:style>
  <w:style w:type="character" w:customStyle="1" w:styleId="90">
    <w:name w:val="bsharetext"/>
    <w:autoRedefine/>
    <w:qFormat/>
    <w:uiPriority w:val="0"/>
    <w:rPr>
      <w:lang w:eastAsia="en-US"/>
    </w:rPr>
  </w:style>
  <w:style w:type="character" w:customStyle="1" w:styleId="91">
    <w:name w:val="zl_txt"/>
    <w:autoRedefine/>
    <w:qFormat/>
    <w:uiPriority w:val="0"/>
    <w:rPr>
      <w:color w:val="FFFFFF"/>
      <w:lang w:eastAsia="en-US"/>
    </w:rPr>
  </w:style>
  <w:style w:type="character" w:customStyle="1" w:styleId="92">
    <w:name w:val="正文文本 字符1"/>
    <w:basedOn w:val="33"/>
    <w:autoRedefine/>
    <w:semiHidden/>
    <w:qFormat/>
    <w:uiPriority w:val="0"/>
    <w:rPr>
      <w:rFonts w:ascii="Times New Roman" w:hAnsi="Times New Roman" w:eastAsia="宋体"/>
      <w:sz w:val="24"/>
    </w:rPr>
  </w:style>
  <w:style w:type="character" w:customStyle="1" w:styleId="93">
    <w:name w:val="报告表正文 Char"/>
    <w:link w:val="94"/>
    <w:autoRedefine/>
    <w:qFormat/>
    <w:uiPriority w:val="0"/>
    <w:rPr>
      <w:kern w:val="2"/>
      <w:sz w:val="21"/>
      <w:szCs w:val="24"/>
    </w:rPr>
  </w:style>
  <w:style w:type="paragraph" w:customStyle="1" w:styleId="94">
    <w:name w:val="报告表正文"/>
    <w:basedOn w:val="1"/>
    <w:link w:val="93"/>
    <w:autoRedefine/>
    <w:qFormat/>
    <w:uiPriority w:val="0"/>
    <w:pPr>
      <w:spacing w:before="120" w:beforeLines="50" w:line="360" w:lineRule="auto"/>
      <w:ind w:right="113" w:firstLine="482" w:firstLineChars="200"/>
    </w:pPr>
  </w:style>
  <w:style w:type="character" w:customStyle="1" w:styleId="95">
    <w:name w:val="first-child"/>
    <w:autoRedefine/>
    <w:qFormat/>
    <w:uiPriority w:val="0"/>
    <w:rPr>
      <w:lang w:eastAsia="en-US"/>
    </w:rPr>
  </w:style>
  <w:style w:type="character" w:customStyle="1" w:styleId="96">
    <w:name w:val="time"/>
    <w:autoRedefine/>
    <w:qFormat/>
    <w:uiPriority w:val="0"/>
    <w:rPr>
      <w:lang w:eastAsia="en-US"/>
    </w:rPr>
  </w:style>
  <w:style w:type="character" w:customStyle="1" w:styleId="97">
    <w:name w:val="s1"/>
    <w:autoRedefine/>
    <w:qFormat/>
    <w:uiPriority w:val="0"/>
    <w:rPr>
      <w:color w:val="FFFF00"/>
      <w:sz w:val="72"/>
      <w:szCs w:val="72"/>
      <w:lang w:eastAsia="en-US"/>
    </w:rPr>
  </w:style>
  <w:style w:type="character" w:customStyle="1" w:styleId="98">
    <w:name w:val="time2"/>
    <w:autoRedefine/>
    <w:qFormat/>
    <w:uiPriority w:val="0"/>
    <w:rPr>
      <w:lang w:eastAsia="en-US"/>
    </w:rPr>
  </w:style>
  <w:style w:type="character" w:customStyle="1" w:styleId="99">
    <w:name w:val="layui-laypage-curr"/>
    <w:autoRedefine/>
    <w:qFormat/>
    <w:uiPriority w:val="0"/>
    <w:rPr>
      <w:lang w:eastAsia="en-US"/>
    </w:rPr>
  </w:style>
  <w:style w:type="character" w:customStyle="1" w:styleId="100">
    <w:name w:val="service4"/>
    <w:autoRedefine/>
    <w:qFormat/>
    <w:uiPriority w:val="0"/>
    <w:rPr>
      <w:lang w:eastAsia="en-US"/>
    </w:rPr>
  </w:style>
  <w:style w:type="character" w:customStyle="1" w:styleId="101">
    <w:name w:val="intro"/>
    <w:autoRedefine/>
    <w:qFormat/>
    <w:uiPriority w:val="0"/>
    <w:rPr>
      <w:lang w:eastAsia="en-US"/>
    </w:rPr>
  </w:style>
  <w:style w:type="character" w:customStyle="1" w:styleId="102">
    <w:name w:val="govopenwork"/>
    <w:autoRedefine/>
    <w:qFormat/>
    <w:uiPriority w:val="0"/>
    <w:rPr>
      <w:lang w:eastAsia="en-US"/>
    </w:rPr>
  </w:style>
  <w:style w:type="character" w:customStyle="1" w:styleId="103">
    <w:name w:val="fontstrikethrough"/>
    <w:autoRedefine/>
    <w:qFormat/>
    <w:uiPriority w:val="0"/>
    <w:rPr>
      <w:strike/>
      <w:lang w:eastAsia="en-US"/>
    </w:rPr>
  </w:style>
  <w:style w:type="character" w:customStyle="1" w:styleId="104">
    <w:name w:val="hit"/>
    <w:autoRedefine/>
    <w:qFormat/>
    <w:uiPriority w:val="0"/>
    <w:rPr>
      <w:lang w:eastAsia="en-US"/>
    </w:rPr>
  </w:style>
  <w:style w:type="character" w:customStyle="1" w:styleId="105">
    <w:name w:val="invest2"/>
    <w:autoRedefine/>
    <w:qFormat/>
    <w:uiPriority w:val="0"/>
    <w:rPr>
      <w:lang w:eastAsia="en-US"/>
    </w:rPr>
  </w:style>
  <w:style w:type="character" w:customStyle="1" w:styleId="106">
    <w:name w:val="hover12"/>
    <w:autoRedefine/>
    <w:qFormat/>
    <w:uiPriority w:val="0"/>
    <w:rPr>
      <w:color w:val="FF6600"/>
      <w:lang w:eastAsia="en-US"/>
    </w:rPr>
  </w:style>
  <w:style w:type="character" w:customStyle="1" w:styleId="107">
    <w:name w:val="hover26"/>
    <w:autoRedefine/>
    <w:qFormat/>
    <w:uiPriority w:val="0"/>
    <w:rPr>
      <w:lang w:eastAsia="en-US"/>
    </w:rPr>
  </w:style>
  <w:style w:type="character" w:customStyle="1" w:styleId="108">
    <w:name w:val="govpencatalog"/>
    <w:autoRedefine/>
    <w:qFormat/>
    <w:uiPriority w:val="0"/>
    <w:rPr>
      <w:lang w:eastAsia="en-US"/>
    </w:rPr>
  </w:style>
  <w:style w:type="paragraph" w:customStyle="1" w:styleId="109">
    <w:name w:val="zw"/>
    <w:basedOn w:val="1"/>
    <w:autoRedefine/>
    <w:qFormat/>
    <w:uiPriority w:val="0"/>
    <w:pPr>
      <w:shd w:val="clear" w:color="auto" w:fill="FFFFFF"/>
      <w:adjustRightInd w:val="0"/>
      <w:snapToGrid w:val="0"/>
      <w:spacing w:line="360" w:lineRule="auto"/>
      <w:ind w:firstLine="200" w:firstLineChars="200"/>
    </w:pPr>
    <w:rPr>
      <w:snapToGrid w:val="0"/>
      <w:kern w:val="0"/>
      <w:sz w:val="24"/>
    </w:rPr>
  </w:style>
  <w:style w:type="paragraph" w:customStyle="1" w:styleId="110">
    <w:name w:val="报告书的正文格式"/>
    <w:basedOn w:val="29"/>
    <w:autoRedefine/>
    <w:qFormat/>
    <w:uiPriority w:val="0"/>
    <w:pPr>
      <w:spacing w:line="480" w:lineRule="exact"/>
      <w:ind w:firstLine="200"/>
    </w:pPr>
    <w:rPr>
      <w:kern w:val="0"/>
    </w:rPr>
  </w:style>
  <w:style w:type="paragraph" w:customStyle="1" w:styleId="111">
    <w:name w:val="样式 首行缩进:  0.99 厘米1"/>
    <w:basedOn w:val="1"/>
    <w:autoRedefine/>
    <w:qFormat/>
    <w:uiPriority w:val="0"/>
    <w:pPr>
      <w:adjustRightInd w:val="0"/>
      <w:snapToGrid w:val="0"/>
      <w:spacing w:line="360" w:lineRule="auto"/>
      <w:ind w:firstLine="561"/>
    </w:pPr>
    <w:rPr>
      <w:rFonts w:eastAsia="仿宋_GB2312" w:cs="宋体"/>
      <w:sz w:val="28"/>
      <w:szCs w:val="20"/>
    </w:rPr>
  </w:style>
  <w:style w:type="paragraph" w:customStyle="1" w:styleId="112">
    <w:name w:val="aa正文 Char Char"/>
    <w:basedOn w:val="1"/>
    <w:autoRedefine/>
    <w:qFormat/>
    <w:uiPriority w:val="0"/>
    <w:pPr>
      <w:spacing w:line="500" w:lineRule="exact"/>
      <w:ind w:firstLine="561"/>
    </w:pPr>
  </w:style>
  <w:style w:type="paragraph" w:customStyle="1" w:styleId="113">
    <w:name w:val="Normal_0_0"/>
    <w:autoRedefine/>
    <w:qFormat/>
    <w:uiPriority w:val="0"/>
    <w:pPr>
      <w:widowControl w:val="0"/>
      <w:spacing w:line="360" w:lineRule="auto"/>
      <w:ind w:firstLine="200" w:firstLineChars="200"/>
      <w:jc w:val="both"/>
    </w:pPr>
    <w:rPr>
      <w:rFonts w:ascii="Times New Roman" w:hAnsi="Times New Roman" w:eastAsia="仿宋" w:cs="Times New Roman"/>
      <w:kern w:val="2"/>
      <w:sz w:val="28"/>
      <w:szCs w:val="21"/>
      <w:lang w:val="en-US" w:eastAsia="zh-CN" w:bidi="ar-SA"/>
    </w:rPr>
  </w:style>
  <w:style w:type="paragraph" w:customStyle="1" w:styleId="114">
    <w:name w:val="样式1"/>
    <w:basedOn w:val="22"/>
    <w:next w:val="1"/>
    <w:autoRedefine/>
    <w:qFormat/>
    <w:uiPriority w:val="0"/>
    <w:rPr>
      <w:rFonts w:ascii="Times New Roman"/>
      <w:b w:val="0"/>
      <w:sz w:val="30"/>
      <w:szCs w:val="30"/>
    </w:rPr>
  </w:style>
  <w:style w:type="paragraph" w:styleId="115">
    <w:name w:val="List Paragraph"/>
    <w:basedOn w:val="1"/>
    <w:autoRedefine/>
    <w:qFormat/>
    <w:uiPriority w:val="0"/>
    <w:pPr>
      <w:ind w:firstLine="420" w:firstLineChars="200"/>
    </w:pPr>
  </w:style>
  <w:style w:type="paragraph" w:customStyle="1" w:styleId="116">
    <w:name w:val="标题4"/>
    <w:basedOn w:val="12"/>
    <w:autoRedefine/>
    <w:qFormat/>
    <w:uiPriority w:val="0"/>
    <w:pPr>
      <w:snapToGrid w:val="0"/>
      <w:spacing w:line="360" w:lineRule="auto"/>
    </w:pPr>
    <w:rPr>
      <w:rFonts w:ascii="宋体"/>
      <w:b/>
      <w:sz w:val="28"/>
    </w:rPr>
  </w:style>
  <w:style w:type="paragraph" w:customStyle="1" w:styleId="117">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118">
    <w:name w:val="样式 样式 正文缩进s4标题4表正文正文非缩进图标题段1Body Text(ch)缩进ALT+Z特点四号正文不... + 首行缩..."/>
    <w:basedOn w:val="1"/>
    <w:autoRedefine/>
    <w:qFormat/>
    <w:uiPriority w:val="0"/>
    <w:pPr>
      <w:ind w:firstLine="480" w:firstLineChars="200"/>
    </w:pPr>
    <w:rPr>
      <w:rFonts w:ascii="宋体" w:hAnsi="宋体" w:eastAsia="仿宋_GB2312" w:cs="宋体"/>
      <w:kern w:val="0"/>
      <w:sz w:val="24"/>
      <w:szCs w:val="20"/>
    </w:rPr>
  </w:style>
  <w:style w:type="paragraph" w:customStyle="1" w:styleId="119">
    <w:name w:val="样式 正文 + 首行缩进:  2 字符 + 宋体"/>
    <w:basedOn w:val="1"/>
    <w:autoRedefine/>
    <w:qFormat/>
    <w:uiPriority w:val="0"/>
    <w:pPr>
      <w:tabs>
        <w:tab w:val="left" w:pos="2940"/>
      </w:tabs>
      <w:adjustRightInd w:val="0"/>
      <w:snapToGrid w:val="0"/>
      <w:spacing w:beforeLines="30" w:line="360" w:lineRule="auto"/>
      <w:ind w:firstLine="480" w:firstLineChars="200"/>
    </w:pPr>
    <w:rPr>
      <w:sz w:val="24"/>
      <w:szCs w:val="20"/>
    </w:rPr>
  </w:style>
  <w:style w:type="paragraph" w:customStyle="1" w:styleId="120">
    <w:name w:val="样式 正文缩进s4标题4表正文正文非缩进图标题段1Body Text(ch)缩进ALT+Z特点四号正文不...2"/>
    <w:basedOn w:val="7"/>
    <w:autoRedefine/>
    <w:qFormat/>
    <w:uiPriority w:val="0"/>
    <w:pPr>
      <w:adjustRightInd w:val="0"/>
      <w:snapToGrid w:val="0"/>
      <w:spacing w:line="360" w:lineRule="auto"/>
      <w:ind w:firstLine="560"/>
    </w:pPr>
    <w:rPr>
      <w:rFonts w:ascii="仿宋_GB2312"/>
      <w:kern w:val="16"/>
      <w:sz w:val="24"/>
    </w:rPr>
  </w:style>
  <w:style w:type="paragraph" w:customStyle="1" w:styleId="121">
    <w:name w:val="已有表格"/>
    <w:basedOn w:val="1"/>
    <w:autoRedefine/>
    <w:qFormat/>
    <w:uiPriority w:val="0"/>
    <w:pPr>
      <w:spacing w:before="40" w:after="40"/>
      <w:jc w:val="center"/>
    </w:pPr>
    <w:rPr>
      <w:b/>
    </w:rPr>
  </w:style>
  <w:style w:type="paragraph" w:customStyle="1" w:styleId="122">
    <w:name w:val="应填表格"/>
    <w:basedOn w:val="121"/>
    <w:autoRedefine/>
    <w:qFormat/>
    <w:uiPriority w:val="0"/>
    <w:pPr>
      <w:jc w:val="left"/>
    </w:pPr>
    <w:rPr>
      <w:b w:val="0"/>
    </w:rPr>
  </w:style>
  <w:style w:type="paragraph" w:customStyle="1" w:styleId="123">
    <w:name w:val="二级标题"/>
    <w:basedOn w:val="3"/>
    <w:autoRedefine/>
    <w:qFormat/>
    <w:uiPriority w:val="0"/>
    <w:pPr>
      <w:keepNext w:val="0"/>
      <w:keepLines w:val="0"/>
      <w:widowControl/>
      <w:adjustRightInd w:val="0"/>
      <w:spacing w:after="50" w:afterLines="50" w:line="360" w:lineRule="auto"/>
      <w:jc w:val="left"/>
      <w:textAlignment w:val="baseline"/>
    </w:pPr>
    <w:rPr>
      <w:kern w:val="0"/>
    </w:rPr>
  </w:style>
  <w:style w:type="paragraph" w:customStyle="1" w:styleId="124">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5">
    <w:name w:val="Default"/>
    <w:next w:val="114"/>
    <w:link w:val="126"/>
    <w:autoRedefine/>
    <w:qFormat/>
    <w:uiPriority w:val="0"/>
    <w:pPr>
      <w:widowControl w:val="0"/>
      <w:autoSpaceDE w:val="0"/>
      <w:autoSpaceDN w:val="0"/>
      <w:adjustRightInd w:val="0"/>
      <w:spacing w:line="360" w:lineRule="auto"/>
      <w:ind w:firstLine="480" w:firstLineChars="200"/>
      <w:jc w:val="both"/>
    </w:pPr>
    <w:rPr>
      <w:rFonts w:ascii="Times New Roman" w:hAnsi="Times New Roman" w:eastAsia="宋体" w:cs="Times New Roman"/>
      <w:color w:val="000000"/>
      <w:sz w:val="24"/>
      <w:szCs w:val="24"/>
      <w:lang w:val="en-US" w:eastAsia="zh-CN" w:bidi="ar-SA"/>
    </w:rPr>
  </w:style>
  <w:style w:type="character" w:customStyle="1" w:styleId="126">
    <w:name w:val="Default Char Char"/>
    <w:link w:val="125"/>
    <w:qFormat/>
    <w:locked/>
    <w:uiPriority w:val="0"/>
    <w:rPr>
      <w:color w:val="000000"/>
      <w:sz w:val="24"/>
      <w:szCs w:val="24"/>
    </w:rPr>
  </w:style>
  <w:style w:type="paragraph" w:styleId="127">
    <w:name w:val="No Spacing"/>
    <w:autoRedefine/>
    <w:qFormat/>
    <w:uiPriority w:val="1"/>
    <w:pPr>
      <w:widowControl w:val="0"/>
      <w:adjustRightInd w:val="0"/>
      <w:snapToGrid w:val="0"/>
      <w:spacing w:line="20" w:lineRule="atLeast"/>
      <w:jc w:val="center"/>
    </w:pPr>
    <w:rPr>
      <w:rFonts w:ascii="Times New Roman" w:hAnsi="Times New Roman" w:eastAsia="宋体" w:cs="Times New Roman"/>
      <w:kern w:val="2"/>
      <w:sz w:val="21"/>
      <w:szCs w:val="22"/>
      <w:lang w:val="en-US" w:eastAsia="zh-CN" w:bidi="ar-SA"/>
    </w:rPr>
  </w:style>
  <w:style w:type="paragraph" w:customStyle="1" w:styleId="128">
    <w:name w:val="段落1"/>
    <w:basedOn w:val="1"/>
    <w:autoRedefine/>
    <w:qFormat/>
    <w:uiPriority w:val="0"/>
    <w:pPr>
      <w:spacing w:line="480" w:lineRule="exact"/>
      <w:ind w:firstLine="200" w:firstLineChars="200"/>
    </w:pPr>
    <w:rPr>
      <w:sz w:val="28"/>
    </w:rPr>
  </w:style>
  <w:style w:type="paragraph" w:customStyle="1" w:styleId="129">
    <w:name w:val="a"/>
    <w:basedOn w:val="1"/>
    <w:autoRedefine/>
    <w:qFormat/>
    <w:uiPriority w:val="0"/>
    <w:pPr>
      <w:spacing w:line="540" w:lineRule="exact"/>
      <w:ind w:firstLine="200" w:firstLineChars="200"/>
    </w:pPr>
    <w:rPr>
      <w:rFonts w:ascii="宋体" w:hAnsi="宋体"/>
      <w:b/>
      <w:bCs/>
      <w:sz w:val="28"/>
      <w:szCs w:val="21"/>
    </w:rPr>
  </w:style>
  <w:style w:type="paragraph" w:customStyle="1" w:styleId="130">
    <w:name w:val="样式 正文缩进s4标题4表正文正文非缩进图标题段1Body Text(ch)缩进ALT+Z特点四号正文不...3"/>
    <w:basedOn w:val="7"/>
    <w:autoRedefine/>
    <w:qFormat/>
    <w:uiPriority w:val="0"/>
    <w:pPr>
      <w:ind w:firstLine="200" w:firstLineChars="200"/>
    </w:pPr>
    <w:rPr>
      <w:rFonts w:ascii="宋体" w:hAnsi="宋体" w:cs="宋体"/>
      <w:sz w:val="24"/>
    </w:rPr>
  </w:style>
  <w:style w:type="table" w:customStyle="1" w:styleId="131">
    <w:name w:val="Table Grid_0"/>
    <w:basedOn w:val="31"/>
    <w:autoRedefine/>
    <w:qFormat/>
    <w:uiPriority w:val="0"/>
    <w:rPr>
      <w:rFonts w:eastAsia="仿宋"/>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2">
    <w:name w:val="图标标题"/>
    <w:basedOn w:val="24"/>
    <w:link w:val="133"/>
    <w:autoRedefine/>
    <w:qFormat/>
    <w:uiPriority w:val="0"/>
    <w:pPr>
      <w:ind w:left="0" w:leftChars="0" w:firstLine="0" w:firstLineChars="0"/>
      <w:jc w:val="center"/>
    </w:pPr>
    <w:rPr>
      <w:bCs/>
      <w:kern w:val="0"/>
      <w:sz w:val="24"/>
    </w:rPr>
  </w:style>
  <w:style w:type="character" w:customStyle="1" w:styleId="133">
    <w:name w:val="图标标题 Char"/>
    <w:link w:val="132"/>
    <w:autoRedefine/>
    <w:qFormat/>
    <w:uiPriority w:val="0"/>
    <w:rPr>
      <w:bCs/>
      <w:sz w:val="24"/>
      <w:szCs w:val="24"/>
    </w:rPr>
  </w:style>
  <w:style w:type="paragraph" w:customStyle="1" w:styleId="134">
    <w:name w:val="正文 New New New New New New New New New New New New New New New New New New New New New New New New New New New New New New New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5">
    <w:name w:val="正文 New New New New New New New New New New New New New New New New New New New New New New New New New New New New New New New"/>
    <w:next w:val="136"/>
    <w:autoRedefine/>
    <w:qFormat/>
    <w:uiPriority w:val="0"/>
    <w:pPr>
      <w:widowControl w:val="0"/>
      <w:ind w:firstLine="560" w:firstLineChars="200"/>
    </w:pPr>
    <w:rPr>
      <w:rFonts w:ascii="Times New Roman" w:hAnsi="Times New Roman" w:eastAsia="黑体" w:cs="Times New Roman"/>
      <w:kern w:val="2"/>
      <w:sz w:val="21"/>
      <w:lang w:val="en-US" w:eastAsia="zh-CN" w:bidi="ar-SA"/>
    </w:rPr>
  </w:style>
  <w:style w:type="paragraph" w:customStyle="1" w:styleId="136">
    <w:name w:val="正文首行缩进 2 New New New New"/>
    <w:basedOn w:val="11"/>
    <w:autoRedefine/>
    <w:qFormat/>
    <w:uiPriority w:val="0"/>
    <w:pPr>
      <w:ind w:firstLine="420" w:firstLineChars="200"/>
    </w:pPr>
  </w:style>
  <w:style w:type="table" w:customStyle="1" w:styleId="137">
    <w:name w:val="Table Normal"/>
    <w:autoRedefine/>
    <w:unhideWhenUsed/>
    <w:qFormat/>
    <w:uiPriority w:val="0"/>
    <w:tblPr>
      <w:tblCellMar>
        <w:top w:w="0" w:type="dxa"/>
        <w:left w:w="0" w:type="dxa"/>
        <w:bottom w:w="0" w:type="dxa"/>
        <w:right w:w="0" w:type="dxa"/>
      </w:tblCellMar>
    </w:tblPr>
  </w:style>
  <w:style w:type="character" w:customStyle="1" w:styleId="138">
    <w:name w:val="font01"/>
    <w:basedOn w:val="33"/>
    <w:autoRedefine/>
    <w:qFormat/>
    <w:uiPriority w:val="0"/>
    <w:rPr>
      <w:rFonts w:hint="default" w:ascii="Times New Roman" w:hAnsi="Times New Roman" w:cs="Times New Roman"/>
      <w:color w:val="000000"/>
      <w:sz w:val="21"/>
      <w:szCs w:val="21"/>
      <w:u w:val="none"/>
    </w:rPr>
  </w:style>
  <w:style w:type="character" w:customStyle="1" w:styleId="139">
    <w:name w:val="font21"/>
    <w:basedOn w:val="33"/>
    <w:autoRedefine/>
    <w:qFormat/>
    <w:uiPriority w:val="0"/>
    <w:rPr>
      <w:rFonts w:hint="eastAsia" w:ascii="宋体" w:hAnsi="宋体" w:eastAsia="宋体" w:cs="宋体"/>
      <w:color w:val="000000"/>
      <w:sz w:val="21"/>
      <w:szCs w:val="21"/>
      <w:u w:val="none"/>
    </w:rPr>
  </w:style>
  <w:style w:type="character" w:customStyle="1" w:styleId="140">
    <w:name w:val="font31"/>
    <w:basedOn w:val="33"/>
    <w:autoRedefine/>
    <w:qFormat/>
    <w:uiPriority w:val="0"/>
    <w:rPr>
      <w:rFonts w:hint="default" w:ascii="Times New Roman" w:hAnsi="Times New Roman" w:cs="Times New Roman"/>
      <w:color w:val="000000"/>
      <w:sz w:val="21"/>
      <w:szCs w:val="21"/>
      <w:u w:val="none"/>
      <w:vertAlign w:val="superscript"/>
    </w:rPr>
  </w:style>
  <w:style w:type="paragraph" w:customStyle="1" w:styleId="141">
    <w:name w:val="Table Text"/>
    <w:basedOn w:val="1"/>
    <w:autoRedefine/>
    <w:semiHidden/>
    <w:qFormat/>
    <w:uiPriority w:val="0"/>
    <w:rPr>
      <w:rFonts w:ascii="宋体" w:hAnsi="宋体" w:cs="宋体"/>
      <w:szCs w:val="21"/>
      <w:lang w:eastAsia="en-US"/>
    </w:rPr>
  </w:style>
  <w:style w:type="character" w:customStyle="1" w:styleId="142">
    <w:name w:val="font11"/>
    <w:basedOn w:val="33"/>
    <w:autoRedefine/>
    <w:qFormat/>
    <w:uiPriority w:val="0"/>
    <w:rPr>
      <w:rFonts w:hint="eastAsia" w:ascii="宋体" w:hAnsi="宋体" w:eastAsia="宋体" w:cs="宋体"/>
      <w:color w:val="000000"/>
      <w:sz w:val="21"/>
      <w:szCs w:val="21"/>
      <w:u w:val="none"/>
    </w:rPr>
  </w:style>
  <w:style w:type="paragraph" w:customStyle="1" w:styleId="143">
    <w:name w:val="表格标题"/>
    <w:basedOn w:val="1"/>
    <w:autoRedefine/>
    <w:qFormat/>
    <w:uiPriority w:val="0"/>
    <w:pPr>
      <w:jc w:val="center"/>
    </w:pPr>
    <w:rPr>
      <w:b/>
      <w:sz w:val="24"/>
    </w:rPr>
  </w:style>
  <w:style w:type="paragraph" w:customStyle="1" w:styleId="144">
    <w:name w:val="表格内容"/>
    <w:basedOn w:val="1"/>
    <w:next w:val="10"/>
    <w:autoRedefine/>
    <w:qFormat/>
    <w:uiPriority w:val="0"/>
    <w:pPr>
      <w:adjustRightInd w:val="0"/>
      <w:snapToGrid w:val="0"/>
    </w:pPr>
    <w:rPr>
      <w:szCs w:val="21"/>
    </w:rPr>
  </w:style>
  <w:style w:type="paragraph" w:customStyle="1" w:styleId="145">
    <w:name w:val="正文内容"/>
    <w:basedOn w:val="1"/>
    <w:autoRedefine/>
    <w:qFormat/>
    <w:uiPriority w:val="0"/>
    <w:pPr>
      <w:ind w:firstLine="200" w:firstLineChars="200"/>
    </w:pPr>
  </w:style>
  <w:style w:type="paragraph" w:customStyle="1" w:styleId="146">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147">
    <w:name w:val="正文 首行缩进:  2 字符"/>
    <w:basedOn w:val="1"/>
    <w:qFormat/>
    <w:uiPriority w:val="0"/>
    <w:pPr>
      <w:suppressAutoHyphens/>
      <w:ind w:firstLine="579" w:firstLineChars="200"/>
    </w:pPr>
    <w:rPr>
      <w:rFonts w:cs="宋体"/>
      <w:kern w:val="1"/>
      <w:szCs w:val="21"/>
      <w:lang w:eastAsia="ar-SA"/>
    </w:rPr>
  </w:style>
  <w:style w:type="paragraph" w:customStyle="1" w:styleId="148">
    <w:name w:val="报告表  段"/>
    <w:basedOn w:val="1"/>
    <w:qFormat/>
    <w:uiPriority w:val="0"/>
    <w:pPr>
      <w:adjustRightInd w:val="0"/>
      <w:spacing w:line="360" w:lineRule="auto"/>
      <w:ind w:firstLine="505"/>
      <w:textAlignment w:val="baseline"/>
    </w:pPr>
    <w:rPr>
      <w:rFonts w:ascii="宋体" w:cs="宋体"/>
      <w:bCs/>
      <w:sz w:val="24"/>
      <w:szCs w:val="21"/>
    </w:rPr>
  </w:style>
  <w:style w:type="paragraph" w:customStyle="1" w:styleId="149">
    <w:name w:val="表格正文"/>
    <w:basedOn w:val="1"/>
    <w:qFormat/>
    <w:uiPriority w:val="0"/>
    <w:pPr>
      <w:spacing w:line="240" w:lineRule="atLeast"/>
      <w:jc w:val="center"/>
    </w:pPr>
    <w:rPr>
      <w:szCs w:val="21"/>
    </w:rPr>
  </w:style>
  <w:style w:type="table" w:customStyle="1" w:styleId="150">
    <w:name w:val="表格样式2"/>
    <w:basedOn w:val="31"/>
    <w:qFormat/>
    <w:uiPriority w:val="0"/>
    <w:pPr>
      <w:jc w:val="center"/>
    </w:pPr>
    <w:rPr>
      <w:rFonts w:eastAsia="Times New Roman"/>
    </w:rPr>
    <w:tblPr>
      <w:tblBorders>
        <w:top w:val="single" w:color="auto" w:sz="12" w:space="0"/>
        <w:bottom w:val="single" w:color="auto" w:sz="12" w:space="0"/>
        <w:insideH w:val="single" w:color="auto" w:sz="4" w:space="0"/>
        <w:insideV w:val="single" w:color="auto" w:sz="4" w:space="0"/>
      </w:tblBorders>
    </w:tblPr>
    <w:tcPr>
      <w:vAlign w:val="center"/>
    </w:tcPr>
    <w:tblStylePr w:type="firstRow">
      <w:rPr>
        <w:rFonts w:hint="default" w:ascii="Times New Roman" w:hAnsi="Times New Roman" w:eastAsia="宋体" w:cs="Times New Roman"/>
        <w:b/>
        <w:i w:val="0"/>
        <w:sz w:val="21"/>
        <w:szCs w:val="21"/>
      </w:rPr>
    </w:tblStylePr>
  </w:style>
  <w:style w:type="paragraph" w:customStyle="1" w:styleId="151">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2">
    <w:name w:val="报告正文"/>
    <w:basedOn w:val="1"/>
    <w:qFormat/>
    <w:uiPriority w:val="0"/>
    <w:pPr>
      <w:spacing w:line="360" w:lineRule="auto"/>
      <w:ind w:firstLine="200" w:firstLineChars="200"/>
    </w:pPr>
    <w:rPr>
      <w:sz w:val="24"/>
    </w:rPr>
  </w:style>
  <w:style w:type="paragraph" w:customStyle="1" w:styleId="153">
    <w:name w:val="图表名称"/>
    <w:basedOn w:val="29"/>
    <w:next w:val="1"/>
    <w:qFormat/>
    <w:uiPriority w:val="0"/>
    <w:pPr>
      <w:adjustRightInd w:val="0"/>
      <w:spacing w:before="100" w:beforeAutospacing="1" w:after="120" w:line="240" w:lineRule="auto"/>
      <w:ind w:firstLine="0" w:firstLineChars="0"/>
      <w:jc w:val="center"/>
    </w:pPr>
    <w:rPr>
      <w:b/>
      <w:bCs/>
    </w:rPr>
  </w:style>
  <w:style w:type="paragraph" w:customStyle="1" w:styleId="154">
    <w:name w:val="正文2"/>
    <w:basedOn w:val="1"/>
    <w:qFormat/>
    <w:uiPriority w:val="0"/>
    <w:pPr>
      <w:widowControl/>
    </w:pPr>
    <w:rPr>
      <w:rFonts w:ascii="微软雅黑" w:hAnsi="微软雅黑" w:cs="宋体"/>
      <w:szCs w:val="21"/>
    </w:rPr>
  </w:style>
  <w:style w:type="paragraph" w:customStyle="1" w:styleId="155">
    <w:name w:val="列出段落1"/>
    <w:basedOn w:val="1"/>
    <w:qFormat/>
    <w:uiPriority w:val="0"/>
    <w:pPr>
      <w:ind w:firstLine="420" w:firstLineChars="200"/>
    </w:pPr>
    <w:rPr>
      <w:szCs w:val="21"/>
    </w:rPr>
  </w:style>
  <w:style w:type="paragraph" w:customStyle="1" w:styleId="156">
    <w:name w:val="正文3"/>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customXml" Target="../customXml/item2.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jpe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jpe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wmf"/><Relationship Id="rId14" Type="http://schemas.openxmlformats.org/officeDocument/2006/relationships/image" Target="media/image6.wmf"/><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12700">
          <a:solidFill>
            <a:srgbClr val="21F73A"/>
          </a:solidFill>
        </a:ln>
      </a:spPr>
      <a:bodyPr rtlCol="0" anchor="ctr"/>
      <a:lstStyle/>
      <a:style>
        <a:lnRef idx="2">
          <a:schemeClr val="accent1">
            <a:shade val="15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2325DC-5F54-40EC-B3DA-C31F70A9EFD3}">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97</Pages>
  <Words>43</Words>
  <Characters>77</Characters>
  <Lines>544</Lines>
  <Paragraphs>153</Paragraphs>
  <TotalTime>25</TotalTime>
  <ScaleCrop>false</ScaleCrop>
  <LinksUpToDate>false</LinksUpToDate>
  <CharactersWithSpaces>77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cp:lastModifiedBy>
  <cp:lastPrinted>2021-07-30T07:25:00Z</cp:lastPrinted>
  <dcterms:modified xsi:type="dcterms:W3CDTF">2025-09-26T06:58:03Z</dcterms:modified>
  <dc:title>附件2</dc:title>
  <cp:revision>195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5E490FB005C54396BF7C6CBC84502797_13</vt:lpwstr>
  </property>
  <property fmtid="{D5CDD505-2E9C-101B-9397-08002B2CF9AE}" pid="4" name="KSOTemplateDocerSaveRecord">
    <vt:lpwstr>eyJoZGlkIjoiZDVhNzEzODBmOThhNjcxNWYyMmFkZmI0Mzg2MjNmMjgiLCJ1c2VySWQiOiI0MTgxMjE5NzMifQ==</vt:lpwstr>
  </property>
</Properties>
</file>