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9259BD">
      <w:pPr>
        <w:spacing w:line="240" w:lineRule="auto"/>
        <w:ind w:firstLine="0" w:firstLineChars="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附件1</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1E16355">
      <w:pPr>
        <w:spacing w:line="240" w:lineRule="auto"/>
        <w:ind w:firstLine="0" w:firstLineChars="0"/>
        <w:jc w:val="center"/>
        <w:rPr>
          <w:rFonts w:ascii="仿宋" w:hAnsi="仿宋" w:eastAsia="仿宋" w:cs="Times New Roman"/>
          <w:color w:val="000000" w:themeColor="text1"/>
          <w:highlight w:val="none"/>
          <w14:textFill>
            <w14:solidFill>
              <w14:schemeClr w14:val="tx1"/>
            </w14:solidFill>
          </w14:textFill>
        </w:rPr>
      </w:pPr>
    </w:p>
    <w:p w14:paraId="6AB60B60">
      <w:pPr>
        <w:spacing w:line="240" w:lineRule="auto"/>
        <w:ind w:firstLine="0" w:firstLineChars="0"/>
        <w:jc w:val="center"/>
        <w:rPr>
          <w:rFonts w:ascii="仿宋" w:hAnsi="仿宋" w:eastAsia="仿宋" w:cs="Times New Roman"/>
          <w:color w:val="000000" w:themeColor="text1"/>
          <w:highlight w:val="none"/>
          <w14:textFill>
            <w14:solidFill>
              <w14:schemeClr w14:val="tx1"/>
            </w14:solidFill>
          </w14:textFill>
        </w:rPr>
      </w:pPr>
    </w:p>
    <w:p w14:paraId="0E82D702">
      <w:pPr>
        <w:spacing w:line="240" w:lineRule="auto"/>
        <w:ind w:firstLine="0" w:firstLineChars="0"/>
        <w:jc w:val="center"/>
        <w:rPr>
          <w:rFonts w:ascii="仿宋" w:hAnsi="仿宋" w:eastAsia="仿宋" w:cs="方正小标宋简体"/>
          <w:sz w:val="52"/>
          <w:szCs w:val="52"/>
          <w:highlight w:val="none"/>
        </w:rPr>
      </w:pPr>
      <w:r>
        <w:rPr>
          <w:rFonts w:hint="eastAsia" w:ascii="仿宋" w:hAnsi="仿宋" w:eastAsia="仿宋" w:cs="方正小标宋简体"/>
          <w:sz w:val="52"/>
          <w:szCs w:val="52"/>
          <w:highlight w:val="none"/>
        </w:rPr>
        <w:t>博罗县医共体病理中心</w:t>
      </w:r>
    </w:p>
    <w:p w14:paraId="38EA8922">
      <w:pPr>
        <w:spacing w:line="240" w:lineRule="auto"/>
        <w:ind w:firstLine="0" w:firstLineChars="0"/>
        <w:jc w:val="center"/>
        <w:rPr>
          <w:rFonts w:ascii="仿宋" w:hAnsi="仿宋" w:eastAsia="仿宋" w:cs="方正小标宋简体"/>
          <w:sz w:val="52"/>
          <w:szCs w:val="52"/>
          <w:highlight w:val="none"/>
        </w:rPr>
      </w:pPr>
    </w:p>
    <w:p w14:paraId="31996B5E">
      <w:pPr>
        <w:spacing w:line="240" w:lineRule="auto"/>
        <w:ind w:firstLine="0" w:firstLineChars="0"/>
        <w:jc w:val="center"/>
        <w:rPr>
          <w:rFonts w:ascii="仿宋" w:hAnsi="仿宋" w:eastAsia="仿宋" w:cs="Times New Roman"/>
          <w:color w:val="000000" w:themeColor="text1"/>
          <w:highlight w:val="none"/>
          <w14:textFill>
            <w14:solidFill>
              <w14:schemeClr w14:val="tx1"/>
            </w14:solidFill>
          </w14:textFill>
        </w:rPr>
      </w:pPr>
    </w:p>
    <w:p w14:paraId="48B807AA">
      <w:pPr>
        <w:spacing w:line="240" w:lineRule="auto"/>
        <w:ind w:firstLine="0" w:firstLineChars="0"/>
        <w:jc w:val="center"/>
        <w:rPr>
          <w:rFonts w:ascii="仿宋" w:hAnsi="仿宋" w:eastAsia="仿宋" w:cs="Times New Roman"/>
          <w:color w:val="000000" w:themeColor="text1"/>
          <w:highlight w:val="none"/>
          <w14:textFill>
            <w14:solidFill>
              <w14:schemeClr w14:val="tx1"/>
            </w14:solidFill>
          </w14:textFill>
        </w:rPr>
      </w:pPr>
    </w:p>
    <w:p w14:paraId="52486FA8">
      <w:pPr>
        <w:spacing w:line="240" w:lineRule="auto"/>
        <w:ind w:firstLine="0" w:firstLineChars="0"/>
        <w:jc w:val="center"/>
        <w:rPr>
          <w:rFonts w:ascii="仿宋" w:hAnsi="仿宋" w:eastAsia="仿宋" w:cs="Times New Roman"/>
          <w:color w:val="000000" w:themeColor="text1"/>
          <w:highlight w:val="none"/>
          <w14:textFill>
            <w14:solidFill>
              <w14:schemeClr w14:val="tx1"/>
            </w14:solidFill>
          </w14:textFill>
        </w:rPr>
      </w:pPr>
    </w:p>
    <w:p w14:paraId="784B2BBD">
      <w:pPr>
        <w:spacing w:line="240" w:lineRule="auto"/>
        <w:ind w:firstLine="0" w:firstLineChars="0"/>
        <w:jc w:val="center"/>
        <w:rPr>
          <w:rFonts w:ascii="仿宋" w:hAnsi="仿宋" w:eastAsia="仿宋" w:cs="Times New Roman"/>
          <w:color w:val="000000" w:themeColor="text1"/>
          <w:highlight w:val="none"/>
          <w14:textFill>
            <w14:solidFill>
              <w14:schemeClr w14:val="tx1"/>
            </w14:solidFill>
          </w14:textFill>
        </w:rPr>
      </w:pPr>
    </w:p>
    <w:p w14:paraId="2A115D8A">
      <w:pPr>
        <w:spacing w:line="240" w:lineRule="auto"/>
        <w:ind w:firstLine="0" w:firstLineChars="0"/>
        <w:jc w:val="center"/>
        <w:rPr>
          <w:rFonts w:ascii="仿宋" w:hAnsi="仿宋" w:eastAsia="仿宋" w:cs="Times New Roman"/>
          <w:color w:val="000000" w:themeColor="text1"/>
          <w:highlight w:val="none"/>
          <w14:textFill>
            <w14:solidFill>
              <w14:schemeClr w14:val="tx1"/>
            </w14:solidFill>
          </w14:textFill>
        </w:rPr>
      </w:pPr>
    </w:p>
    <w:p w14:paraId="73A6305F">
      <w:pPr>
        <w:bidi w:val="0"/>
        <w:rPr>
          <w:highlight w:val="none"/>
        </w:rPr>
      </w:pPr>
      <w:r>
        <w:rPr>
          <w:rFonts w:hint="eastAsia"/>
          <w:highlight w:val="none"/>
        </w:rPr>
        <w:t>本项目建设周期3个月。</w:t>
      </w:r>
    </w:p>
    <w:p w14:paraId="57E672A9">
      <w:pPr>
        <w:pStyle w:val="3"/>
        <w:bidi w:val="0"/>
        <w:rPr>
          <w:highlight w:val="none"/>
        </w:rPr>
      </w:pPr>
      <w:bookmarkStart w:id="0" w:name="_Toc20384"/>
      <w:r>
        <w:rPr>
          <w:rFonts w:hint="eastAsia"/>
          <w:highlight w:val="none"/>
        </w:rPr>
        <w:t>项目内容一览表</w:t>
      </w:r>
      <w:bookmarkEnd w:id="0"/>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3653"/>
        <w:gridCol w:w="3654"/>
      </w:tblGrid>
      <w:tr w14:paraId="48361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1200111C">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序号</w:t>
            </w:r>
          </w:p>
        </w:tc>
        <w:tc>
          <w:tcPr>
            <w:tcW w:w="2144" w:type="pct"/>
            <w:shd w:val="clear" w:color="auto" w:fill="auto"/>
            <w:noWrap/>
            <w:vAlign w:val="center"/>
          </w:tcPr>
          <w:p w14:paraId="133D1CA6">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子系统</w:t>
            </w:r>
          </w:p>
        </w:tc>
        <w:tc>
          <w:tcPr>
            <w:tcW w:w="2144" w:type="pct"/>
            <w:shd w:val="clear" w:color="auto" w:fill="auto"/>
            <w:noWrap/>
            <w:vAlign w:val="center"/>
          </w:tcPr>
          <w:p w14:paraId="08DE7FE5">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模块</w:t>
            </w:r>
          </w:p>
        </w:tc>
      </w:tr>
      <w:tr w14:paraId="307A3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243CB8C3">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1</w:t>
            </w:r>
          </w:p>
        </w:tc>
        <w:tc>
          <w:tcPr>
            <w:tcW w:w="2144" w:type="pct"/>
            <w:vMerge w:val="restart"/>
            <w:shd w:val="clear" w:color="auto" w:fill="auto"/>
            <w:vAlign w:val="center"/>
          </w:tcPr>
          <w:p w14:paraId="04AAD387">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病理信息管理系统</w:t>
            </w:r>
          </w:p>
        </w:tc>
        <w:tc>
          <w:tcPr>
            <w:tcW w:w="2144" w:type="pct"/>
            <w:shd w:val="clear" w:color="auto" w:fill="auto"/>
            <w:vAlign w:val="center"/>
          </w:tcPr>
          <w:p w14:paraId="30453786">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sz w:val="22"/>
                <w:highlight w:val="none"/>
              </w:rPr>
              <w:t>科室管理工作站</w:t>
            </w:r>
          </w:p>
        </w:tc>
      </w:tr>
      <w:tr w14:paraId="62FB2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4E6A7E90">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2</w:t>
            </w:r>
          </w:p>
        </w:tc>
        <w:tc>
          <w:tcPr>
            <w:tcW w:w="2144" w:type="pct"/>
            <w:vMerge w:val="continue"/>
            <w:shd w:val="clear" w:color="auto" w:fill="auto"/>
            <w:vAlign w:val="center"/>
          </w:tcPr>
          <w:p w14:paraId="3AE5D8D5">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6B32F80">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登记工作站</w:t>
            </w:r>
          </w:p>
        </w:tc>
      </w:tr>
      <w:tr w14:paraId="3FDD8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066054D1">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3</w:t>
            </w:r>
          </w:p>
        </w:tc>
        <w:tc>
          <w:tcPr>
            <w:tcW w:w="2144" w:type="pct"/>
            <w:vMerge w:val="continue"/>
            <w:shd w:val="clear" w:color="auto" w:fill="auto"/>
            <w:vAlign w:val="center"/>
          </w:tcPr>
          <w:p w14:paraId="5E49CC89">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44C1B23">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取材工作站</w:t>
            </w:r>
          </w:p>
        </w:tc>
      </w:tr>
      <w:tr w14:paraId="67866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67C12D96">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4</w:t>
            </w:r>
          </w:p>
        </w:tc>
        <w:tc>
          <w:tcPr>
            <w:tcW w:w="2144" w:type="pct"/>
            <w:vMerge w:val="continue"/>
            <w:shd w:val="clear" w:color="auto" w:fill="auto"/>
            <w:vAlign w:val="center"/>
          </w:tcPr>
          <w:p w14:paraId="38D17CF5">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36A4120F">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包埋工作站</w:t>
            </w:r>
          </w:p>
        </w:tc>
      </w:tr>
      <w:tr w14:paraId="7ECED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29F76713">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5</w:t>
            </w:r>
          </w:p>
        </w:tc>
        <w:tc>
          <w:tcPr>
            <w:tcW w:w="2144" w:type="pct"/>
            <w:vMerge w:val="continue"/>
            <w:shd w:val="clear" w:color="auto" w:fill="auto"/>
            <w:vAlign w:val="center"/>
          </w:tcPr>
          <w:p w14:paraId="2B60942D">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682602B9">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制片工作站</w:t>
            </w:r>
          </w:p>
        </w:tc>
      </w:tr>
      <w:tr w14:paraId="5CD60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2EEFE1EC">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6</w:t>
            </w:r>
          </w:p>
        </w:tc>
        <w:tc>
          <w:tcPr>
            <w:tcW w:w="2144" w:type="pct"/>
            <w:vMerge w:val="continue"/>
            <w:shd w:val="clear" w:color="auto" w:fill="auto"/>
            <w:vAlign w:val="center"/>
          </w:tcPr>
          <w:p w14:paraId="3C3B26B9">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69EFD741">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染色工作站</w:t>
            </w:r>
          </w:p>
        </w:tc>
      </w:tr>
      <w:tr w14:paraId="1A567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66AAEA56">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7</w:t>
            </w:r>
          </w:p>
        </w:tc>
        <w:tc>
          <w:tcPr>
            <w:tcW w:w="2144" w:type="pct"/>
            <w:vMerge w:val="continue"/>
            <w:shd w:val="clear" w:color="auto" w:fill="auto"/>
            <w:vAlign w:val="center"/>
          </w:tcPr>
          <w:p w14:paraId="050A1B4F">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145FA82E">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诊断工作站</w:t>
            </w:r>
          </w:p>
        </w:tc>
      </w:tr>
      <w:tr w14:paraId="3165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57F762BB">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8</w:t>
            </w:r>
          </w:p>
        </w:tc>
        <w:tc>
          <w:tcPr>
            <w:tcW w:w="2144" w:type="pct"/>
            <w:vMerge w:val="continue"/>
            <w:shd w:val="clear" w:color="auto" w:fill="auto"/>
            <w:vAlign w:val="center"/>
          </w:tcPr>
          <w:p w14:paraId="6930132A">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5E628B53">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sz w:val="22"/>
                <w:highlight w:val="none"/>
              </w:rPr>
              <w:t>分子报告模版套装</w:t>
            </w:r>
          </w:p>
        </w:tc>
      </w:tr>
      <w:tr w14:paraId="007CA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46225F33">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9</w:t>
            </w:r>
          </w:p>
        </w:tc>
        <w:tc>
          <w:tcPr>
            <w:tcW w:w="2144" w:type="pct"/>
            <w:vMerge w:val="continue"/>
            <w:shd w:val="clear" w:color="auto" w:fill="auto"/>
            <w:vAlign w:val="center"/>
          </w:tcPr>
          <w:p w14:paraId="175B907B">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62E726ED">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sz w:val="22"/>
                <w:highlight w:val="none"/>
              </w:rPr>
              <w:t>医嘱工作站</w:t>
            </w:r>
          </w:p>
        </w:tc>
      </w:tr>
      <w:tr w14:paraId="38172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5C1B11F2">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10</w:t>
            </w:r>
          </w:p>
        </w:tc>
        <w:tc>
          <w:tcPr>
            <w:tcW w:w="2144" w:type="pct"/>
            <w:vMerge w:val="continue"/>
            <w:shd w:val="clear" w:color="auto" w:fill="auto"/>
            <w:vAlign w:val="center"/>
          </w:tcPr>
          <w:p w14:paraId="1D8CD728">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6A298B85">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sz w:val="22"/>
                <w:highlight w:val="none"/>
              </w:rPr>
              <w:t>临床报告查询工作站</w:t>
            </w:r>
          </w:p>
        </w:tc>
      </w:tr>
      <w:tr w14:paraId="5F498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268AAC18">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11</w:t>
            </w:r>
          </w:p>
        </w:tc>
        <w:tc>
          <w:tcPr>
            <w:tcW w:w="2144" w:type="pct"/>
            <w:vMerge w:val="continue"/>
            <w:shd w:val="clear" w:color="auto" w:fill="auto"/>
            <w:vAlign w:val="center"/>
          </w:tcPr>
          <w:p w14:paraId="30F8E32B">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572FC947">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sz w:val="22"/>
                <w:highlight w:val="none"/>
              </w:rPr>
              <w:t>统计报表工作站</w:t>
            </w:r>
          </w:p>
        </w:tc>
      </w:tr>
      <w:tr w14:paraId="14DF0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41421AEF">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12</w:t>
            </w:r>
          </w:p>
        </w:tc>
        <w:tc>
          <w:tcPr>
            <w:tcW w:w="2144" w:type="pct"/>
            <w:vMerge w:val="continue"/>
            <w:shd w:val="clear" w:color="auto" w:fill="auto"/>
            <w:vAlign w:val="center"/>
          </w:tcPr>
          <w:p w14:paraId="201011E0">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238A8A0E">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档案管理工作站</w:t>
            </w:r>
          </w:p>
        </w:tc>
      </w:tr>
      <w:tr w14:paraId="1B1C8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1A0B2E47">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13</w:t>
            </w:r>
          </w:p>
        </w:tc>
        <w:tc>
          <w:tcPr>
            <w:tcW w:w="2144" w:type="pct"/>
            <w:vMerge w:val="continue"/>
            <w:shd w:val="clear" w:color="auto" w:fill="auto"/>
            <w:vAlign w:val="center"/>
          </w:tcPr>
          <w:p w14:paraId="39FB2120">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2329F77">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试剂耗材工作站</w:t>
            </w:r>
          </w:p>
        </w:tc>
      </w:tr>
      <w:tr w14:paraId="284B4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48116B91">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11</w:t>
            </w:r>
          </w:p>
        </w:tc>
        <w:tc>
          <w:tcPr>
            <w:tcW w:w="2144" w:type="pct"/>
            <w:vMerge w:val="restart"/>
            <w:shd w:val="clear" w:color="auto" w:fill="auto"/>
            <w:vAlign w:val="center"/>
          </w:tcPr>
          <w:p w14:paraId="01AD0460">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数字病理会诊平台</w:t>
            </w:r>
          </w:p>
        </w:tc>
        <w:tc>
          <w:tcPr>
            <w:tcW w:w="2144" w:type="pct"/>
            <w:shd w:val="clear" w:color="auto" w:fill="auto"/>
            <w:vAlign w:val="center"/>
          </w:tcPr>
          <w:p w14:paraId="7B9D6361">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bCs/>
                <w:sz w:val="22"/>
                <w:highlight w:val="none"/>
              </w:rPr>
              <w:t>首页信息</w:t>
            </w:r>
          </w:p>
        </w:tc>
      </w:tr>
      <w:tr w14:paraId="5A9EB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2BFBB578">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color w:val="000000"/>
                <w:kern w:val="0"/>
                <w:sz w:val="22"/>
                <w:highlight w:val="none"/>
                <w:lang w:bidi="ar"/>
              </w:rPr>
              <w:t>12</w:t>
            </w:r>
          </w:p>
        </w:tc>
        <w:tc>
          <w:tcPr>
            <w:tcW w:w="2144" w:type="pct"/>
            <w:vMerge w:val="continue"/>
            <w:shd w:val="clear" w:color="auto" w:fill="auto"/>
            <w:vAlign w:val="center"/>
          </w:tcPr>
          <w:p w14:paraId="6AE950D8">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6EB7A7E7">
            <w:pPr>
              <w:widowControl/>
              <w:spacing w:line="240" w:lineRule="auto"/>
              <w:ind w:firstLine="0" w:firstLineChars="0"/>
              <w:jc w:val="center"/>
              <w:textAlignment w:val="center"/>
              <w:rPr>
                <w:rFonts w:hint="eastAsia" w:ascii="仿宋_GB2312" w:hAnsi="仿宋_GB2312" w:eastAsia="仿宋_GB2312" w:cs="仿宋_GB2312"/>
                <w:color w:val="000000"/>
                <w:sz w:val="22"/>
                <w:highlight w:val="none"/>
              </w:rPr>
            </w:pPr>
            <w:r>
              <w:rPr>
                <w:rFonts w:hint="eastAsia" w:ascii="仿宋_GB2312" w:hAnsi="仿宋_GB2312" w:eastAsia="仿宋_GB2312" w:cs="仿宋_GB2312"/>
                <w:bCs/>
                <w:sz w:val="22"/>
                <w:highlight w:val="none"/>
              </w:rPr>
              <w:t>创建病例</w:t>
            </w:r>
          </w:p>
        </w:tc>
      </w:tr>
      <w:tr w14:paraId="2AF51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763A3E50">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13</w:t>
            </w:r>
          </w:p>
        </w:tc>
        <w:tc>
          <w:tcPr>
            <w:tcW w:w="2144" w:type="pct"/>
            <w:vMerge w:val="continue"/>
            <w:shd w:val="clear" w:color="auto" w:fill="auto"/>
            <w:vAlign w:val="center"/>
          </w:tcPr>
          <w:p w14:paraId="337589DC">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3F368E12">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333333"/>
                <w:sz w:val="22"/>
                <w:highlight w:val="none"/>
                <w:shd w:val="clear" w:color="auto" w:fill="FFFFFF"/>
              </w:rPr>
              <w:t>上传数字切片</w:t>
            </w:r>
          </w:p>
        </w:tc>
      </w:tr>
      <w:tr w14:paraId="26D0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1793E7AA">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14</w:t>
            </w:r>
          </w:p>
        </w:tc>
        <w:tc>
          <w:tcPr>
            <w:tcW w:w="2144" w:type="pct"/>
            <w:vMerge w:val="continue"/>
            <w:shd w:val="clear" w:color="auto" w:fill="auto"/>
            <w:vAlign w:val="center"/>
          </w:tcPr>
          <w:p w14:paraId="202B2DE4">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338C4218">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批量新建</w:t>
            </w:r>
          </w:p>
        </w:tc>
      </w:tr>
      <w:tr w14:paraId="1532C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23312696">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15</w:t>
            </w:r>
          </w:p>
        </w:tc>
        <w:tc>
          <w:tcPr>
            <w:tcW w:w="2144" w:type="pct"/>
            <w:vMerge w:val="continue"/>
            <w:shd w:val="clear" w:color="auto" w:fill="auto"/>
            <w:vAlign w:val="center"/>
          </w:tcPr>
          <w:p w14:paraId="2FA20316">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55D3E7A">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发起会诊端病例列表</w:t>
            </w:r>
          </w:p>
        </w:tc>
      </w:tr>
      <w:tr w14:paraId="23E97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57EAAAB5">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16</w:t>
            </w:r>
          </w:p>
        </w:tc>
        <w:tc>
          <w:tcPr>
            <w:tcW w:w="2144" w:type="pct"/>
            <w:vMerge w:val="continue"/>
            <w:shd w:val="clear" w:color="auto" w:fill="auto"/>
            <w:vAlign w:val="center"/>
          </w:tcPr>
          <w:p w14:paraId="60A3B838">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03DF2DB7">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专家端病例列表</w:t>
            </w:r>
          </w:p>
        </w:tc>
      </w:tr>
      <w:tr w14:paraId="178E1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4DCC8C72">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17</w:t>
            </w:r>
          </w:p>
        </w:tc>
        <w:tc>
          <w:tcPr>
            <w:tcW w:w="2144" w:type="pct"/>
            <w:vMerge w:val="continue"/>
            <w:shd w:val="clear" w:color="auto" w:fill="auto"/>
            <w:vAlign w:val="center"/>
          </w:tcPr>
          <w:p w14:paraId="3B34C230">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20A7DEE">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切片浏览</w:t>
            </w:r>
          </w:p>
        </w:tc>
      </w:tr>
      <w:tr w14:paraId="1115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40811356">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18</w:t>
            </w:r>
          </w:p>
        </w:tc>
        <w:tc>
          <w:tcPr>
            <w:tcW w:w="2144" w:type="pct"/>
            <w:vMerge w:val="continue"/>
            <w:shd w:val="clear" w:color="auto" w:fill="auto"/>
            <w:vAlign w:val="center"/>
          </w:tcPr>
          <w:p w14:paraId="32CF9A1E">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61583C80">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质控评价</w:t>
            </w:r>
          </w:p>
        </w:tc>
      </w:tr>
      <w:tr w14:paraId="5BB5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15CD7911">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19</w:t>
            </w:r>
          </w:p>
        </w:tc>
        <w:tc>
          <w:tcPr>
            <w:tcW w:w="2144" w:type="pct"/>
            <w:vMerge w:val="continue"/>
            <w:shd w:val="clear" w:color="auto" w:fill="auto"/>
            <w:vAlign w:val="center"/>
          </w:tcPr>
          <w:p w14:paraId="06AA303C">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4A0923F8">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分享病例</w:t>
            </w:r>
          </w:p>
        </w:tc>
      </w:tr>
      <w:tr w14:paraId="2E349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67B13EE6">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20</w:t>
            </w:r>
          </w:p>
        </w:tc>
        <w:tc>
          <w:tcPr>
            <w:tcW w:w="2144" w:type="pct"/>
            <w:vMerge w:val="continue"/>
            <w:shd w:val="clear" w:color="auto" w:fill="auto"/>
            <w:vAlign w:val="center"/>
          </w:tcPr>
          <w:p w14:paraId="15C6D945">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0889EC22">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诊断列表</w:t>
            </w:r>
          </w:p>
        </w:tc>
      </w:tr>
      <w:tr w14:paraId="43BFE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32092DA5">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21</w:t>
            </w:r>
          </w:p>
        </w:tc>
        <w:tc>
          <w:tcPr>
            <w:tcW w:w="2144" w:type="pct"/>
            <w:vMerge w:val="continue"/>
            <w:shd w:val="clear" w:color="auto" w:fill="auto"/>
            <w:vAlign w:val="center"/>
          </w:tcPr>
          <w:p w14:paraId="2528D362">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2A42122C">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医院端设置</w:t>
            </w:r>
          </w:p>
        </w:tc>
      </w:tr>
      <w:tr w14:paraId="79FDF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73244D2B">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22</w:t>
            </w:r>
          </w:p>
        </w:tc>
        <w:tc>
          <w:tcPr>
            <w:tcW w:w="2144" w:type="pct"/>
            <w:vMerge w:val="continue"/>
            <w:shd w:val="clear" w:color="auto" w:fill="auto"/>
            <w:vAlign w:val="center"/>
          </w:tcPr>
          <w:p w14:paraId="52B162CE">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A286029">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专家端设置</w:t>
            </w:r>
          </w:p>
        </w:tc>
      </w:tr>
      <w:tr w14:paraId="0CC3A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1E1CA42D">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23</w:t>
            </w:r>
          </w:p>
        </w:tc>
        <w:tc>
          <w:tcPr>
            <w:tcW w:w="2144" w:type="pct"/>
            <w:vMerge w:val="continue"/>
            <w:shd w:val="clear" w:color="auto" w:fill="auto"/>
            <w:vAlign w:val="center"/>
          </w:tcPr>
          <w:p w14:paraId="4BD3254B">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E4A8B01">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bCs/>
                <w:sz w:val="22"/>
                <w:highlight w:val="none"/>
              </w:rPr>
              <w:t>用户账号设置</w:t>
            </w:r>
          </w:p>
        </w:tc>
      </w:tr>
      <w:tr w14:paraId="76EE5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6F7B93F8">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24</w:t>
            </w:r>
          </w:p>
        </w:tc>
        <w:tc>
          <w:tcPr>
            <w:tcW w:w="2144" w:type="pct"/>
            <w:vMerge w:val="restart"/>
            <w:shd w:val="clear" w:color="auto" w:fill="auto"/>
            <w:vAlign w:val="center"/>
          </w:tcPr>
          <w:p w14:paraId="72E872A6">
            <w:pPr>
              <w:widowControl/>
              <w:spacing w:line="240" w:lineRule="auto"/>
              <w:ind w:firstLine="0" w:firstLineChars="0"/>
              <w:jc w:val="center"/>
              <w:rPr>
                <w:rFonts w:hint="eastAsia" w:ascii="仿宋_GB2312" w:hAnsi="仿宋_GB2312" w:eastAsia="仿宋_GB2312" w:cs="仿宋_GB2312"/>
                <w:color w:val="000000"/>
                <w:sz w:val="22"/>
                <w:highlight w:val="none"/>
              </w:rPr>
            </w:pPr>
            <w:r>
              <w:rPr>
                <w:rFonts w:hint="eastAsia" w:cs="仿宋_GB2312"/>
                <w:color w:val="000000"/>
                <w:sz w:val="22"/>
                <w:highlight w:val="none"/>
                <w:lang w:eastAsia="zh-CN"/>
              </w:rPr>
              <w:t>县域</w:t>
            </w:r>
            <w:r>
              <w:rPr>
                <w:rFonts w:hint="eastAsia" w:ascii="仿宋_GB2312" w:hAnsi="仿宋_GB2312" w:eastAsia="仿宋_GB2312" w:cs="仿宋_GB2312"/>
                <w:color w:val="000000"/>
                <w:sz w:val="22"/>
                <w:highlight w:val="none"/>
              </w:rPr>
              <w:t>送检平台</w:t>
            </w:r>
          </w:p>
        </w:tc>
        <w:tc>
          <w:tcPr>
            <w:tcW w:w="2144" w:type="pct"/>
            <w:shd w:val="clear" w:color="auto" w:fill="auto"/>
            <w:vAlign w:val="center"/>
          </w:tcPr>
          <w:p w14:paraId="5A833753">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病理申请工作站</w:t>
            </w:r>
          </w:p>
        </w:tc>
      </w:tr>
      <w:tr w14:paraId="36E6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2F8302CE">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25</w:t>
            </w:r>
          </w:p>
        </w:tc>
        <w:tc>
          <w:tcPr>
            <w:tcW w:w="2144" w:type="pct"/>
            <w:vMerge w:val="continue"/>
            <w:shd w:val="clear" w:color="auto" w:fill="auto"/>
            <w:vAlign w:val="center"/>
          </w:tcPr>
          <w:p w14:paraId="500F7645">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7C39224F">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病理验收工作站</w:t>
            </w:r>
          </w:p>
        </w:tc>
      </w:tr>
      <w:tr w14:paraId="11932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pct"/>
            <w:shd w:val="clear" w:color="auto" w:fill="auto"/>
            <w:noWrap/>
            <w:vAlign w:val="center"/>
          </w:tcPr>
          <w:p w14:paraId="36F7AACA">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26</w:t>
            </w:r>
          </w:p>
        </w:tc>
        <w:tc>
          <w:tcPr>
            <w:tcW w:w="2144" w:type="pct"/>
            <w:vMerge w:val="continue"/>
            <w:shd w:val="clear" w:color="auto" w:fill="auto"/>
            <w:vAlign w:val="center"/>
          </w:tcPr>
          <w:p w14:paraId="565FCA84">
            <w:pPr>
              <w:widowControl/>
              <w:spacing w:line="240" w:lineRule="auto"/>
              <w:ind w:firstLine="0" w:firstLineChars="0"/>
              <w:jc w:val="center"/>
              <w:rPr>
                <w:rFonts w:hint="eastAsia" w:ascii="仿宋_GB2312" w:hAnsi="仿宋_GB2312" w:eastAsia="仿宋_GB2312" w:cs="仿宋_GB2312"/>
                <w:color w:val="000000"/>
                <w:sz w:val="22"/>
                <w:highlight w:val="none"/>
              </w:rPr>
            </w:pPr>
          </w:p>
        </w:tc>
        <w:tc>
          <w:tcPr>
            <w:tcW w:w="2144" w:type="pct"/>
            <w:shd w:val="clear" w:color="auto" w:fill="auto"/>
            <w:vAlign w:val="center"/>
          </w:tcPr>
          <w:p w14:paraId="33E92091">
            <w:pPr>
              <w:widowControl/>
              <w:spacing w:line="240" w:lineRule="auto"/>
              <w:ind w:firstLine="0" w:firstLineChars="0"/>
              <w:jc w:val="center"/>
              <w:textAlignment w:val="center"/>
              <w:rPr>
                <w:rFonts w:hint="eastAsia" w:ascii="仿宋_GB2312" w:hAnsi="仿宋_GB2312" w:eastAsia="仿宋_GB2312" w:cs="仿宋_GB2312"/>
                <w:color w:val="000000"/>
                <w:kern w:val="0"/>
                <w:sz w:val="22"/>
                <w:highlight w:val="none"/>
                <w:lang w:bidi="ar"/>
              </w:rPr>
            </w:pPr>
            <w:r>
              <w:rPr>
                <w:rFonts w:hint="eastAsia" w:ascii="仿宋_GB2312" w:hAnsi="仿宋_GB2312" w:eastAsia="仿宋_GB2312" w:cs="仿宋_GB2312"/>
                <w:color w:val="000000"/>
                <w:kern w:val="0"/>
                <w:sz w:val="22"/>
                <w:highlight w:val="none"/>
                <w:lang w:bidi="ar"/>
              </w:rPr>
              <w:t>平台管理工作站</w:t>
            </w:r>
          </w:p>
        </w:tc>
      </w:tr>
    </w:tbl>
    <w:p w14:paraId="2CE50F6D">
      <w:pPr>
        <w:ind w:firstLine="482"/>
        <w:rPr>
          <w:rFonts w:ascii="仿宋" w:hAnsi="仿宋" w:eastAsia="仿宋"/>
          <w:b/>
          <w:bCs/>
          <w:highlight w:val="none"/>
        </w:rPr>
      </w:pPr>
    </w:p>
    <w:p w14:paraId="43980AC1">
      <w:pPr>
        <w:pStyle w:val="3"/>
        <w:bidi w:val="0"/>
        <w:rPr>
          <w:highlight w:val="none"/>
        </w:rPr>
      </w:pPr>
      <w:bookmarkStart w:id="1" w:name="_Toc20381"/>
      <w:r>
        <w:rPr>
          <w:rFonts w:hint="eastAsia"/>
          <w:highlight w:val="none"/>
        </w:rPr>
        <w:t>业务需求分析</w:t>
      </w:r>
      <w:bookmarkEnd w:id="1"/>
    </w:p>
    <w:p w14:paraId="2B698A8A">
      <w:pPr>
        <w:numPr>
          <w:ilvl w:val="0"/>
          <w:numId w:val="3"/>
        </w:numPr>
        <w:bidi w:val="0"/>
        <w:rPr>
          <w:highlight w:val="none"/>
        </w:rPr>
      </w:pPr>
      <w:r>
        <w:rPr>
          <w:b/>
          <w:bCs/>
          <w:highlight w:val="none"/>
        </w:rPr>
        <w:t>病理诊断服务</w:t>
      </w:r>
      <w:r>
        <w:rPr>
          <w:rFonts w:hint="eastAsia"/>
          <w:b/>
          <w:bCs/>
          <w:highlight w:val="none"/>
        </w:rPr>
        <w:t>‌</w:t>
      </w:r>
      <w:r>
        <w:rPr>
          <w:b/>
          <w:bCs/>
          <w:highlight w:val="none"/>
        </w:rPr>
        <w:t>：</w:t>
      </w:r>
      <w:r>
        <w:rPr>
          <w:highlight w:val="none"/>
        </w:rPr>
        <w:t>病理中心提供全身各部位的常规病理诊断服务，包括术中快速冰冻病理诊断和液基细胞学诊断（如宫颈、胸腹水、痰液等）</w:t>
      </w:r>
      <w:r>
        <w:rPr>
          <w:rFonts w:hint="eastAsia"/>
          <w:highlight w:val="none"/>
        </w:rPr>
        <w:t>，以及免疫组化、分子病理检测等扩展服务</w:t>
      </w:r>
      <w:r>
        <w:rPr>
          <w:highlight w:val="none"/>
        </w:rPr>
        <w:t>。</w:t>
      </w:r>
    </w:p>
    <w:p w14:paraId="0AF49EA9">
      <w:pPr>
        <w:numPr>
          <w:ilvl w:val="0"/>
          <w:numId w:val="3"/>
        </w:numPr>
        <w:bidi w:val="0"/>
        <w:rPr>
          <w:highlight w:val="none"/>
        </w:rPr>
      </w:pPr>
      <w:r>
        <w:rPr>
          <w:b/>
          <w:bCs/>
          <w:highlight w:val="none"/>
        </w:rPr>
        <w:t>资源共享和协同工作</w:t>
      </w:r>
      <w:r>
        <w:rPr>
          <w:rFonts w:hint="eastAsia"/>
          <w:b/>
          <w:bCs/>
          <w:highlight w:val="none"/>
        </w:rPr>
        <w:t>‌</w:t>
      </w:r>
      <w:r>
        <w:rPr>
          <w:b/>
          <w:bCs/>
          <w:highlight w:val="none"/>
        </w:rPr>
        <w:t>：</w:t>
      </w:r>
      <w:r>
        <w:rPr>
          <w:highlight w:val="none"/>
        </w:rPr>
        <w:t>病理中心通过</w:t>
      </w:r>
      <w:r>
        <w:rPr>
          <w:rFonts w:hint="eastAsia"/>
          <w:highlight w:val="none"/>
          <w:lang w:eastAsia="zh-CN"/>
        </w:rPr>
        <w:t>县域</w:t>
      </w:r>
      <w:r>
        <w:rPr>
          <w:highlight w:val="none"/>
        </w:rPr>
        <w:t>卫生信息化基础，实现病理诊断技术、人才和专家资源的共享，强化医共体内成员单位的分工协作，提高病理诊断的效率和准确性</w:t>
      </w:r>
      <w:r>
        <w:rPr>
          <w:rFonts w:hint="eastAsia"/>
          <w:highlight w:val="none"/>
        </w:rPr>
        <w:t>‌</w:t>
      </w:r>
      <w:r>
        <w:rPr>
          <w:highlight w:val="none"/>
        </w:rPr>
        <w:t>。</w:t>
      </w:r>
    </w:p>
    <w:p w14:paraId="65777AA8">
      <w:pPr>
        <w:numPr>
          <w:ilvl w:val="0"/>
          <w:numId w:val="3"/>
        </w:numPr>
        <w:bidi w:val="0"/>
        <w:rPr>
          <w:highlight w:val="none"/>
        </w:rPr>
      </w:pPr>
      <w:r>
        <w:rPr>
          <w:rFonts w:hint="eastAsia"/>
          <w:b/>
          <w:bCs/>
          <w:highlight w:val="none"/>
        </w:rPr>
        <w:t>‌</w:t>
      </w:r>
      <w:r>
        <w:rPr>
          <w:b/>
          <w:bCs/>
          <w:highlight w:val="none"/>
        </w:rPr>
        <w:t>质量控制和标准化</w:t>
      </w:r>
      <w:r>
        <w:rPr>
          <w:rFonts w:hint="eastAsia"/>
          <w:b/>
          <w:bCs/>
          <w:highlight w:val="none"/>
        </w:rPr>
        <w:t>‌</w:t>
      </w:r>
      <w:r>
        <w:rPr>
          <w:b/>
          <w:bCs/>
          <w:highlight w:val="none"/>
        </w:rPr>
        <w:t>：</w:t>
      </w:r>
      <w:r>
        <w:rPr>
          <w:highlight w:val="none"/>
        </w:rPr>
        <w:t>建立和完善病理检查工作制度，包括离体标本规范化处理及送检制度、病理检查申请单填写规范等，确保病理诊断的质量和标准化。</w:t>
      </w:r>
    </w:p>
    <w:p w14:paraId="33A960E4">
      <w:pPr>
        <w:numPr>
          <w:ilvl w:val="0"/>
          <w:numId w:val="3"/>
        </w:numPr>
        <w:bidi w:val="0"/>
        <w:rPr>
          <w:highlight w:val="none"/>
        </w:rPr>
      </w:pPr>
      <w:r>
        <w:rPr>
          <w:b/>
          <w:bCs/>
          <w:highlight w:val="none"/>
        </w:rPr>
        <w:t>疑难诊断支持</w:t>
      </w:r>
      <w:r>
        <w:rPr>
          <w:rFonts w:hint="eastAsia"/>
          <w:b/>
          <w:bCs/>
          <w:highlight w:val="none"/>
        </w:rPr>
        <w:t>‌</w:t>
      </w:r>
      <w:r>
        <w:rPr>
          <w:b/>
          <w:bCs/>
          <w:highlight w:val="none"/>
        </w:rPr>
        <w:t>：</w:t>
      </w:r>
      <w:r>
        <w:rPr>
          <w:highlight w:val="none"/>
        </w:rPr>
        <w:t>病理中心负责解决疑难病理会诊和术中快速冰冻病理会诊等高风险、高难度的诊断问题，为临床诊疗提供可靠依据</w:t>
      </w:r>
      <w:r>
        <w:rPr>
          <w:rFonts w:hint="eastAsia"/>
          <w:highlight w:val="none"/>
        </w:rPr>
        <w:t>‌</w:t>
      </w:r>
      <w:r>
        <w:rPr>
          <w:highlight w:val="none"/>
        </w:rPr>
        <w:t>。</w:t>
      </w:r>
    </w:p>
    <w:p w14:paraId="03F6C6DA">
      <w:pPr>
        <w:numPr>
          <w:ilvl w:val="0"/>
          <w:numId w:val="3"/>
        </w:numPr>
        <w:bidi w:val="0"/>
        <w:rPr>
          <w:highlight w:val="none"/>
        </w:rPr>
      </w:pPr>
      <w:r>
        <w:rPr>
          <w:rFonts w:hint="eastAsia"/>
          <w:b/>
          <w:bCs/>
          <w:highlight w:val="none"/>
        </w:rPr>
        <w:t>‌</w:t>
      </w:r>
      <w:r>
        <w:rPr>
          <w:b/>
          <w:bCs/>
          <w:highlight w:val="none"/>
        </w:rPr>
        <w:t>信息化</w:t>
      </w:r>
      <w:r>
        <w:rPr>
          <w:rFonts w:hint="eastAsia"/>
          <w:b/>
          <w:bCs/>
          <w:highlight w:val="none"/>
        </w:rPr>
        <w:t>与数字化管理‌</w:t>
      </w:r>
      <w:r>
        <w:rPr>
          <w:b/>
          <w:bCs/>
          <w:highlight w:val="none"/>
        </w:rPr>
        <w:t>：</w:t>
      </w:r>
      <w:r>
        <w:rPr>
          <w:rFonts w:hint="eastAsia"/>
          <w:highlight w:val="none"/>
        </w:rPr>
        <w:t>标本流转追踪，从采集、运输、接收、制片到诊断全流程可追溯；电子报告模版标准化，支持数字切片扫描与远程会诊</w:t>
      </w:r>
      <w:r>
        <w:rPr>
          <w:highlight w:val="none"/>
        </w:rPr>
        <w:t>。</w:t>
      </w:r>
    </w:p>
    <w:p w14:paraId="340CADA9">
      <w:pPr>
        <w:pStyle w:val="3"/>
        <w:bidi w:val="0"/>
        <w:rPr>
          <w:highlight w:val="none"/>
        </w:rPr>
      </w:pPr>
      <w:bookmarkStart w:id="2" w:name="_Toc14925"/>
      <w:r>
        <w:rPr>
          <w:rFonts w:hint="eastAsia"/>
          <w:highlight w:val="none"/>
        </w:rPr>
        <w:t>功能需求分析</w:t>
      </w:r>
      <w:bookmarkEnd w:id="2"/>
    </w:p>
    <w:p w14:paraId="1C3FA44C">
      <w:pPr>
        <w:numPr>
          <w:ilvl w:val="0"/>
          <w:numId w:val="4"/>
        </w:numPr>
        <w:bidi w:val="0"/>
        <w:ind w:left="0" w:leftChars="0" w:firstLine="420" w:firstLineChars="0"/>
        <w:rPr>
          <w:highlight w:val="none"/>
        </w:rPr>
      </w:pPr>
      <w:r>
        <w:rPr>
          <w:rFonts w:hint="eastAsia"/>
          <w:b/>
          <w:bCs/>
          <w:highlight w:val="none"/>
        </w:rPr>
        <w:t>样本流程全面追踪：</w:t>
      </w:r>
      <w:r>
        <w:rPr>
          <w:rFonts w:hint="eastAsia"/>
          <w:highlight w:val="none"/>
        </w:rPr>
        <w:t>系统对样本从登记、取材、脱水、包埋、制片、染色、派片、诊断、归档的各个流程实时追踪，统一管理。功能站点覆盖所有病理工作流程，样本数据全程记录，样本状态全程跟踪。</w:t>
      </w:r>
    </w:p>
    <w:p w14:paraId="4827B700">
      <w:pPr>
        <w:numPr>
          <w:ilvl w:val="0"/>
          <w:numId w:val="4"/>
        </w:numPr>
        <w:bidi w:val="0"/>
        <w:ind w:left="0" w:leftChars="0" w:firstLine="420" w:firstLineChars="0"/>
        <w:rPr>
          <w:highlight w:val="none"/>
        </w:rPr>
      </w:pPr>
      <w:r>
        <w:rPr>
          <w:rFonts w:hint="eastAsia"/>
          <w:b/>
          <w:bCs/>
          <w:highlight w:val="none"/>
        </w:rPr>
        <w:t>数据互联互通：</w:t>
      </w:r>
      <w:r>
        <w:rPr>
          <w:rFonts w:hint="eastAsia"/>
          <w:highlight w:val="none"/>
        </w:rPr>
        <w:t>支持对接EMR/HIS/PA</w:t>
      </w:r>
      <w:r>
        <w:rPr>
          <w:rFonts w:hint="eastAsia"/>
          <w:highlight w:val="none"/>
          <w:lang w:eastAsia="zh-CN"/>
        </w:rPr>
        <w:t>C/S</w:t>
      </w:r>
      <w:r>
        <w:rPr>
          <w:rFonts w:hint="eastAsia"/>
          <w:highlight w:val="none"/>
        </w:rPr>
        <w:t>/集成平台等院内各类信息平台及系统，实现患者基本信息、检验结果、病史共享等，形成病理数据闭环，促进互联互通标准化。</w:t>
      </w:r>
    </w:p>
    <w:p w14:paraId="7F06D0DA">
      <w:pPr>
        <w:numPr>
          <w:ilvl w:val="0"/>
          <w:numId w:val="4"/>
        </w:numPr>
        <w:bidi w:val="0"/>
        <w:ind w:left="0" w:leftChars="0" w:firstLine="420" w:firstLineChars="0"/>
        <w:rPr>
          <w:highlight w:val="none"/>
        </w:rPr>
      </w:pPr>
      <w:r>
        <w:rPr>
          <w:rFonts w:hint="eastAsia"/>
          <w:b/>
          <w:bCs/>
          <w:highlight w:val="none"/>
        </w:rPr>
        <w:t>质控统计数据多维度管理：</w:t>
      </w:r>
      <w:r>
        <w:rPr>
          <w:rFonts w:hint="eastAsia"/>
          <w:highlight w:val="none"/>
        </w:rPr>
        <w:t>按照国家卫计委发布的《病理专业医疗质量控制指标》系统可自动统计标本规范化固定率，组织病理、细胞病理、术中冰冻的诊断及时率、术中冰冻与石蜡诊断符合率、HE染色、免疫组化的切片合格率等，提供可视化图表质控体系。</w:t>
      </w:r>
    </w:p>
    <w:p w14:paraId="20B2F704">
      <w:pPr>
        <w:numPr>
          <w:ilvl w:val="0"/>
          <w:numId w:val="4"/>
        </w:numPr>
        <w:bidi w:val="0"/>
        <w:ind w:left="0" w:leftChars="0" w:firstLine="420" w:firstLineChars="0"/>
        <w:rPr>
          <w:highlight w:val="none"/>
        </w:rPr>
      </w:pPr>
      <w:r>
        <w:rPr>
          <w:rFonts w:hint="eastAsia"/>
          <w:b/>
          <w:bCs/>
          <w:highlight w:val="none"/>
        </w:rPr>
        <w:t>诊断数字化管理：</w:t>
      </w:r>
      <w:r>
        <w:rPr>
          <w:rFonts w:hint="eastAsia"/>
          <w:highlight w:val="none"/>
        </w:rPr>
        <w:t>实时同屏预览、CAP标准格式化录入、多种结构化报告模板配置、病例完整跟踪日志等功能，结合报告发送延迟控制、原件打印限制、打印记录跟踪等安全性管理，全面提升病理诊断效率性、准确性和安全度。</w:t>
      </w:r>
    </w:p>
    <w:p w14:paraId="03CE23AE">
      <w:pPr>
        <w:numPr>
          <w:ilvl w:val="0"/>
          <w:numId w:val="4"/>
        </w:numPr>
        <w:bidi w:val="0"/>
        <w:ind w:left="0" w:leftChars="0" w:firstLine="420" w:firstLineChars="0"/>
        <w:rPr>
          <w:highlight w:val="none"/>
        </w:rPr>
      </w:pPr>
      <w:r>
        <w:rPr>
          <w:rFonts w:hint="eastAsia"/>
          <w:b/>
          <w:bCs/>
          <w:highlight w:val="none"/>
        </w:rPr>
        <w:t>协同与会诊服务：</w:t>
      </w:r>
      <w:r>
        <w:rPr>
          <w:rFonts w:hint="eastAsia"/>
          <w:highlight w:val="none"/>
          <w:lang w:eastAsia="zh-CN"/>
        </w:rPr>
        <w:t>县人民医院</w:t>
      </w:r>
      <w:r>
        <w:rPr>
          <w:highlight w:val="none"/>
        </w:rPr>
        <w:t>接收基层医院的申请，进行病理诊断服务，回传标准化诊断结果，并协同质控提升</w:t>
      </w:r>
      <w:r>
        <w:rPr>
          <w:rFonts w:hint="eastAsia"/>
          <w:highlight w:val="none"/>
          <w:lang w:eastAsia="zh-CN"/>
        </w:rPr>
        <w:t>县域</w:t>
      </w:r>
      <w:r>
        <w:rPr>
          <w:highlight w:val="none"/>
        </w:rPr>
        <w:t>内病理诊断水平。以病理数据标准化为核心，通过“送检-诊断-回传”闭环实现</w:t>
      </w:r>
      <w:r>
        <w:rPr>
          <w:rFonts w:hint="eastAsia"/>
          <w:highlight w:val="none"/>
          <w:lang w:eastAsia="zh-CN"/>
        </w:rPr>
        <w:t>县域</w:t>
      </w:r>
      <w:r>
        <w:rPr>
          <w:highlight w:val="none"/>
        </w:rPr>
        <w:t>病理报告同质化管理。</w:t>
      </w:r>
    </w:p>
    <w:p w14:paraId="529CE1F4">
      <w:pPr>
        <w:pStyle w:val="3"/>
        <w:bidi w:val="0"/>
        <w:rPr>
          <w:highlight w:val="none"/>
        </w:rPr>
      </w:pPr>
      <w:bookmarkStart w:id="3" w:name="_Toc18487"/>
      <w:r>
        <w:rPr>
          <w:rFonts w:hint="eastAsia"/>
          <w:highlight w:val="none"/>
        </w:rPr>
        <w:t>性能需求分析</w:t>
      </w:r>
      <w:bookmarkEnd w:id="3"/>
    </w:p>
    <w:p w14:paraId="25C5068D">
      <w:pPr>
        <w:bidi w:val="0"/>
        <w:rPr>
          <w:highlight w:val="none"/>
        </w:rPr>
      </w:pPr>
      <w:r>
        <w:rPr>
          <w:rFonts w:hint="eastAsia"/>
          <w:highlight w:val="none"/>
        </w:rPr>
        <w:t>本项目建设的</w:t>
      </w:r>
      <w:r>
        <w:rPr>
          <w:rFonts w:hint="eastAsia"/>
          <w:highlight w:val="none"/>
          <w:lang w:val="en-US" w:eastAsia="zh-CN"/>
        </w:rPr>
        <w:t>系统与其他</w:t>
      </w:r>
      <w:r>
        <w:rPr>
          <w:rFonts w:hint="eastAsia"/>
          <w:highlight w:val="none"/>
        </w:rPr>
        <w:t>应用系统之间联系紧密，需要进行数据或功能的相互调用，所以应用系统的性能要求较高，可以体现在以下几方面：</w:t>
      </w:r>
    </w:p>
    <w:p w14:paraId="709DFA09">
      <w:pPr>
        <w:bidi w:val="0"/>
        <w:rPr>
          <w:highlight w:val="none"/>
        </w:rPr>
      </w:pPr>
      <w:r>
        <w:rPr>
          <w:rFonts w:hint="eastAsia"/>
          <w:highlight w:val="none"/>
        </w:rPr>
        <w:t>1．系统用户界面要求</w:t>
      </w:r>
    </w:p>
    <w:p w14:paraId="17EA0764">
      <w:pPr>
        <w:bidi w:val="0"/>
        <w:rPr>
          <w:highlight w:val="none"/>
        </w:rPr>
      </w:pPr>
      <w:r>
        <w:rPr>
          <w:rFonts w:hint="eastAsia"/>
          <w:highlight w:val="none"/>
        </w:rPr>
        <w:t>应用系统性能应满足用户的要求，稳定、可靠、实用。人机界面友好，输出、输入方便，图表生成美观，检索、查询简单快捷。</w:t>
      </w:r>
    </w:p>
    <w:p w14:paraId="0D8EEED2">
      <w:pPr>
        <w:bidi w:val="0"/>
        <w:rPr>
          <w:highlight w:val="none"/>
        </w:rPr>
      </w:pPr>
      <w:r>
        <w:rPr>
          <w:rFonts w:hint="eastAsia"/>
          <w:highlight w:val="none"/>
        </w:rPr>
        <w:t>用户界面包括整体窗口风格、主菜单、右键菜单、工具栏、按钮、对话框、字体及其大小、页面色调等部分组成，目前系统的用户界面以windows标准为基础，界面设计要求风格、样式等保持和省统一、界面简洁、色调搭配符合相关要求规范。</w:t>
      </w:r>
    </w:p>
    <w:p w14:paraId="6C63D8CB">
      <w:pPr>
        <w:bidi w:val="0"/>
        <w:rPr>
          <w:highlight w:val="none"/>
        </w:rPr>
      </w:pPr>
      <w:r>
        <w:rPr>
          <w:rFonts w:hint="eastAsia"/>
          <w:highlight w:val="none"/>
        </w:rPr>
        <w:t>2．系统处理能力要求</w:t>
      </w:r>
    </w:p>
    <w:p w14:paraId="209A7727">
      <w:pPr>
        <w:bidi w:val="0"/>
        <w:rPr>
          <w:highlight w:val="none"/>
        </w:rPr>
      </w:pPr>
      <w:r>
        <w:rPr>
          <w:rFonts w:hint="eastAsia"/>
          <w:highlight w:val="none"/>
        </w:rPr>
        <w:t>本项目需要处理各种类型的信息。系统必须具备以下三种处理能力：数值型计算能力、文本型信息处理能力、图形图像信息处理能力。系统需要依托高性能、高可靠性、高可用性的计算环境，建立相应的文件系统、数据库系统和业务应用系统，因此，在充分利用已有计算环境能力的同时，必须增加具备较强处理能力的计算机系统。具备：</w:t>
      </w:r>
    </w:p>
    <w:p w14:paraId="2AF7895E">
      <w:pPr>
        <w:keepNext w:val="0"/>
        <w:keepLines w:val="0"/>
        <w:pageBreakBefore w:val="0"/>
        <w:widowControl w:val="0"/>
        <w:numPr>
          <w:ilvl w:val="0"/>
          <w:numId w:val="5"/>
        </w:numPr>
        <w:kinsoku/>
        <w:wordWrap/>
        <w:overflowPunct/>
        <w:topLinePunct w:val="0"/>
        <w:autoSpaceDE/>
        <w:autoSpaceDN/>
        <w:bidi w:val="0"/>
        <w:adjustRightInd/>
        <w:snapToGrid/>
        <w:ind w:left="0"/>
        <w:textAlignment w:val="auto"/>
        <w:rPr>
          <w:highlight w:val="none"/>
        </w:rPr>
      </w:pPr>
      <w:r>
        <w:rPr>
          <w:rFonts w:hint="eastAsia"/>
          <w:highlight w:val="none"/>
        </w:rPr>
        <w:t>系统具备每天24小时的连续运行能力；</w:t>
      </w:r>
    </w:p>
    <w:p w14:paraId="2440038A">
      <w:pPr>
        <w:keepNext w:val="0"/>
        <w:keepLines w:val="0"/>
        <w:pageBreakBefore w:val="0"/>
        <w:widowControl w:val="0"/>
        <w:numPr>
          <w:ilvl w:val="0"/>
          <w:numId w:val="5"/>
        </w:numPr>
        <w:kinsoku/>
        <w:wordWrap/>
        <w:overflowPunct/>
        <w:topLinePunct w:val="0"/>
        <w:autoSpaceDE/>
        <w:autoSpaceDN/>
        <w:bidi w:val="0"/>
        <w:adjustRightInd/>
        <w:snapToGrid/>
        <w:ind w:left="0"/>
        <w:textAlignment w:val="auto"/>
        <w:rPr>
          <w:highlight w:val="none"/>
        </w:rPr>
      </w:pPr>
      <w:r>
        <w:rPr>
          <w:rFonts w:hint="eastAsia"/>
          <w:highlight w:val="none"/>
        </w:rPr>
        <w:t>具有高效的处理能力，保证分析处理到结果生成的时间小于 10 秒；</w:t>
      </w:r>
    </w:p>
    <w:p w14:paraId="11B7A3EF">
      <w:pPr>
        <w:keepNext w:val="0"/>
        <w:keepLines w:val="0"/>
        <w:pageBreakBefore w:val="0"/>
        <w:widowControl w:val="0"/>
        <w:numPr>
          <w:ilvl w:val="0"/>
          <w:numId w:val="5"/>
        </w:numPr>
        <w:kinsoku/>
        <w:wordWrap/>
        <w:overflowPunct/>
        <w:topLinePunct w:val="0"/>
        <w:autoSpaceDE/>
        <w:autoSpaceDN/>
        <w:bidi w:val="0"/>
        <w:adjustRightInd/>
        <w:snapToGrid/>
        <w:ind w:left="0"/>
        <w:textAlignment w:val="auto"/>
        <w:rPr>
          <w:highlight w:val="none"/>
        </w:rPr>
      </w:pPr>
      <w:r>
        <w:rPr>
          <w:rFonts w:hint="eastAsia"/>
          <w:highlight w:val="none"/>
        </w:rPr>
        <w:t>具有高效的网络传输能力，保证数据传输完整性；</w:t>
      </w:r>
    </w:p>
    <w:p w14:paraId="5FA22888">
      <w:pPr>
        <w:keepNext w:val="0"/>
        <w:keepLines w:val="0"/>
        <w:pageBreakBefore w:val="0"/>
        <w:widowControl w:val="0"/>
        <w:numPr>
          <w:ilvl w:val="0"/>
          <w:numId w:val="5"/>
        </w:numPr>
        <w:kinsoku/>
        <w:wordWrap/>
        <w:overflowPunct/>
        <w:topLinePunct w:val="0"/>
        <w:autoSpaceDE/>
        <w:autoSpaceDN/>
        <w:bidi w:val="0"/>
        <w:adjustRightInd/>
        <w:snapToGrid/>
        <w:ind w:left="0"/>
        <w:textAlignment w:val="auto"/>
        <w:rPr>
          <w:highlight w:val="none"/>
        </w:rPr>
      </w:pPr>
      <w:r>
        <w:rPr>
          <w:rFonts w:hint="eastAsia"/>
          <w:highlight w:val="none"/>
        </w:rPr>
        <w:t>具备较高程度的自动化能力、系统出错信息的生成和报告以及对系统故障进行分析和恢复的能力，具备对系统运行的控制和监测能力，具有容错能力</w:t>
      </w:r>
    </w:p>
    <w:p w14:paraId="01D0B36B">
      <w:pPr>
        <w:pStyle w:val="4"/>
        <w:bidi w:val="0"/>
        <w:rPr>
          <w:highlight w:val="none"/>
        </w:rPr>
      </w:pPr>
      <w:bookmarkStart w:id="4" w:name="_Toc24390"/>
      <w:r>
        <w:rPr>
          <w:rFonts w:hint="eastAsia"/>
          <w:highlight w:val="none"/>
        </w:rPr>
        <w:t>信息系统安全保护等级级别</w:t>
      </w:r>
      <w:bookmarkEnd w:id="4"/>
    </w:p>
    <w:p w14:paraId="04AFB297">
      <w:pPr>
        <w:bidi w:val="0"/>
        <w:rPr>
          <w:rFonts w:hint="default" w:eastAsia="仿宋_GB2312"/>
          <w:highlight w:val="none"/>
          <w:lang w:val="en-US" w:eastAsia="zh-CN"/>
        </w:rPr>
      </w:pPr>
      <w:r>
        <w:rPr>
          <w:rFonts w:hint="eastAsia"/>
          <w:highlight w:val="none"/>
        </w:rPr>
        <w:t>本项目建设的医共体病理中心</w:t>
      </w:r>
      <w:r>
        <w:rPr>
          <w:rFonts w:hint="eastAsia"/>
          <w:highlight w:val="none"/>
          <w:lang w:val="en-US" w:eastAsia="zh-CN"/>
        </w:rPr>
        <w:t>系统</w:t>
      </w:r>
      <w:r>
        <w:rPr>
          <w:rFonts w:hint="eastAsia"/>
          <w:highlight w:val="none"/>
        </w:rPr>
        <w:t>不涉及信息系统安全保护等级评级。医共体病理中心</w:t>
      </w:r>
      <w:r>
        <w:rPr>
          <w:rFonts w:hint="eastAsia"/>
          <w:highlight w:val="none"/>
          <w:lang w:val="en-US" w:eastAsia="zh-CN"/>
        </w:rPr>
        <w:t>系统需满足二级等保要求。</w:t>
      </w:r>
    </w:p>
    <w:p w14:paraId="3CC9E5A6">
      <w:pPr>
        <w:bidi w:val="0"/>
        <w:rPr>
          <w:highlight w:val="none"/>
        </w:rPr>
      </w:pPr>
    </w:p>
    <w:p w14:paraId="1847AB27">
      <w:pPr>
        <w:ind w:firstLine="480"/>
        <w:rPr>
          <w:rFonts w:ascii="仿宋" w:hAnsi="仿宋" w:eastAsia="仿宋"/>
          <w:highlight w:val="none"/>
        </w:rPr>
      </w:pPr>
    </w:p>
    <w:p w14:paraId="112DB89F">
      <w:pPr>
        <w:pStyle w:val="3"/>
        <w:bidi w:val="0"/>
        <w:rPr>
          <w:rFonts w:hint="eastAsia" w:ascii="黑体" w:hAnsi="黑体" w:eastAsia="黑体" w:cs="黑体"/>
          <w:kern w:val="2"/>
          <w:sz w:val="28"/>
          <w:szCs w:val="28"/>
          <w:highlight w:val="none"/>
          <w:lang w:val="en-US" w:eastAsia="zh-CN" w:bidi="ar-SA"/>
        </w:rPr>
      </w:pPr>
      <w:bookmarkStart w:id="5" w:name="_Toc30204"/>
      <w:r>
        <w:rPr>
          <w:rFonts w:hint="eastAsia" w:cs="黑体"/>
          <w:kern w:val="2"/>
          <w:sz w:val="28"/>
          <w:szCs w:val="28"/>
          <w:highlight w:val="none"/>
          <w:lang w:val="en-US" w:eastAsia="zh-CN" w:bidi="ar-SA"/>
        </w:rPr>
        <w:t>国产化需求分析</w:t>
      </w:r>
      <w:bookmarkEnd w:id="5"/>
    </w:p>
    <w:p w14:paraId="445B4658">
      <w:pPr>
        <w:rPr>
          <w:rFonts w:hint="eastAsia"/>
          <w:highlight w:val="none"/>
          <w:lang w:val="en-US" w:eastAsia="zh-CN"/>
        </w:rPr>
      </w:pPr>
      <w:r>
        <w:rPr>
          <w:rFonts w:hint="eastAsia"/>
          <w:highlight w:val="none"/>
          <w:lang w:val="en-US" w:eastAsia="zh-CN"/>
        </w:rPr>
        <w:t>2022年9月底国资委下发《国资委79号文》，全面指导并要求国央企落实信息化系统的信创国产化改造，要求央企、国企、地方国企全面落实信创国产化。其中，明确要求到2027年底前，实现所有中央企业的信息化系统国产化替代，信创产业将从“关键环节、部分市场”走向“全产业链、全行业”的信息技术升级，全面构建国产自主的IT标准与服务生态。</w:t>
      </w:r>
    </w:p>
    <w:p w14:paraId="114223A8">
      <w:pPr>
        <w:rPr>
          <w:rFonts w:hint="eastAsia"/>
          <w:highlight w:val="none"/>
          <w:lang w:val="en-US" w:eastAsia="zh-CN"/>
        </w:rPr>
      </w:pPr>
      <w:r>
        <w:rPr>
          <w:rFonts w:hint="eastAsia"/>
          <w:highlight w:val="none"/>
          <w:lang w:val="en-US" w:eastAsia="zh-CN"/>
        </w:rPr>
        <w:t>随着这些年信创技术应用创新技术在党政机关、重点行业的深入推进，信创产品已经逐渐由“可用”到“能用”“好用”转变，同时，基于信创软硬件的行业应用开始走向多元化，医疗行业的应用也要向信创化转变。</w:t>
      </w:r>
    </w:p>
    <w:p w14:paraId="7CD682D1">
      <w:pPr>
        <w:rPr>
          <w:rFonts w:hint="eastAsia"/>
          <w:highlight w:val="none"/>
          <w:lang w:val="en-US" w:eastAsia="zh-CN"/>
        </w:rPr>
      </w:pPr>
      <w:r>
        <w:rPr>
          <w:rFonts w:hint="eastAsia"/>
          <w:highlight w:val="none"/>
          <w:lang w:val="en-US" w:eastAsia="zh-CN"/>
        </w:rPr>
        <w:t>为响应国家信创战略及医疗行业安全可控要求，医院需全面推进信息系统国产化建设，重点实现核心软硬件设备的自主可控。具体要求包括：</w:t>
      </w:r>
    </w:p>
    <w:p w14:paraId="3F840E8F">
      <w:pPr>
        <w:numPr>
          <w:ilvl w:val="0"/>
          <w:numId w:val="6"/>
        </w:numPr>
        <w:bidi w:val="0"/>
        <w:rPr>
          <w:rFonts w:hint="eastAsia"/>
          <w:highlight w:val="none"/>
          <w:lang w:val="en-US" w:eastAsia="zh-CN"/>
        </w:rPr>
      </w:pPr>
      <w:r>
        <w:rPr>
          <w:rFonts w:hint="eastAsia"/>
          <w:highlight w:val="none"/>
          <w:lang w:val="en-US" w:eastAsia="zh-CN"/>
        </w:rPr>
        <w:t>基础设施国产化：服务器、存储、网络设备优先采用国产芯片（如鲲鹏、海光）及操作系统（如统信、麒麟），逐步替换进口设备；</w:t>
      </w:r>
    </w:p>
    <w:p w14:paraId="07DD5032">
      <w:pPr>
        <w:numPr>
          <w:ilvl w:val="0"/>
          <w:numId w:val="6"/>
        </w:numPr>
        <w:bidi w:val="0"/>
        <w:rPr>
          <w:rFonts w:hint="eastAsia"/>
          <w:highlight w:val="none"/>
          <w:lang w:val="en-US" w:eastAsia="zh-CN"/>
        </w:rPr>
      </w:pPr>
      <w:r>
        <w:rPr>
          <w:rFonts w:hint="eastAsia"/>
          <w:highlight w:val="none"/>
          <w:lang w:val="en-US" w:eastAsia="zh-CN"/>
        </w:rPr>
        <w:t>软件系统适配：兼容国产数据库（如达梦、人大金仓）、中间件（如东方通、金蝶）及开发框架，确保与基础设施的适配性；</w:t>
      </w:r>
    </w:p>
    <w:p w14:paraId="72D997E8">
      <w:pPr>
        <w:numPr>
          <w:ilvl w:val="0"/>
          <w:numId w:val="7"/>
        </w:numPr>
        <w:bidi w:val="0"/>
        <w:rPr>
          <w:b/>
          <w:bCs/>
          <w:highlight w:val="none"/>
        </w:rPr>
      </w:pPr>
      <w:r>
        <w:rPr>
          <w:rFonts w:hint="eastAsia"/>
          <w:b/>
          <w:bCs/>
          <w:highlight w:val="none"/>
          <w:lang w:val="en-US" w:eastAsia="zh-CN"/>
        </w:rPr>
        <w:t>国产化</w:t>
      </w:r>
      <w:r>
        <w:rPr>
          <w:rFonts w:hint="eastAsia"/>
          <w:b/>
          <w:bCs/>
          <w:highlight w:val="none"/>
        </w:rPr>
        <w:t>要求</w:t>
      </w:r>
    </w:p>
    <w:p w14:paraId="06592AA8">
      <w:pPr>
        <w:keepNext w:val="0"/>
        <w:keepLines w:val="0"/>
        <w:pageBreakBefore w:val="0"/>
        <w:widowControl w:val="0"/>
        <w:numPr>
          <w:ilvl w:val="0"/>
          <w:numId w:val="8"/>
        </w:numPr>
        <w:kinsoku/>
        <w:wordWrap/>
        <w:overflowPunct/>
        <w:topLinePunct w:val="0"/>
        <w:autoSpaceDE/>
        <w:autoSpaceDN/>
        <w:bidi w:val="0"/>
        <w:adjustRightInd/>
        <w:snapToGrid/>
        <w:ind w:left="0"/>
        <w:textAlignment w:val="auto"/>
        <w:rPr>
          <w:highlight w:val="none"/>
        </w:rPr>
      </w:pPr>
      <w:r>
        <w:rPr>
          <w:rFonts w:hint="eastAsia"/>
          <w:highlight w:val="none"/>
        </w:rPr>
        <w:t>CPU处理器</w:t>
      </w:r>
    </w:p>
    <w:p w14:paraId="17B777EA">
      <w:pPr>
        <w:bidi w:val="0"/>
        <w:rPr>
          <w:highlight w:val="none"/>
        </w:rPr>
      </w:pPr>
      <w:r>
        <w:rPr>
          <w:highlight w:val="none"/>
        </w:rPr>
        <w:t>支持并适配国产主流</w:t>
      </w:r>
      <w:r>
        <w:rPr>
          <w:rFonts w:hint="eastAsia"/>
          <w:highlight w:val="none"/>
          <w:lang w:val="en-US" w:eastAsia="zh-CN"/>
        </w:rPr>
        <w:t>0.</w:t>
      </w:r>
      <w:r>
        <w:rPr>
          <w:highlight w:val="none"/>
        </w:rPr>
        <w:t>CPU架构，如：飞腾</w:t>
      </w:r>
      <w:r>
        <w:rPr>
          <w:rFonts w:hint="eastAsia"/>
          <w:highlight w:val="none"/>
        </w:rPr>
        <w:t>、</w:t>
      </w:r>
      <w:r>
        <w:rPr>
          <w:highlight w:val="none"/>
        </w:rPr>
        <w:t>鲲鹏</w:t>
      </w:r>
      <w:r>
        <w:rPr>
          <w:rFonts w:hint="eastAsia"/>
          <w:highlight w:val="none"/>
        </w:rPr>
        <w:t>、</w:t>
      </w:r>
      <w:r>
        <w:rPr>
          <w:highlight w:val="none"/>
        </w:rPr>
        <w:t>龙芯</w:t>
      </w:r>
      <w:r>
        <w:rPr>
          <w:rFonts w:hint="eastAsia"/>
          <w:highlight w:val="none"/>
        </w:rPr>
        <w:t>、</w:t>
      </w:r>
      <w:r>
        <w:rPr>
          <w:highlight w:val="none"/>
        </w:rPr>
        <w:t>海光</w:t>
      </w:r>
      <w:r>
        <w:rPr>
          <w:rFonts w:hint="eastAsia"/>
          <w:highlight w:val="none"/>
        </w:rPr>
        <w:t>等。</w:t>
      </w:r>
      <w:r>
        <w:rPr>
          <w:highlight w:val="none"/>
        </w:rPr>
        <w:t>系统需在不同架构上稳定运行，性能满足病理图像处理（尤其是全切片数字图像）和分析需求</w:t>
      </w:r>
      <w:r>
        <w:rPr>
          <w:rFonts w:hint="eastAsia"/>
          <w:highlight w:val="none"/>
        </w:rPr>
        <w:t>。</w:t>
      </w:r>
    </w:p>
    <w:p w14:paraId="36944762">
      <w:pPr>
        <w:keepNext w:val="0"/>
        <w:keepLines w:val="0"/>
        <w:pageBreakBefore w:val="0"/>
        <w:widowControl w:val="0"/>
        <w:numPr>
          <w:ilvl w:val="0"/>
          <w:numId w:val="8"/>
        </w:numPr>
        <w:kinsoku/>
        <w:wordWrap/>
        <w:overflowPunct/>
        <w:topLinePunct w:val="0"/>
        <w:autoSpaceDE/>
        <w:autoSpaceDN/>
        <w:bidi w:val="0"/>
        <w:adjustRightInd/>
        <w:snapToGrid/>
        <w:ind w:left="0"/>
        <w:textAlignment w:val="auto"/>
        <w:rPr>
          <w:highlight w:val="none"/>
        </w:rPr>
      </w:pPr>
      <w:r>
        <w:rPr>
          <w:rFonts w:hint="eastAsia"/>
          <w:highlight w:val="none"/>
        </w:rPr>
        <w:t>操作系统</w:t>
      </w:r>
    </w:p>
    <w:p w14:paraId="7DF7FFC5">
      <w:pPr>
        <w:bidi w:val="0"/>
        <w:rPr>
          <w:highlight w:val="none"/>
        </w:rPr>
      </w:pPr>
      <w:r>
        <w:rPr>
          <w:rFonts w:hint="eastAsia"/>
          <w:highlight w:val="none"/>
        </w:rPr>
        <w:t>支</w:t>
      </w:r>
      <w:r>
        <w:rPr>
          <w:highlight w:val="none"/>
        </w:rPr>
        <w:t>持并适配国产主流操作系统，如统信UOS</w:t>
      </w:r>
      <w:r>
        <w:rPr>
          <w:rFonts w:hint="eastAsia"/>
          <w:highlight w:val="none"/>
        </w:rPr>
        <w:t>、</w:t>
      </w:r>
      <w:r>
        <w:rPr>
          <w:highlight w:val="none"/>
        </w:rPr>
        <w:t>麒麟软件（银河麒麟、中标麒麟）</w:t>
      </w:r>
      <w:r>
        <w:rPr>
          <w:rFonts w:hint="eastAsia"/>
          <w:highlight w:val="none"/>
        </w:rPr>
        <w:t>、</w:t>
      </w:r>
      <w:r>
        <w:rPr>
          <w:highlight w:val="none"/>
        </w:rPr>
        <w:t>中科方德</w:t>
      </w:r>
      <w:r>
        <w:rPr>
          <w:rFonts w:hint="eastAsia"/>
          <w:highlight w:val="none"/>
        </w:rPr>
        <w:t>等。</w:t>
      </w:r>
    </w:p>
    <w:p w14:paraId="6CCAAAAF">
      <w:pPr>
        <w:pStyle w:val="3"/>
        <w:bidi w:val="0"/>
        <w:rPr>
          <w:highlight w:val="none"/>
        </w:rPr>
      </w:pPr>
      <w:bookmarkStart w:id="6" w:name="_Toc2120"/>
      <w:r>
        <w:rPr>
          <w:rFonts w:hint="eastAsia"/>
          <w:highlight w:val="none"/>
        </w:rPr>
        <w:t>建设方案</w:t>
      </w:r>
      <w:bookmarkEnd w:id="6"/>
    </w:p>
    <w:p w14:paraId="33B0129D">
      <w:pPr>
        <w:pStyle w:val="4"/>
        <w:bidi w:val="0"/>
        <w:rPr>
          <w:highlight w:val="none"/>
        </w:rPr>
      </w:pPr>
      <w:bookmarkStart w:id="7" w:name="_Toc9309"/>
      <w:r>
        <w:rPr>
          <w:rFonts w:hint="eastAsia"/>
          <w:highlight w:val="none"/>
        </w:rPr>
        <w:t>病理信息管理系统</w:t>
      </w:r>
      <w:bookmarkEnd w:id="7"/>
    </w:p>
    <w:p w14:paraId="42C82A1A">
      <w:pPr>
        <w:pStyle w:val="5"/>
        <w:bidi w:val="0"/>
        <w:rPr>
          <w:highlight w:val="none"/>
        </w:rPr>
      </w:pPr>
      <w:r>
        <w:rPr>
          <w:rFonts w:hint="eastAsia"/>
          <w:highlight w:val="none"/>
        </w:rPr>
        <w:t>科室管理工作站</w:t>
      </w:r>
    </w:p>
    <w:p w14:paraId="0A4D6F57">
      <w:pPr>
        <w:bidi w:val="0"/>
        <w:rPr>
          <w:b/>
          <w:bCs/>
          <w:highlight w:val="none"/>
        </w:rPr>
      </w:pPr>
      <w:r>
        <w:rPr>
          <w:rFonts w:hint="eastAsia"/>
          <w:b/>
          <w:bCs/>
          <w:highlight w:val="none"/>
        </w:rPr>
        <w:t>一、组织机构及用户管理</w:t>
      </w:r>
    </w:p>
    <w:p w14:paraId="27E8879D">
      <w:pPr>
        <w:bidi w:val="0"/>
        <w:rPr>
          <w:highlight w:val="none"/>
        </w:rPr>
      </w:pPr>
      <w:r>
        <w:rPr>
          <w:highlight w:val="none"/>
        </w:rPr>
        <w:t>提供组织架构管理，支持多院区、多层级组织架构。提供用户基本信息及账号状态管理，支持分角色的用户授权，灵活分配各流程工作站的数据操作和查询权限，实现人员工作量、质控绩效的精细化管理。</w:t>
      </w:r>
    </w:p>
    <w:p w14:paraId="655B4777">
      <w:pPr>
        <w:bidi w:val="0"/>
        <w:rPr>
          <w:b/>
          <w:bCs/>
          <w:highlight w:val="none"/>
        </w:rPr>
      </w:pPr>
      <w:r>
        <w:rPr>
          <w:rFonts w:hint="eastAsia"/>
          <w:b/>
          <w:bCs/>
          <w:highlight w:val="none"/>
        </w:rPr>
        <w:t>二、病例库管理</w:t>
      </w:r>
    </w:p>
    <w:p w14:paraId="29D0099D">
      <w:pPr>
        <w:bidi w:val="0"/>
        <w:rPr>
          <w:highlight w:val="none"/>
        </w:rPr>
      </w:pPr>
      <w:r>
        <w:rPr>
          <w:highlight w:val="none"/>
        </w:rPr>
        <w:t>提供病理专业化分类病例库管理，实现各病例库的差异化分工流程配置、报告用时设置、流程数据记录设置</w:t>
      </w:r>
      <w:r>
        <w:rPr>
          <w:rFonts w:hint="eastAsia"/>
          <w:highlight w:val="none"/>
        </w:rPr>
        <w:t>，同时提供</w:t>
      </w:r>
      <w:r>
        <w:rPr>
          <w:highlight w:val="none"/>
        </w:rPr>
        <w:t>基础数据字典管理及多级数据字典管理，可对常用词、收藏标签、肿瘤分类等特殊字典进行分级、排序、导入操作。</w:t>
      </w:r>
    </w:p>
    <w:p w14:paraId="0EFBA08E">
      <w:pPr>
        <w:bidi w:val="0"/>
        <w:rPr>
          <w:b/>
          <w:bCs/>
          <w:highlight w:val="none"/>
        </w:rPr>
      </w:pPr>
      <w:r>
        <w:rPr>
          <w:rFonts w:hint="eastAsia"/>
          <w:b/>
          <w:bCs/>
          <w:highlight w:val="none"/>
        </w:rPr>
        <w:t>三、表单配置</w:t>
      </w:r>
    </w:p>
    <w:p w14:paraId="473DCACF">
      <w:pPr>
        <w:bidi w:val="0"/>
        <w:rPr>
          <w:highlight w:val="none"/>
        </w:rPr>
      </w:pPr>
      <w:r>
        <w:rPr>
          <w:highlight w:val="none"/>
        </w:rPr>
        <w:t>提供动态表单配置管理，包括电子申请单分类模板、病例信息登记模板等，可根据病理科实际使用需求配置数据填写内容、校验要求、排列样式</w:t>
      </w:r>
      <w:r>
        <w:rPr>
          <w:rFonts w:hint="eastAsia"/>
          <w:highlight w:val="none"/>
        </w:rPr>
        <w:t>。可同时调整</w:t>
      </w:r>
      <w:r>
        <w:rPr>
          <w:highlight w:val="none"/>
        </w:rPr>
        <w:t>打印配置，包括电子申请单、标本验收单、取材底单、诊断底单、借阅底单、医嘱记录单等，满足科内各类交接、归档打印要求。</w:t>
      </w:r>
    </w:p>
    <w:p w14:paraId="4D1B7647">
      <w:pPr>
        <w:bidi w:val="0"/>
        <w:rPr>
          <w:b/>
          <w:bCs/>
          <w:highlight w:val="none"/>
        </w:rPr>
      </w:pPr>
      <w:r>
        <w:rPr>
          <w:rFonts w:hint="eastAsia"/>
          <w:b/>
          <w:bCs/>
          <w:highlight w:val="none"/>
        </w:rPr>
        <w:t>四、报告配置</w:t>
      </w:r>
    </w:p>
    <w:p w14:paraId="13587210">
      <w:pPr>
        <w:bidi w:val="0"/>
        <w:rPr>
          <w:highlight w:val="none"/>
        </w:rPr>
      </w:pPr>
      <w:r>
        <w:rPr>
          <w:highlight w:val="none"/>
        </w:rPr>
        <w:t>提供常规、冰冻、细胞学、会诊、分子病理各类报告格式化书写模板及打印模板配置管理。模版编辑支持文字输入、单选、多选、表格、勾选框等元素随意排列组合，达到符合规范化诊断模版的最终报告输出要求，实现诊断报告的标准化。取材描写、诊断内容的格式化录入</w:t>
      </w:r>
      <w:r>
        <w:rPr>
          <w:rFonts w:hint="eastAsia"/>
          <w:highlight w:val="none"/>
        </w:rPr>
        <w:t>进行模版管理</w:t>
      </w:r>
      <w:r>
        <w:rPr>
          <w:highlight w:val="none"/>
        </w:rPr>
        <w:t>，提高诊断书写效率和诊断内容标准化。系统预置CAP模板及原文参考附件，并可根据病理科需求进行定制化修改。</w:t>
      </w:r>
    </w:p>
    <w:p w14:paraId="3EBA0408">
      <w:pPr>
        <w:bidi w:val="0"/>
        <w:rPr>
          <w:b/>
          <w:bCs/>
          <w:highlight w:val="none"/>
        </w:rPr>
      </w:pPr>
      <w:r>
        <w:rPr>
          <w:rFonts w:hint="eastAsia"/>
          <w:b/>
          <w:bCs/>
          <w:highlight w:val="none"/>
        </w:rPr>
        <w:t>五、统计报表配置</w:t>
      </w:r>
    </w:p>
    <w:p w14:paraId="436DB083">
      <w:pPr>
        <w:bidi w:val="0"/>
        <w:rPr>
          <w:highlight w:val="none"/>
        </w:rPr>
      </w:pPr>
      <w:r>
        <w:rPr>
          <w:highlight w:val="none"/>
        </w:rPr>
        <w:t>提供自定义统计报表配置，可通过明细表格、汇总表格、可视化图形多种形式，将系统内的病理流程数据配置成科室所需的质控统计报表，并授权给不同的科内用户</w:t>
      </w:r>
      <w:r>
        <w:rPr>
          <w:rFonts w:hint="eastAsia"/>
          <w:highlight w:val="none"/>
        </w:rPr>
        <w:t>用于查看、导出、打印</w:t>
      </w:r>
      <w:r>
        <w:rPr>
          <w:highlight w:val="none"/>
        </w:rPr>
        <w:t>。</w:t>
      </w:r>
    </w:p>
    <w:p w14:paraId="3BC83FA5">
      <w:pPr>
        <w:bidi w:val="0"/>
        <w:rPr>
          <w:b/>
          <w:bCs/>
          <w:highlight w:val="none"/>
        </w:rPr>
      </w:pPr>
      <w:r>
        <w:rPr>
          <w:rFonts w:hint="eastAsia"/>
          <w:b/>
          <w:bCs/>
          <w:highlight w:val="none"/>
        </w:rPr>
        <w:t>六、资料库配置</w:t>
      </w:r>
    </w:p>
    <w:p w14:paraId="5A94A39A">
      <w:pPr>
        <w:bidi w:val="0"/>
        <w:rPr>
          <w:highlight w:val="none"/>
        </w:rPr>
      </w:pPr>
      <w:r>
        <w:rPr>
          <w:highlight w:val="none"/>
        </w:rPr>
        <w:t>提供在线资料库，可上传及管理科室的规范性手册、诊断资料、参考文献等电子文档，可进行授权访问管理，按照系统不同流程站点分类提供电子资料的调阅功能。</w:t>
      </w:r>
    </w:p>
    <w:p w14:paraId="0BD60425">
      <w:pPr>
        <w:bidi w:val="0"/>
        <w:rPr>
          <w:b/>
          <w:bCs/>
          <w:highlight w:val="none"/>
        </w:rPr>
      </w:pPr>
      <w:r>
        <w:rPr>
          <w:rFonts w:hint="eastAsia"/>
          <w:b/>
          <w:bCs/>
          <w:highlight w:val="none"/>
        </w:rPr>
        <w:t>七、用户自定义查询设置</w:t>
      </w:r>
    </w:p>
    <w:p w14:paraId="77248D85">
      <w:pPr>
        <w:bidi w:val="0"/>
        <w:rPr>
          <w:highlight w:val="none"/>
        </w:rPr>
      </w:pPr>
      <w:r>
        <w:rPr>
          <w:rFonts w:hint="eastAsia"/>
          <w:highlight w:val="none"/>
        </w:rPr>
        <w:t>提供</w:t>
      </w:r>
      <w:r>
        <w:rPr>
          <w:highlight w:val="none"/>
        </w:rPr>
        <w:t>各流程的数据查询列表，支持用户级自定义设置，可按照个人习惯及工作职能自行设置查询列表的显示信息、排序、搜索条件，提高数据检索便捷性及日常工作效率。</w:t>
      </w:r>
    </w:p>
    <w:p w14:paraId="0CC2F16D">
      <w:pPr>
        <w:pStyle w:val="5"/>
        <w:bidi w:val="0"/>
        <w:rPr>
          <w:highlight w:val="none"/>
        </w:rPr>
      </w:pPr>
      <w:r>
        <w:rPr>
          <w:rFonts w:hint="eastAsia"/>
          <w:highlight w:val="none"/>
        </w:rPr>
        <w:t>登记工作站</w:t>
      </w:r>
    </w:p>
    <w:p w14:paraId="7AE078C6">
      <w:pPr>
        <w:bidi w:val="0"/>
        <w:rPr>
          <w:b/>
          <w:bCs/>
          <w:highlight w:val="none"/>
        </w:rPr>
      </w:pPr>
      <w:r>
        <w:rPr>
          <w:rFonts w:hint="eastAsia"/>
          <w:b/>
          <w:bCs/>
          <w:highlight w:val="none"/>
        </w:rPr>
        <w:t>一、病例分库登记</w:t>
      </w:r>
    </w:p>
    <w:p w14:paraId="5821371B">
      <w:pPr>
        <w:bidi w:val="0"/>
        <w:rPr>
          <w:highlight w:val="none"/>
        </w:rPr>
      </w:pPr>
      <w:r>
        <w:rPr>
          <w:highlight w:val="none"/>
        </w:rPr>
        <w:t>支持按照常规组织、细胞学、分子病理、冰冻等分类病例库进行病例登记</w:t>
      </w:r>
      <w:r>
        <w:rPr>
          <w:rFonts w:hint="eastAsia"/>
          <w:highlight w:val="none"/>
        </w:rPr>
        <w:t>允许医护人员根据实际需求灵活设置各个分库的报告提交时间。</w:t>
      </w:r>
      <w:r>
        <w:rPr>
          <w:highlight w:val="none"/>
        </w:rPr>
        <w:t>支持预登记功能，可一键转移到正式登记库</w:t>
      </w:r>
      <w:r>
        <w:rPr>
          <w:rFonts w:hint="eastAsia"/>
          <w:highlight w:val="none"/>
        </w:rPr>
        <w:t>，</w:t>
      </w:r>
      <w:r>
        <w:rPr>
          <w:highlight w:val="none"/>
        </w:rPr>
        <w:t>可录入基本信息实现快速的批量自动编</w:t>
      </w:r>
      <w:r>
        <w:rPr>
          <w:rFonts w:hint="eastAsia"/>
          <w:highlight w:val="none"/>
        </w:rPr>
        <w:t>号。</w:t>
      </w:r>
    </w:p>
    <w:p w14:paraId="0AA72B60">
      <w:pPr>
        <w:bidi w:val="0"/>
        <w:rPr>
          <w:b/>
          <w:bCs/>
          <w:highlight w:val="none"/>
        </w:rPr>
      </w:pPr>
      <w:r>
        <w:rPr>
          <w:rFonts w:hint="eastAsia"/>
          <w:b/>
          <w:bCs/>
          <w:highlight w:val="none"/>
        </w:rPr>
        <w:t>二、快速录入</w:t>
      </w:r>
    </w:p>
    <w:p w14:paraId="7FF13F17">
      <w:pPr>
        <w:bidi w:val="0"/>
        <w:rPr>
          <w:highlight w:val="none"/>
        </w:rPr>
      </w:pPr>
      <w:r>
        <w:rPr>
          <w:rFonts w:hint="eastAsia"/>
          <w:highlight w:val="none"/>
        </w:rPr>
        <w:t>对接HIS系统，</w:t>
      </w:r>
      <w:r>
        <w:rPr>
          <w:highlight w:val="none"/>
        </w:rPr>
        <w:t>支持通过样本号、住院号、申请号等快速提取送检信息及样本信息</w:t>
      </w:r>
      <w:r>
        <w:rPr>
          <w:rFonts w:hint="eastAsia"/>
          <w:highlight w:val="none"/>
        </w:rPr>
        <w:t>，同时也</w:t>
      </w:r>
      <w:r>
        <w:rPr>
          <w:highlight w:val="none"/>
        </w:rPr>
        <w:t>支持手工录入送检病例信息及样本信息</w:t>
      </w:r>
      <w:r>
        <w:rPr>
          <w:rFonts w:hint="eastAsia"/>
          <w:highlight w:val="none"/>
        </w:rPr>
        <w:t>，</w:t>
      </w:r>
      <w:r>
        <w:rPr>
          <w:highlight w:val="none"/>
        </w:rPr>
        <w:t>支持配置多种送检信息、样本信息默认值，提高医生登记效率</w:t>
      </w:r>
      <w:r>
        <w:rPr>
          <w:rFonts w:hint="eastAsia"/>
          <w:highlight w:val="none"/>
        </w:rPr>
        <w:t>。</w:t>
      </w:r>
    </w:p>
    <w:p w14:paraId="1DBA2C33">
      <w:pPr>
        <w:bidi w:val="0"/>
        <w:rPr>
          <w:b/>
          <w:bCs/>
          <w:highlight w:val="none"/>
        </w:rPr>
      </w:pPr>
      <w:r>
        <w:rPr>
          <w:rFonts w:hint="eastAsia"/>
          <w:b/>
          <w:bCs/>
          <w:highlight w:val="none"/>
        </w:rPr>
        <w:t>三、临床送检质控</w:t>
      </w:r>
    </w:p>
    <w:p w14:paraId="02945A6F">
      <w:pPr>
        <w:bidi w:val="0"/>
        <w:rPr>
          <w:highlight w:val="none"/>
        </w:rPr>
      </w:pPr>
      <w:r>
        <w:rPr>
          <w:highlight w:val="none"/>
        </w:rPr>
        <w:t>临床送检质控记录，对临床送检标本是否符合标准进行记录</w:t>
      </w:r>
      <w:r>
        <w:rPr>
          <w:rFonts w:hint="eastAsia"/>
          <w:highlight w:val="none"/>
        </w:rPr>
        <w:t>，包括但不限于标本采集不规范、标本容器不合适、标本标识不清、标本运输过程中损坏、标本量不足、标本污染等情况。</w:t>
      </w:r>
    </w:p>
    <w:p w14:paraId="328499B0">
      <w:pPr>
        <w:bidi w:val="0"/>
        <w:rPr>
          <w:b/>
          <w:bCs/>
          <w:highlight w:val="none"/>
        </w:rPr>
      </w:pPr>
      <w:r>
        <w:rPr>
          <w:rFonts w:hint="eastAsia"/>
          <w:b/>
          <w:bCs/>
          <w:highlight w:val="none"/>
        </w:rPr>
        <w:t>四、自动编号</w:t>
      </w:r>
    </w:p>
    <w:p w14:paraId="3AF62E31">
      <w:pPr>
        <w:bidi w:val="0"/>
        <w:rPr>
          <w:highlight w:val="none"/>
        </w:rPr>
      </w:pPr>
      <w:r>
        <w:rPr>
          <w:highlight w:val="none"/>
        </w:rPr>
        <w:t>支持病理编号按照规则自动升位登记；自动提示及禁止重号，保证编号连续性及唯一性。</w:t>
      </w:r>
      <w:r>
        <w:rPr>
          <w:rFonts w:hint="eastAsia"/>
          <w:highlight w:val="none"/>
        </w:rPr>
        <w:t>如果出现病理号重复的情况，系统会自动进行检测并弹出提示信息，以确保数据的唯一性和准确性，避免因重号导致的记录混乱和信息错误。</w:t>
      </w:r>
    </w:p>
    <w:p w14:paraId="3F0D5DDB">
      <w:pPr>
        <w:bidi w:val="0"/>
        <w:rPr>
          <w:b/>
          <w:bCs/>
          <w:highlight w:val="none"/>
        </w:rPr>
      </w:pPr>
      <w:r>
        <w:rPr>
          <w:rFonts w:hint="eastAsia"/>
          <w:b/>
          <w:bCs/>
          <w:highlight w:val="none"/>
        </w:rPr>
        <w:t>五、VIP患者管理</w:t>
      </w:r>
    </w:p>
    <w:p w14:paraId="11AE44A4">
      <w:pPr>
        <w:bidi w:val="0"/>
        <w:rPr>
          <w:highlight w:val="none"/>
        </w:rPr>
      </w:pPr>
      <w:r>
        <w:rPr>
          <w:highlight w:val="none"/>
        </w:rPr>
        <w:t>支持登记时管理VIP患者标识，可对VIP患者病例设置限制，仅限指定人员进行查看</w:t>
      </w:r>
      <w:r>
        <w:rPr>
          <w:rFonts w:hint="eastAsia"/>
          <w:highlight w:val="none"/>
        </w:rPr>
        <w:t>，有效保证VIP患者医疗数据安全。</w:t>
      </w:r>
    </w:p>
    <w:p w14:paraId="68FD21C1">
      <w:pPr>
        <w:bidi w:val="0"/>
        <w:rPr>
          <w:b/>
          <w:bCs/>
          <w:highlight w:val="none"/>
        </w:rPr>
      </w:pPr>
      <w:r>
        <w:rPr>
          <w:rFonts w:hint="eastAsia"/>
          <w:b/>
          <w:bCs/>
          <w:highlight w:val="none"/>
        </w:rPr>
        <w:t>六、标签打印</w:t>
      </w:r>
    </w:p>
    <w:p w14:paraId="15ACAC40">
      <w:pPr>
        <w:bidi w:val="0"/>
        <w:rPr>
          <w:highlight w:val="none"/>
        </w:rPr>
      </w:pPr>
      <w:r>
        <w:rPr>
          <w:rFonts w:hint="eastAsia"/>
          <w:highlight w:val="none"/>
        </w:rPr>
        <w:t>标签及回执单打印功能，支持一维码和二维码的生成与打印，医护人员可以根据实际需求选择单个打印或批量打印模式，灵活高效地完成各类标签及回执单的打印任务。无论是单张处理还是大批量输出，系统均能确保打印过程的稳定性和准确性，满足不同场景下的打印需求。</w:t>
      </w:r>
    </w:p>
    <w:p w14:paraId="0E726EF0">
      <w:pPr>
        <w:bidi w:val="0"/>
        <w:rPr>
          <w:b/>
          <w:bCs/>
          <w:highlight w:val="none"/>
        </w:rPr>
      </w:pPr>
      <w:r>
        <w:rPr>
          <w:rFonts w:hint="eastAsia"/>
          <w:b/>
          <w:bCs/>
          <w:highlight w:val="none"/>
        </w:rPr>
        <w:t>七、状态色标提示</w:t>
      </w:r>
    </w:p>
    <w:p w14:paraId="4DDBABCD">
      <w:pPr>
        <w:bidi w:val="0"/>
        <w:rPr>
          <w:highlight w:val="none"/>
        </w:rPr>
      </w:pPr>
      <w:r>
        <w:rPr>
          <w:rFonts w:hint="eastAsia"/>
          <w:highlight w:val="none"/>
        </w:rPr>
        <w:t>各工作站在进行登记、取材、包埋、切片、诊断、延期、报告以及打印等关键操作时，系统会通过主要状态色标颜色的提示功能，向医护人员直观展示当前工作环节的具体状态。</w:t>
      </w:r>
    </w:p>
    <w:p w14:paraId="7A73E59D">
      <w:pPr>
        <w:pStyle w:val="5"/>
        <w:bidi w:val="0"/>
        <w:rPr>
          <w:highlight w:val="none"/>
        </w:rPr>
      </w:pPr>
      <w:r>
        <w:rPr>
          <w:rFonts w:hint="eastAsia"/>
          <w:highlight w:val="none"/>
        </w:rPr>
        <w:t>取材工作站</w:t>
      </w:r>
    </w:p>
    <w:p w14:paraId="4695A8E3">
      <w:pPr>
        <w:bidi w:val="0"/>
        <w:rPr>
          <w:b/>
          <w:bCs/>
          <w:highlight w:val="none"/>
        </w:rPr>
      </w:pPr>
      <w:r>
        <w:rPr>
          <w:rFonts w:hint="eastAsia"/>
          <w:b/>
          <w:bCs/>
          <w:highlight w:val="none"/>
        </w:rPr>
        <w:t>一、未取材病例提示</w:t>
      </w:r>
    </w:p>
    <w:p w14:paraId="6379935C">
      <w:pPr>
        <w:bidi w:val="0"/>
        <w:rPr>
          <w:highlight w:val="none"/>
        </w:rPr>
      </w:pPr>
      <w:r>
        <w:rPr>
          <w:rFonts w:hint="eastAsia"/>
          <w:highlight w:val="none"/>
        </w:rPr>
        <w:t>系统会自动弹出提示框，详细展示所有已经完成登记手续但尚未进行取材操作的病例清单，确保相关人员能够及时跟进处理。同时，系统还会特别列出那些存在补取样本需求的病例列表，以便工作人员能够优先关注并妥善安排补取工作，确保病例数据的完整性和准确性。</w:t>
      </w:r>
    </w:p>
    <w:p w14:paraId="047B507D">
      <w:pPr>
        <w:bidi w:val="0"/>
        <w:rPr>
          <w:b/>
          <w:bCs/>
          <w:highlight w:val="none"/>
        </w:rPr>
      </w:pPr>
      <w:r>
        <w:rPr>
          <w:rFonts w:hint="eastAsia"/>
          <w:b/>
          <w:bCs/>
          <w:highlight w:val="none"/>
        </w:rPr>
        <w:t>二、双人取材</w:t>
      </w:r>
    </w:p>
    <w:p w14:paraId="402C7DE9">
      <w:pPr>
        <w:bidi w:val="0"/>
        <w:rPr>
          <w:highlight w:val="none"/>
        </w:rPr>
      </w:pPr>
      <w:r>
        <w:rPr>
          <w:highlight w:val="none"/>
        </w:rPr>
        <w:t>支持取材记录员和取材医生双人同步操作，双界面的取材信息同步显示。出现多人同时打开同个病例取材信息时，系统可自动做出提示，避免误操作。</w:t>
      </w:r>
      <w:r>
        <w:rPr>
          <w:rFonts w:hint="eastAsia"/>
          <w:highlight w:val="none"/>
        </w:rPr>
        <w:t>通过双人取材核对机制，确保在取材过程中信息的准确无误，有效避免了因信息错误而导致的取材失误。</w:t>
      </w:r>
    </w:p>
    <w:p w14:paraId="13256610">
      <w:pPr>
        <w:bidi w:val="0"/>
        <w:rPr>
          <w:b/>
          <w:bCs/>
          <w:highlight w:val="none"/>
        </w:rPr>
      </w:pPr>
      <w:r>
        <w:rPr>
          <w:rFonts w:hint="eastAsia"/>
          <w:b/>
          <w:bCs/>
          <w:highlight w:val="none"/>
        </w:rPr>
        <w:t>三、批量增加记录</w:t>
      </w:r>
    </w:p>
    <w:p w14:paraId="61A00A41">
      <w:pPr>
        <w:bidi w:val="0"/>
        <w:rPr>
          <w:highlight w:val="none"/>
        </w:rPr>
      </w:pPr>
      <w:r>
        <w:rPr>
          <w:rFonts w:hint="eastAsia"/>
          <w:highlight w:val="none"/>
        </w:rPr>
        <w:t>在取材录入的过程中，针对同一部位的标本，系统支持单键点击操作，医护人员可以通过这一功能轻松实现批量增加记录的操作，极大地提升了数据录入的效率和准确性，避免了重复繁琐的手工输入，优化了整体工作流程。</w:t>
      </w:r>
    </w:p>
    <w:p w14:paraId="1F790521">
      <w:pPr>
        <w:bidi w:val="0"/>
        <w:rPr>
          <w:b/>
          <w:bCs/>
          <w:highlight w:val="none"/>
        </w:rPr>
      </w:pPr>
      <w:r>
        <w:rPr>
          <w:rFonts w:hint="eastAsia"/>
          <w:b/>
          <w:bCs/>
          <w:highlight w:val="none"/>
        </w:rPr>
        <w:t>四、冰冻结果提示</w:t>
      </w:r>
    </w:p>
    <w:p w14:paraId="1EBC822E">
      <w:pPr>
        <w:bidi w:val="0"/>
        <w:rPr>
          <w:highlight w:val="none"/>
        </w:rPr>
      </w:pPr>
      <w:r>
        <w:rPr>
          <w:highlight w:val="none"/>
        </w:rPr>
        <w:t>支持冰冻病例，打印冻头标签。</w:t>
      </w:r>
      <w:r>
        <w:rPr>
          <w:rFonts w:hint="eastAsia"/>
          <w:highlight w:val="none"/>
        </w:rPr>
        <w:t>在取材过程中，系统会自动弹出提示信息，明确告知操作人员该病例是否已经进行过冰冻处理，并且提供了便捷的查看功能，允许医护人员直接查阅相关的冰冻结果。</w:t>
      </w:r>
    </w:p>
    <w:p w14:paraId="1488EA17">
      <w:pPr>
        <w:bidi w:val="0"/>
        <w:rPr>
          <w:b/>
          <w:bCs/>
          <w:highlight w:val="none"/>
        </w:rPr>
      </w:pPr>
      <w:r>
        <w:rPr>
          <w:rFonts w:hint="eastAsia"/>
          <w:b/>
          <w:bCs/>
          <w:highlight w:val="none"/>
        </w:rPr>
        <w:t>五、取材类别自定义</w:t>
      </w:r>
    </w:p>
    <w:p w14:paraId="38797B6E">
      <w:pPr>
        <w:bidi w:val="0"/>
        <w:rPr>
          <w:highlight w:val="none"/>
        </w:rPr>
      </w:pPr>
      <w:r>
        <w:rPr>
          <w:rFonts w:hint="eastAsia"/>
          <w:highlight w:val="none"/>
        </w:rPr>
        <w:t>在取材类别的选择上，除了常规的取材方式和冰冻取材这两种常见的类型之外，系统还提供了灵活的自定义功能，允许医护人员根据实际需求和特定场景，自行设定和添加其他多种取材类别。</w:t>
      </w:r>
    </w:p>
    <w:p w14:paraId="08D718FB">
      <w:pPr>
        <w:bidi w:val="0"/>
        <w:rPr>
          <w:b/>
          <w:bCs/>
          <w:highlight w:val="none"/>
        </w:rPr>
      </w:pPr>
      <w:r>
        <w:rPr>
          <w:rFonts w:hint="eastAsia"/>
          <w:b/>
          <w:bCs/>
          <w:highlight w:val="none"/>
        </w:rPr>
        <w:t>六、大体拍摄</w:t>
      </w:r>
    </w:p>
    <w:p w14:paraId="30E1475E">
      <w:pPr>
        <w:bidi w:val="0"/>
        <w:rPr>
          <w:highlight w:val="none"/>
        </w:rPr>
      </w:pPr>
      <w:r>
        <w:rPr>
          <w:highlight w:val="none"/>
        </w:rPr>
        <w:t>支持对接大体拍摄设备，拍摄记录采取部位</w:t>
      </w:r>
      <w:r>
        <w:rPr>
          <w:rFonts w:hint="eastAsia"/>
          <w:highlight w:val="none"/>
        </w:rPr>
        <w:t>，图像能自动保存至系统中。在摄像过程中，设备支持变焦功能，可以根据实际需要灵活调整焦距。</w:t>
      </w:r>
    </w:p>
    <w:p w14:paraId="1510CA43">
      <w:pPr>
        <w:bidi w:val="0"/>
        <w:rPr>
          <w:b/>
          <w:bCs/>
          <w:highlight w:val="none"/>
        </w:rPr>
      </w:pPr>
      <w:r>
        <w:rPr>
          <w:rFonts w:hint="eastAsia"/>
          <w:b/>
          <w:bCs/>
          <w:highlight w:val="none"/>
        </w:rPr>
        <w:t>七、取材录像</w:t>
      </w:r>
    </w:p>
    <w:p w14:paraId="6DCD8A55">
      <w:pPr>
        <w:bidi w:val="0"/>
        <w:rPr>
          <w:highlight w:val="none"/>
        </w:rPr>
      </w:pPr>
      <w:r>
        <w:rPr>
          <w:highlight w:val="none"/>
        </w:rPr>
        <w:t>支持对取材过程录像，按单病例自动分段存储，并支持录像的查询和回放</w:t>
      </w:r>
      <w:r>
        <w:rPr>
          <w:rFonts w:hint="eastAsia"/>
          <w:highlight w:val="none"/>
        </w:rPr>
        <w:t>。保证标本取材环节的可追溯性，有效避免医疗风险。</w:t>
      </w:r>
    </w:p>
    <w:p w14:paraId="00706A95">
      <w:pPr>
        <w:bidi w:val="0"/>
        <w:rPr>
          <w:b/>
          <w:bCs/>
          <w:highlight w:val="none"/>
        </w:rPr>
      </w:pPr>
      <w:r>
        <w:rPr>
          <w:rFonts w:hint="eastAsia"/>
          <w:b/>
          <w:bCs/>
          <w:highlight w:val="none"/>
        </w:rPr>
        <w:t>八、预打印包埋号</w:t>
      </w:r>
    </w:p>
    <w:p w14:paraId="7ED9793C">
      <w:pPr>
        <w:bidi w:val="0"/>
        <w:rPr>
          <w:highlight w:val="none"/>
        </w:rPr>
      </w:pPr>
      <w:r>
        <w:rPr>
          <w:rFonts w:hint="eastAsia"/>
          <w:highlight w:val="none"/>
        </w:rPr>
        <w:t>系统具备预打印包埋号的功能，医护人员可以在实际操作前预先打印出所需的包埋号，从而提高工作效率和减少出错概率。此外，该系统还具备了与包埋号打号机的接口功能，能够无缝对接各种型号的包埋号打号设备。</w:t>
      </w:r>
    </w:p>
    <w:p w14:paraId="374D7FDE">
      <w:pPr>
        <w:pStyle w:val="5"/>
        <w:bidi w:val="0"/>
        <w:rPr>
          <w:highlight w:val="none"/>
        </w:rPr>
      </w:pPr>
      <w:r>
        <w:rPr>
          <w:rFonts w:hint="eastAsia"/>
          <w:highlight w:val="none"/>
        </w:rPr>
        <w:t>包埋工作站</w:t>
      </w:r>
    </w:p>
    <w:p w14:paraId="121AA49B">
      <w:pPr>
        <w:bidi w:val="0"/>
        <w:rPr>
          <w:b/>
          <w:bCs/>
          <w:highlight w:val="none"/>
        </w:rPr>
      </w:pPr>
      <w:r>
        <w:rPr>
          <w:rFonts w:hint="eastAsia"/>
          <w:b/>
          <w:bCs/>
          <w:highlight w:val="none"/>
        </w:rPr>
        <w:t>一、包埋记录核对</w:t>
      </w:r>
    </w:p>
    <w:p w14:paraId="09E4B618">
      <w:pPr>
        <w:bidi w:val="0"/>
        <w:rPr>
          <w:highlight w:val="none"/>
        </w:rPr>
      </w:pPr>
      <w:r>
        <w:rPr>
          <w:rFonts w:hint="eastAsia"/>
          <w:highlight w:val="none"/>
        </w:rPr>
        <w:t>系统会自动启动并展示所有已经完成取材步骤但尚未进行包埋处理的病例的详细取材明细记录，以便于技术员在执行包埋操作时能够逐一进行仔细核对，确保每个病例的取材信息准确无误。</w:t>
      </w:r>
    </w:p>
    <w:p w14:paraId="69E1C003">
      <w:pPr>
        <w:bidi w:val="0"/>
        <w:rPr>
          <w:b/>
          <w:bCs/>
          <w:highlight w:val="none"/>
        </w:rPr>
      </w:pPr>
      <w:r>
        <w:rPr>
          <w:rFonts w:hint="eastAsia"/>
          <w:b/>
          <w:bCs/>
          <w:highlight w:val="none"/>
        </w:rPr>
        <w:t>二、包埋状态区分</w:t>
      </w:r>
    </w:p>
    <w:p w14:paraId="0A156B38">
      <w:pPr>
        <w:bidi w:val="0"/>
        <w:rPr>
          <w:highlight w:val="none"/>
        </w:rPr>
      </w:pPr>
      <w:r>
        <w:rPr>
          <w:rFonts w:hint="eastAsia"/>
          <w:highlight w:val="none"/>
        </w:rPr>
        <w:t>待包埋和已包埋的记录系统通过使用不同颜色的标识来进行明确的区分，以确保在操作过程中能够迅速、准确地识别出各个样本的状态。</w:t>
      </w:r>
    </w:p>
    <w:p w14:paraId="5CFCE9BC">
      <w:pPr>
        <w:bidi w:val="0"/>
        <w:rPr>
          <w:b/>
          <w:bCs/>
          <w:highlight w:val="none"/>
        </w:rPr>
      </w:pPr>
      <w:r>
        <w:rPr>
          <w:rFonts w:hint="eastAsia"/>
          <w:b/>
          <w:bCs/>
          <w:highlight w:val="none"/>
        </w:rPr>
        <w:t>三、包埋扫码确认</w:t>
      </w:r>
    </w:p>
    <w:p w14:paraId="76CB2EA6">
      <w:pPr>
        <w:bidi w:val="0"/>
        <w:rPr>
          <w:highlight w:val="none"/>
        </w:rPr>
      </w:pPr>
      <w:r>
        <w:rPr>
          <w:rFonts w:hint="eastAsia"/>
          <w:highlight w:val="none"/>
        </w:rPr>
        <w:t>系统全面支持包埋扫码核对功能，操作人员只需使用扫码设备对包埋物品进行扫描，系统便会立即识别并自动将相关记录状态更新为“已包埋”。</w:t>
      </w:r>
    </w:p>
    <w:p w14:paraId="5BFF6B2C">
      <w:pPr>
        <w:bidi w:val="0"/>
        <w:rPr>
          <w:b/>
          <w:bCs/>
          <w:highlight w:val="none"/>
        </w:rPr>
      </w:pPr>
      <w:r>
        <w:rPr>
          <w:rFonts w:hint="eastAsia"/>
          <w:b/>
          <w:bCs/>
          <w:highlight w:val="none"/>
        </w:rPr>
        <w:t>四、脱钙记录查询</w:t>
      </w:r>
    </w:p>
    <w:p w14:paraId="5316CD9D">
      <w:pPr>
        <w:bidi w:val="0"/>
        <w:rPr>
          <w:highlight w:val="none"/>
        </w:rPr>
      </w:pPr>
      <w:r>
        <w:rPr>
          <w:rFonts w:hint="eastAsia"/>
          <w:highlight w:val="none"/>
        </w:rPr>
        <w:t>脱钙记录与非脱钙记录的分类查询功能，能够高效地区分和检索这两类不同的记录信息。同时，系统还支持脱钙记录的确认提醒功能，确保医护人员在处理脱钙记录时能够及时收到提醒，避免遗漏或延误重要操作。</w:t>
      </w:r>
    </w:p>
    <w:p w14:paraId="37D633A3">
      <w:pPr>
        <w:bidi w:val="0"/>
        <w:rPr>
          <w:b/>
          <w:bCs/>
          <w:highlight w:val="none"/>
        </w:rPr>
      </w:pPr>
      <w:r>
        <w:rPr>
          <w:rFonts w:hint="eastAsia"/>
          <w:b/>
          <w:bCs/>
          <w:highlight w:val="none"/>
        </w:rPr>
        <w:t>五、包埋记录打印</w:t>
      </w:r>
    </w:p>
    <w:p w14:paraId="745515CE">
      <w:pPr>
        <w:bidi w:val="0"/>
        <w:rPr>
          <w:highlight w:val="none"/>
        </w:rPr>
      </w:pPr>
      <w:r>
        <w:rPr>
          <w:rFonts w:hint="eastAsia"/>
          <w:highlight w:val="none"/>
        </w:rPr>
        <w:t>系统支持包埋记录的打印输出功能，医护人员可以根据实际需求，便捷地将包埋记录进行打印。在打印过程中，系统不仅能够清晰地展示包埋记录的详细信息，还能够精准地打印出每个包埋样本的唯一识别号码，即包埋号码。</w:t>
      </w:r>
    </w:p>
    <w:p w14:paraId="6BBA801A">
      <w:pPr>
        <w:bidi w:val="0"/>
        <w:rPr>
          <w:b/>
          <w:bCs/>
          <w:highlight w:val="none"/>
        </w:rPr>
      </w:pPr>
      <w:r>
        <w:rPr>
          <w:rFonts w:hint="eastAsia"/>
          <w:b/>
          <w:bCs/>
          <w:highlight w:val="none"/>
        </w:rPr>
        <w:t>六、包埋状态变更</w:t>
      </w:r>
    </w:p>
    <w:p w14:paraId="5AD5EB40">
      <w:pPr>
        <w:bidi w:val="0"/>
        <w:rPr>
          <w:highlight w:val="none"/>
        </w:rPr>
      </w:pPr>
      <w:r>
        <w:rPr>
          <w:rFonts w:hint="eastAsia"/>
          <w:highlight w:val="none"/>
        </w:rPr>
        <w:t>在包埋过程圆满完成后，需要进行一次细致的确认工作，以确保所有步骤均符合标准操作流程。一旦确认无误，系统将自动更新病例的状态信息，将其标记为“已包埋”，以便后续工作流程的顺利进行和记录的准确性。</w:t>
      </w:r>
    </w:p>
    <w:p w14:paraId="1D7D1EA7">
      <w:pPr>
        <w:pStyle w:val="5"/>
        <w:bidi w:val="0"/>
        <w:rPr>
          <w:highlight w:val="none"/>
        </w:rPr>
      </w:pPr>
      <w:r>
        <w:rPr>
          <w:rFonts w:hint="eastAsia"/>
          <w:highlight w:val="none"/>
        </w:rPr>
        <w:t>制片工作站</w:t>
      </w:r>
    </w:p>
    <w:p w14:paraId="3A9CCD2A">
      <w:pPr>
        <w:bidi w:val="0"/>
        <w:rPr>
          <w:b/>
          <w:bCs/>
          <w:highlight w:val="none"/>
        </w:rPr>
      </w:pPr>
      <w:r>
        <w:rPr>
          <w:rFonts w:hint="eastAsia"/>
          <w:b/>
          <w:bCs/>
          <w:highlight w:val="none"/>
        </w:rPr>
        <w:t>一、自动制片</w:t>
      </w:r>
    </w:p>
    <w:p w14:paraId="4A5D0420">
      <w:pPr>
        <w:bidi w:val="0"/>
        <w:rPr>
          <w:highlight w:val="none"/>
        </w:rPr>
      </w:pPr>
      <w:r>
        <w:rPr>
          <w:highlight w:val="none"/>
        </w:rPr>
        <w:t>支持扫描包埋盒条码后自动提取蜡块相关的病例基本信息、取材信息、切片信息，有效进行制片核对；并可同步进行制片评价</w:t>
      </w:r>
      <w:r>
        <w:rPr>
          <w:rFonts w:hint="eastAsia"/>
          <w:highlight w:val="none"/>
        </w:rPr>
        <w:t>。同时</w:t>
      </w:r>
      <w:r>
        <w:rPr>
          <w:highlight w:val="none"/>
        </w:rPr>
        <w:t>支持自动化制片流程，扫描包埋盒实时打印玻片；也可支持批量预打印切片，提高制片操作效率。</w:t>
      </w:r>
    </w:p>
    <w:p w14:paraId="6D6FE7C1">
      <w:pPr>
        <w:bidi w:val="0"/>
        <w:rPr>
          <w:b/>
          <w:bCs/>
          <w:highlight w:val="none"/>
        </w:rPr>
      </w:pPr>
      <w:r>
        <w:rPr>
          <w:rFonts w:hint="eastAsia"/>
          <w:b/>
          <w:bCs/>
          <w:highlight w:val="none"/>
        </w:rPr>
        <w:t>二、未切片病例提示</w:t>
      </w:r>
    </w:p>
    <w:p w14:paraId="791ABA77">
      <w:pPr>
        <w:bidi w:val="0"/>
        <w:rPr>
          <w:highlight w:val="none"/>
        </w:rPr>
      </w:pPr>
      <w:r>
        <w:rPr>
          <w:rFonts w:hint="eastAsia"/>
          <w:highlight w:val="none"/>
        </w:rPr>
        <w:t>系统会自动生成并提示一份详尽的列表，其中包含所有已经完成包埋处理但尚未进一步制成切片的病例信息。此外，该列表还会涵盖那些需要进行重新切片或深度切片处理的病例详情。</w:t>
      </w:r>
    </w:p>
    <w:p w14:paraId="4E55E3D8">
      <w:pPr>
        <w:bidi w:val="0"/>
        <w:rPr>
          <w:b/>
          <w:bCs/>
          <w:highlight w:val="none"/>
        </w:rPr>
      </w:pPr>
      <w:r>
        <w:rPr>
          <w:rFonts w:hint="eastAsia"/>
          <w:b/>
          <w:bCs/>
          <w:highlight w:val="none"/>
        </w:rPr>
        <w:t>三、切片明细列表</w:t>
      </w:r>
    </w:p>
    <w:p w14:paraId="1BA60C09">
      <w:pPr>
        <w:bidi w:val="0"/>
        <w:rPr>
          <w:highlight w:val="none"/>
        </w:rPr>
      </w:pPr>
      <w:r>
        <w:rPr>
          <w:rFonts w:hint="eastAsia"/>
          <w:highlight w:val="none"/>
        </w:rPr>
        <w:t>对于每一个具体的病例，系统都能够自动生成详尽的切片明细列表，确保每一项细节都得到精确记录。此外，系统还提供了强大的单项指标查询功能，医护人员可以根据具体需求，快速检索到所需的信息。在数据输出方面，系统支持按照病理号、标记物等多种分类方式进行筛选。</w:t>
      </w:r>
    </w:p>
    <w:p w14:paraId="3FEB9AC4">
      <w:pPr>
        <w:bidi w:val="0"/>
        <w:rPr>
          <w:b/>
          <w:bCs/>
          <w:highlight w:val="none"/>
        </w:rPr>
      </w:pPr>
      <w:r>
        <w:rPr>
          <w:rFonts w:hint="eastAsia"/>
          <w:b/>
          <w:bCs/>
          <w:highlight w:val="none"/>
        </w:rPr>
        <w:t>四、切片合并功能</w:t>
      </w:r>
    </w:p>
    <w:p w14:paraId="4C9D22CD">
      <w:pPr>
        <w:bidi w:val="0"/>
        <w:rPr>
          <w:highlight w:val="none"/>
        </w:rPr>
      </w:pPr>
      <w:r>
        <w:rPr>
          <w:rFonts w:hint="eastAsia"/>
          <w:highlight w:val="none"/>
        </w:rPr>
        <w:t>该系统具备强大的切片合并功能，能够灵活地支持将蜡块进行高效合并，最终形成一张完整的玻片。此外，系统还提供了灵活的切片记录管理功能，医护人员既可以针对单个切片进行自定义的增加记录操作，也能够批量处理多个切片，便捷地添加所需的切片记录。</w:t>
      </w:r>
    </w:p>
    <w:p w14:paraId="1E6FF79A">
      <w:pPr>
        <w:bidi w:val="0"/>
        <w:rPr>
          <w:b/>
          <w:bCs/>
          <w:highlight w:val="none"/>
        </w:rPr>
      </w:pPr>
      <w:r>
        <w:rPr>
          <w:rFonts w:hint="eastAsia"/>
          <w:b/>
          <w:bCs/>
          <w:highlight w:val="none"/>
        </w:rPr>
        <w:t>五、切片标签生成</w:t>
      </w:r>
    </w:p>
    <w:p w14:paraId="487A8B90">
      <w:pPr>
        <w:bidi w:val="0"/>
        <w:rPr>
          <w:highlight w:val="none"/>
        </w:rPr>
      </w:pPr>
      <w:r>
        <w:rPr>
          <w:rFonts w:hint="eastAsia"/>
          <w:highlight w:val="none"/>
        </w:rPr>
        <w:t>切片标签的生成过程充分考虑了多种不同的切片处理方式，包括但不限于切片不进行合并的情况、切片自动合并的情况以及切片通过手工方式进行合并的情况。</w:t>
      </w:r>
    </w:p>
    <w:p w14:paraId="20C508CB">
      <w:pPr>
        <w:bidi w:val="0"/>
        <w:rPr>
          <w:b/>
          <w:bCs/>
          <w:highlight w:val="none"/>
        </w:rPr>
      </w:pPr>
      <w:r>
        <w:rPr>
          <w:rFonts w:hint="eastAsia"/>
          <w:b/>
          <w:bCs/>
          <w:highlight w:val="none"/>
        </w:rPr>
        <w:t>六、切片重打</w:t>
      </w:r>
    </w:p>
    <w:p w14:paraId="325D1D24">
      <w:pPr>
        <w:bidi w:val="0"/>
        <w:rPr>
          <w:highlight w:val="none"/>
        </w:rPr>
      </w:pPr>
      <w:r>
        <w:rPr>
          <w:highlight w:val="none"/>
        </w:rPr>
        <w:t>对制片过程中的异常切片可以重新打印，并记录重打原因。对于异常切片，也可能通过手动方式完成制片记录。</w:t>
      </w:r>
    </w:p>
    <w:p w14:paraId="31FC09C9">
      <w:pPr>
        <w:bidi w:val="0"/>
        <w:rPr>
          <w:b/>
          <w:bCs/>
          <w:highlight w:val="none"/>
        </w:rPr>
      </w:pPr>
      <w:r>
        <w:rPr>
          <w:rFonts w:hint="eastAsia"/>
          <w:b/>
          <w:bCs/>
          <w:highlight w:val="none"/>
        </w:rPr>
        <w:t>七、切片评价</w:t>
      </w:r>
    </w:p>
    <w:p w14:paraId="234E2923">
      <w:pPr>
        <w:bidi w:val="0"/>
        <w:rPr>
          <w:highlight w:val="none"/>
        </w:rPr>
      </w:pPr>
      <w:r>
        <w:rPr>
          <w:highlight w:val="none"/>
        </w:rPr>
        <w:t>支持制片人员对</w:t>
      </w:r>
      <w:r>
        <w:rPr>
          <w:rFonts w:hint="eastAsia"/>
          <w:highlight w:val="none"/>
        </w:rPr>
        <w:t>“</w:t>
      </w:r>
      <w:r>
        <w:rPr>
          <w:highlight w:val="none"/>
        </w:rPr>
        <w:t>我的切片</w:t>
      </w:r>
      <w:r>
        <w:rPr>
          <w:rFonts w:hint="eastAsia"/>
          <w:highlight w:val="none"/>
        </w:rPr>
        <w:t>”</w:t>
      </w:r>
      <w:r>
        <w:rPr>
          <w:highlight w:val="none"/>
        </w:rPr>
        <w:t>查询阅片评价结果。</w:t>
      </w:r>
    </w:p>
    <w:p w14:paraId="1CE35F9F">
      <w:pPr>
        <w:pStyle w:val="5"/>
        <w:bidi w:val="0"/>
        <w:rPr>
          <w:highlight w:val="none"/>
        </w:rPr>
      </w:pPr>
      <w:r>
        <w:rPr>
          <w:rFonts w:hint="eastAsia"/>
          <w:highlight w:val="none"/>
        </w:rPr>
        <w:t>染色工作站</w:t>
      </w:r>
    </w:p>
    <w:p w14:paraId="596DAF3B">
      <w:pPr>
        <w:bidi w:val="0"/>
        <w:rPr>
          <w:b/>
          <w:bCs/>
          <w:highlight w:val="none"/>
        </w:rPr>
      </w:pPr>
      <w:r>
        <w:rPr>
          <w:rFonts w:hint="eastAsia"/>
          <w:b/>
          <w:bCs/>
          <w:highlight w:val="none"/>
        </w:rPr>
        <w:t>一、连号及批次染色</w:t>
      </w:r>
    </w:p>
    <w:p w14:paraId="752AB23A">
      <w:pPr>
        <w:bidi w:val="0"/>
        <w:rPr>
          <w:highlight w:val="none"/>
        </w:rPr>
      </w:pPr>
      <w:r>
        <w:rPr>
          <w:highlight w:val="none"/>
        </w:rPr>
        <w:t>支持对切片进行连号扫描，只需扫描起始号和结束号，批量进行切片染色上机记录。并可提示我的待染色和全部待染色总数。支持按照上机批次，快速扫描识别该批次切片，批量记录染色结束时间。</w:t>
      </w:r>
      <w:r>
        <w:rPr>
          <w:rFonts w:hint="eastAsia"/>
          <w:highlight w:val="none"/>
        </w:rPr>
        <w:t>同时也</w:t>
      </w:r>
      <w:r>
        <w:rPr>
          <w:highlight w:val="none"/>
        </w:rPr>
        <w:t>支持批量手工完成染色记录。</w:t>
      </w:r>
    </w:p>
    <w:p w14:paraId="1D1EEC78">
      <w:pPr>
        <w:bidi w:val="0"/>
        <w:rPr>
          <w:b/>
          <w:bCs/>
          <w:highlight w:val="none"/>
        </w:rPr>
      </w:pPr>
      <w:r>
        <w:rPr>
          <w:rFonts w:hint="eastAsia"/>
          <w:b/>
          <w:bCs/>
          <w:highlight w:val="none"/>
        </w:rPr>
        <w:t>二、免疫组化染色</w:t>
      </w:r>
    </w:p>
    <w:p w14:paraId="46626647">
      <w:pPr>
        <w:bidi w:val="0"/>
        <w:rPr>
          <w:highlight w:val="none"/>
        </w:rPr>
      </w:pPr>
      <w:r>
        <w:rPr>
          <w:highlight w:val="none"/>
        </w:rPr>
        <w:t>支持对免疫组化染色进行单独的染色跟踪，可扫描切片新建免疫组化染色批次，并快速根据批次记录上机染色时间。</w:t>
      </w:r>
    </w:p>
    <w:p w14:paraId="71FDF7E1">
      <w:pPr>
        <w:bidi w:val="0"/>
        <w:rPr>
          <w:b/>
          <w:bCs/>
          <w:highlight w:val="none"/>
        </w:rPr>
      </w:pPr>
      <w:r>
        <w:rPr>
          <w:rFonts w:hint="eastAsia"/>
          <w:b/>
          <w:bCs/>
          <w:highlight w:val="none"/>
        </w:rPr>
        <w:t>三、染色机管理</w:t>
      </w:r>
    </w:p>
    <w:p w14:paraId="029D073E">
      <w:pPr>
        <w:bidi w:val="0"/>
        <w:rPr>
          <w:highlight w:val="none"/>
        </w:rPr>
      </w:pPr>
      <w:r>
        <w:rPr>
          <w:highlight w:val="none"/>
        </w:rPr>
        <w:t>支持查看和管理染色机信息，记录染色机品牌、容量等信息，在染色操作时可按容量提示染色人员进行选择。</w:t>
      </w:r>
      <w:r>
        <w:rPr>
          <w:rFonts w:hint="eastAsia"/>
          <w:highlight w:val="none"/>
        </w:rPr>
        <w:t>同时</w:t>
      </w:r>
      <w:r>
        <w:rPr>
          <w:highlight w:val="none"/>
        </w:rPr>
        <w:t>支持染色机进行异常状态设置，出现故障时可停用异常设备。</w:t>
      </w:r>
      <w:r>
        <w:rPr>
          <w:rFonts w:hint="eastAsia"/>
          <w:highlight w:val="none"/>
        </w:rPr>
        <w:t>可</w:t>
      </w:r>
      <w:r>
        <w:rPr>
          <w:highlight w:val="none"/>
        </w:rPr>
        <w:t>分类管理常规染色机和免疫组化染色机， 当进行不同的染色操作时，避免用户选择混淆。</w:t>
      </w:r>
    </w:p>
    <w:p w14:paraId="736EF9B3">
      <w:pPr>
        <w:bidi w:val="0"/>
        <w:rPr>
          <w:b/>
          <w:bCs/>
          <w:highlight w:val="none"/>
        </w:rPr>
      </w:pPr>
      <w:r>
        <w:rPr>
          <w:rFonts w:hint="eastAsia"/>
          <w:b/>
          <w:bCs/>
          <w:highlight w:val="none"/>
        </w:rPr>
        <w:t>四、批量识别</w:t>
      </w:r>
    </w:p>
    <w:p w14:paraId="45D9975C">
      <w:pPr>
        <w:bidi w:val="0"/>
        <w:rPr>
          <w:highlight w:val="none"/>
        </w:rPr>
      </w:pPr>
      <w:r>
        <w:rPr>
          <w:highlight w:val="none"/>
        </w:rPr>
        <w:t>支持对接批量识别设备</w:t>
      </w:r>
      <w:r>
        <w:rPr>
          <w:rFonts w:hint="eastAsia"/>
          <w:highlight w:val="none"/>
        </w:rPr>
        <w:t>，批量识别染色托盘中的切片</w:t>
      </w:r>
      <w:r>
        <w:rPr>
          <w:highlight w:val="none"/>
        </w:rPr>
        <w:t>，</w:t>
      </w:r>
      <w:r>
        <w:rPr>
          <w:rFonts w:hint="eastAsia"/>
          <w:highlight w:val="none"/>
        </w:rPr>
        <w:t>自动提取切片号实现批量上机染色记录，同时支持识别普通切片标签和免疫组化标签</w:t>
      </w:r>
      <w:r>
        <w:rPr>
          <w:highlight w:val="none"/>
        </w:rPr>
        <w:t>。</w:t>
      </w:r>
    </w:p>
    <w:p w14:paraId="6CA13795">
      <w:pPr>
        <w:pStyle w:val="5"/>
        <w:bidi w:val="0"/>
        <w:rPr>
          <w:highlight w:val="none"/>
        </w:rPr>
      </w:pPr>
      <w:r>
        <w:rPr>
          <w:rFonts w:hint="eastAsia"/>
          <w:highlight w:val="none"/>
        </w:rPr>
        <w:t>诊断工作站</w:t>
      </w:r>
    </w:p>
    <w:p w14:paraId="68874216">
      <w:pPr>
        <w:bidi w:val="0"/>
        <w:rPr>
          <w:b/>
          <w:bCs/>
          <w:highlight w:val="none"/>
        </w:rPr>
      </w:pPr>
      <w:r>
        <w:rPr>
          <w:rFonts w:hint="eastAsia"/>
          <w:b/>
          <w:bCs/>
          <w:highlight w:val="none"/>
        </w:rPr>
        <w:t>一、待办提醒</w:t>
      </w:r>
    </w:p>
    <w:p w14:paraId="50B90821">
      <w:pPr>
        <w:bidi w:val="0"/>
        <w:rPr>
          <w:highlight w:val="none"/>
        </w:rPr>
      </w:pPr>
      <w:r>
        <w:rPr>
          <w:highlight w:val="none"/>
        </w:rPr>
        <w:t>支持根据诊断医生分工，自动提示</w:t>
      </w:r>
      <w:r>
        <w:rPr>
          <w:rFonts w:hint="eastAsia"/>
          <w:highlight w:val="none"/>
        </w:rPr>
        <w:t>“</w:t>
      </w:r>
      <w:r>
        <w:rPr>
          <w:highlight w:val="none"/>
        </w:rPr>
        <w:t>我的待诊断</w:t>
      </w:r>
      <w:r>
        <w:rPr>
          <w:rFonts w:hint="eastAsia"/>
          <w:highlight w:val="none"/>
        </w:rPr>
        <w:t>”“</w:t>
      </w:r>
      <w:r>
        <w:rPr>
          <w:highlight w:val="none"/>
        </w:rPr>
        <w:t>我的待审核</w:t>
      </w:r>
      <w:r>
        <w:rPr>
          <w:rFonts w:hint="eastAsia"/>
          <w:highlight w:val="none"/>
        </w:rPr>
        <w:t>”“</w:t>
      </w:r>
      <w:r>
        <w:rPr>
          <w:highlight w:val="none"/>
        </w:rPr>
        <w:t>我的当天应发</w:t>
      </w:r>
      <w:r>
        <w:rPr>
          <w:rFonts w:hint="eastAsia"/>
          <w:highlight w:val="none"/>
        </w:rPr>
        <w:t>”“</w:t>
      </w:r>
      <w:r>
        <w:rPr>
          <w:highlight w:val="none"/>
        </w:rPr>
        <w:t>我的延迟病例</w:t>
      </w:r>
      <w:r>
        <w:rPr>
          <w:rFonts w:hint="eastAsia"/>
          <w:highlight w:val="none"/>
        </w:rPr>
        <w:t>”“</w:t>
      </w:r>
      <w:r>
        <w:rPr>
          <w:highlight w:val="none"/>
        </w:rPr>
        <w:t>我的科内会诊</w:t>
      </w:r>
      <w:r>
        <w:rPr>
          <w:rFonts w:hint="eastAsia"/>
          <w:highlight w:val="none"/>
        </w:rPr>
        <w:t>”“</w:t>
      </w:r>
      <w:r>
        <w:rPr>
          <w:highlight w:val="none"/>
        </w:rPr>
        <w:t>我的已提复片</w:t>
      </w:r>
      <w:r>
        <w:rPr>
          <w:rFonts w:hint="eastAsia"/>
          <w:highlight w:val="none"/>
        </w:rPr>
        <w:t>”</w:t>
      </w:r>
      <w:r>
        <w:rPr>
          <w:highlight w:val="none"/>
        </w:rPr>
        <w:t>等病例待办列表。可授权管理人员查看</w:t>
      </w:r>
      <w:r>
        <w:rPr>
          <w:rFonts w:hint="eastAsia"/>
          <w:highlight w:val="none"/>
        </w:rPr>
        <w:t>“</w:t>
      </w:r>
      <w:r>
        <w:rPr>
          <w:highlight w:val="none"/>
        </w:rPr>
        <w:t>所有待诊断</w:t>
      </w:r>
      <w:r>
        <w:rPr>
          <w:rFonts w:hint="eastAsia"/>
          <w:highlight w:val="none"/>
        </w:rPr>
        <w:t>”“</w:t>
      </w:r>
      <w:r>
        <w:rPr>
          <w:highlight w:val="none"/>
        </w:rPr>
        <w:t>所有当天应发</w:t>
      </w:r>
      <w:r>
        <w:rPr>
          <w:rFonts w:hint="eastAsia"/>
          <w:highlight w:val="none"/>
        </w:rPr>
        <w:t>”“</w:t>
      </w:r>
      <w:r>
        <w:rPr>
          <w:highlight w:val="none"/>
        </w:rPr>
        <w:t>所有延迟病例</w:t>
      </w:r>
      <w:r>
        <w:rPr>
          <w:rFonts w:hint="eastAsia"/>
          <w:highlight w:val="none"/>
        </w:rPr>
        <w:t>”“</w:t>
      </w:r>
      <w:r>
        <w:rPr>
          <w:highlight w:val="none"/>
        </w:rPr>
        <w:t>近期科内会诊</w:t>
      </w:r>
      <w:r>
        <w:rPr>
          <w:rFonts w:hint="eastAsia"/>
          <w:highlight w:val="none"/>
        </w:rPr>
        <w:t>”</w:t>
      </w:r>
      <w:r>
        <w:rPr>
          <w:highlight w:val="none"/>
        </w:rPr>
        <w:t>等科室综合待办列表。</w:t>
      </w:r>
      <w:r>
        <w:rPr>
          <w:rFonts w:hint="eastAsia"/>
          <w:highlight w:val="none"/>
        </w:rPr>
        <w:t>这些列表旨在帮助医护人员快速定位和管理其工作任务，提高工作效率。</w:t>
      </w:r>
    </w:p>
    <w:p w14:paraId="1F1F9C9F">
      <w:pPr>
        <w:bidi w:val="0"/>
        <w:rPr>
          <w:b/>
          <w:bCs/>
          <w:highlight w:val="none"/>
        </w:rPr>
      </w:pPr>
      <w:r>
        <w:rPr>
          <w:rFonts w:hint="eastAsia"/>
          <w:b/>
          <w:bCs/>
          <w:highlight w:val="none"/>
        </w:rPr>
        <w:t>二、报告时间规则</w:t>
      </w:r>
    </w:p>
    <w:p w14:paraId="7525CEC9">
      <w:pPr>
        <w:bidi w:val="0"/>
        <w:rPr>
          <w:highlight w:val="none"/>
        </w:rPr>
      </w:pPr>
      <w:r>
        <w:rPr>
          <w:rFonts w:hint="eastAsia"/>
          <w:highlight w:val="none"/>
        </w:rPr>
        <w:t>通过报告时间规则自动进行提示，确保医护人员在规定时间内完成相关报告。所有病例库的时间规则均可由医护人员根据实际需求进行自定义设置，以适应不同情况下的工作安排。此外，系统还具备智能排除周末及非工作时间功能，能够自动识别并剔除这些时间段，确保报告时间的计算更加精准和合理，从而提高工作效率和准确性。</w:t>
      </w:r>
    </w:p>
    <w:p w14:paraId="49D7C547">
      <w:pPr>
        <w:bidi w:val="0"/>
        <w:rPr>
          <w:b/>
          <w:bCs/>
          <w:highlight w:val="none"/>
        </w:rPr>
      </w:pPr>
      <w:r>
        <w:rPr>
          <w:rFonts w:hint="eastAsia"/>
          <w:b/>
          <w:bCs/>
          <w:highlight w:val="none"/>
        </w:rPr>
        <w:t>三、同屏预览</w:t>
      </w:r>
    </w:p>
    <w:p w14:paraId="1BC61923">
      <w:pPr>
        <w:bidi w:val="0"/>
        <w:rPr>
          <w:highlight w:val="none"/>
        </w:rPr>
      </w:pPr>
      <w:r>
        <w:rPr>
          <w:highlight w:val="none"/>
        </w:rPr>
        <w:t>支持报告同屏预览模式，医生可在书写报告的同时查看报告的预览效果，减少页面切换频次，提升工作效率。</w:t>
      </w:r>
    </w:p>
    <w:p w14:paraId="5EB17931">
      <w:pPr>
        <w:bidi w:val="0"/>
        <w:rPr>
          <w:b/>
          <w:bCs/>
          <w:highlight w:val="none"/>
        </w:rPr>
      </w:pPr>
      <w:r>
        <w:rPr>
          <w:rFonts w:hint="eastAsia"/>
          <w:b/>
          <w:bCs/>
          <w:highlight w:val="none"/>
        </w:rPr>
        <w:t>四、常用词管理</w:t>
      </w:r>
    </w:p>
    <w:p w14:paraId="50DE0424">
      <w:pPr>
        <w:bidi w:val="0"/>
        <w:rPr>
          <w:highlight w:val="none"/>
        </w:rPr>
      </w:pPr>
      <w:r>
        <w:rPr>
          <w:highlight w:val="none"/>
        </w:rPr>
        <w:t>提供肉眼所见、镜下所见、诊断意见分类常用词。区分私有、公有常用词管理，支持常用词的新增和编辑，私有常用词支持拖拽排序或更换分类。</w:t>
      </w:r>
    </w:p>
    <w:p w14:paraId="0E0CED39">
      <w:pPr>
        <w:bidi w:val="0"/>
        <w:rPr>
          <w:b/>
          <w:bCs/>
          <w:highlight w:val="none"/>
        </w:rPr>
      </w:pPr>
      <w:r>
        <w:rPr>
          <w:rFonts w:hint="eastAsia"/>
          <w:b/>
          <w:bCs/>
          <w:highlight w:val="none"/>
        </w:rPr>
        <w:t>五、结构化报告模块</w:t>
      </w:r>
    </w:p>
    <w:p w14:paraId="37CDF382">
      <w:pPr>
        <w:bidi w:val="0"/>
        <w:rPr>
          <w:highlight w:val="none"/>
        </w:rPr>
      </w:pPr>
      <w:r>
        <w:rPr>
          <w:highlight w:val="none"/>
        </w:rPr>
        <w:t>支持诊断格式化录入模板，并附带格式化模板参考文献，方便医生进行报告的格式规范书写。</w:t>
      </w:r>
      <w:r>
        <w:rPr>
          <w:rFonts w:hint="eastAsia"/>
          <w:highlight w:val="none"/>
        </w:rPr>
        <w:t>模版涵盖了多种常见且重要的癌症类型，包括但不限于肺癌、浸润性乳腺癌、肝细胞癌、前列腺癌、肾癌、胃癌、甲状腺癌以及结直肠癌。</w:t>
      </w:r>
    </w:p>
    <w:p w14:paraId="111971BC">
      <w:pPr>
        <w:bidi w:val="0"/>
        <w:rPr>
          <w:b/>
          <w:bCs/>
          <w:highlight w:val="none"/>
        </w:rPr>
      </w:pPr>
      <w:r>
        <w:rPr>
          <w:rFonts w:hint="eastAsia"/>
          <w:b/>
          <w:bCs/>
          <w:highlight w:val="none"/>
        </w:rPr>
        <w:t>六、历次检查</w:t>
      </w:r>
    </w:p>
    <w:p w14:paraId="7BDF409D">
      <w:pPr>
        <w:bidi w:val="0"/>
        <w:rPr>
          <w:highlight w:val="none"/>
        </w:rPr>
      </w:pPr>
      <w:r>
        <w:rPr>
          <w:rFonts w:hint="eastAsia"/>
          <w:highlight w:val="none"/>
        </w:rPr>
        <w:t>系统将自动提示该病例的历史病理结果，包括以往的各项检查数据、诊断结论以及治疗过程中的关键信息，同时还会展示同次送检的其他标本的检查情况，涵盖各项检测指标、分析结果及相关备注，以便医生能够全面、系统地了解患者的整体病情和本次送检的综合情况。</w:t>
      </w:r>
    </w:p>
    <w:p w14:paraId="2055DBA5">
      <w:pPr>
        <w:bidi w:val="0"/>
        <w:rPr>
          <w:b/>
          <w:bCs/>
          <w:highlight w:val="none"/>
        </w:rPr>
      </w:pPr>
      <w:r>
        <w:rPr>
          <w:rFonts w:hint="eastAsia"/>
          <w:b/>
          <w:bCs/>
          <w:highlight w:val="none"/>
        </w:rPr>
        <w:t>七、诊断智能校验</w:t>
      </w:r>
    </w:p>
    <w:p w14:paraId="213354F5">
      <w:pPr>
        <w:bidi w:val="0"/>
        <w:rPr>
          <w:highlight w:val="none"/>
        </w:rPr>
      </w:pPr>
      <w:r>
        <w:rPr>
          <w:highlight w:val="none"/>
        </w:rPr>
        <w:t>支持诊断意见防呆提醒，当诊断意见中出现性别冲突的关键字、与临床诊断内容发生部位冲突的关键字、诊断结果同时出现癌和瘤关键字等情况，可进行智能提醒，再次确认诊断内容。</w:t>
      </w:r>
    </w:p>
    <w:p w14:paraId="6AF22376">
      <w:pPr>
        <w:bidi w:val="0"/>
        <w:rPr>
          <w:b/>
          <w:bCs/>
          <w:highlight w:val="none"/>
        </w:rPr>
      </w:pPr>
      <w:r>
        <w:rPr>
          <w:rFonts w:hint="eastAsia"/>
          <w:b/>
          <w:bCs/>
          <w:highlight w:val="none"/>
        </w:rPr>
        <w:t>八、三级医生复片</w:t>
      </w:r>
    </w:p>
    <w:p w14:paraId="19BF917D">
      <w:pPr>
        <w:bidi w:val="0"/>
        <w:rPr>
          <w:highlight w:val="none"/>
        </w:rPr>
      </w:pPr>
      <w:r>
        <w:rPr>
          <w:rFonts w:hint="eastAsia"/>
          <w:highlight w:val="none"/>
        </w:rPr>
        <w:t>为了更好地适应病理报告三级医生负责制的严格要求，系统特别设计了定向复片和多级复片功能，以确保诊断过程的严谨性和准确性。、复片医生则可以根据初诊意见进行深入分析和二次确认，其复片意见同样会被独立保存，以便随时备查和追溯。上级医生拥有对初诊意见进行结果评价的权限，这不仅有助于提升诊断质量，还能为年轻医生提供宝贵的指导和反馈。</w:t>
      </w:r>
      <w:r>
        <w:rPr>
          <w:highlight w:val="none"/>
        </w:rPr>
        <w:t>上级医生可对初诊意见进行结果评价，可以统计复片数和复片准确率。</w:t>
      </w:r>
    </w:p>
    <w:p w14:paraId="7BA8C611">
      <w:pPr>
        <w:bidi w:val="0"/>
        <w:rPr>
          <w:b/>
          <w:bCs/>
          <w:highlight w:val="none"/>
        </w:rPr>
      </w:pPr>
      <w:r>
        <w:rPr>
          <w:rFonts w:hint="eastAsia"/>
          <w:b/>
          <w:bCs/>
          <w:highlight w:val="none"/>
        </w:rPr>
        <w:t>九、病例三级查询</w:t>
      </w:r>
    </w:p>
    <w:p w14:paraId="168B8A26">
      <w:pPr>
        <w:bidi w:val="0"/>
        <w:rPr>
          <w:highlight w:val="none"/>
        </w:rPr>
      </w:pPr>
      <w:r>
        <w:rPr>
          <w:highlight w:val="none"/>
        </w:rPr>
        <w:t>病例查询支持三级搜索：可通过当前医生的待处理工作提醒进行快捷搜索；可通过常用搜索条件，包含病例库分类、操作人、操作时间区间、病例状态、病理号等进行搜索；可通过高级查询，支持各类复杂条件组合查询。</w:t>
      </w:r>
    </w:p>
    <w:p w14:paraId="3BB74C4F">
      <w:pPr>
        <w:bidi w:val="0"/>
        <w:rPr>
          <w:b/>
          <w:bCs/>
          <w:highlight w:val="none"/>
        </w:rPr>
      </w:pPr>
      <w:r>
        <w:rPr>
          <w:rFonts w:hint="eastAsia"/>
          <w:b/>
          <w:bCs/>
          <w:highlight w:val="none"/>
        </w:rPr>
        <w:t>十、内部医嘱提示</w:t>
      </w:r>
    </w:p>
    <w:p w14:paraId="3AF3CBC5">
      <w:pPr>
        <w:bidi w:val="0"/>
        <w:rPr>
          <w:highlight w:val="none"/>
        </w:rPr>
      </w:pPr>
      <w:r>
        <w:rPr>
          <w:rFonts w:hint="eastAsia"/>
          <w:highlight w:val="none"/>
        </w:rPr>
        <w:t>系统具备发出内部医嘱要求的功能，涵盖了一系列具体的操作指令，如重切、深切、补取以及免疫组化等。当内部医嘱发出后，相关的工作站点会立即接收到相应的提示信息，确保工作人员能够及时知晓并执行。此外，系统还提供了查看内部医嘱执行情况的功能，医护人员可以随时了解医嘱的当前状态，包括是否已执行、执行进度等详细信息。</w:t>
      </w:r>
    </w:p>
    <w:p w14:paraId="2E9E8450">
      <w:pPr>
        <w:bidi w:val="0"/>
        <w:rPr>
          <w:b/>
          <w:bCs/>
          <w:highlight w:val="none"/>
        </w:rPr>
      </w:pPr>
      <w:r>
        <w:rPr>
          <w:rFonts w:hint="eastAsia"/>
          <w:b/>
          <w:bCs/>
          <w:highlight w:val="none"/>
        </w:rPr>
        <w:t>十一、科内会诊申请</w:t>
      </w:r>
    </w:p>
    <w:p w14:paraId="442C80E1">
      <w:pPr>
        <w:bidi w:val="0"/>
        <w:rPr>
          <w:highlight w:val="none"/>
        </w:rPr>
      </w:pPr>
      <w:r>
        <w:rPr>
          <w:rFonts w:hint="eastAsia"/>
          <w:highlight w:val="none"/>
        </w:rPr>
        <w:t>医生在需要时，可以通过系统便捷地发出科内会诊申请。一旦申请提交，系统将自动将该申请纳入“科内会诊”专用列表，并即时生成相应的提示信息，以确保相关医务人员能够及时知晓。其他医生在登录系统后，能够迅速定位到这些待处理的会诊病例。此外，医生们还具备对自己所参与的科内会诊意见进行灵活管理的权限，包括但不限于增加新的会诊意见、对已有意见进行必要的修改，以及在必要时删除不再适用的会诊意见。</w:t>
      </w:r>
    </w:p>
    <w:p w14:paraId="312208A3">
      <w:pPr>
        <w:bidi w:val="0"/>
        <w:rPr>
          <w:b/>
          <w:bCs/>
          <w:highlight w:val="none"/>
        </w:rPr>
      </w:pPr>
      <w:r>
        <w:rPr>
          <w:rFonts w:hint="eastAsia"/>
          <w:b/>
          <w:bCs/>
          <w:highlight w:val="none"/>
        </w:rPr>
        <w:t>十二、随访管理</w:t>
      </w:r>
    </w:p>
    <w:p w14:paraId="56B0FDEB">
      <w:pPr>
        <w:bidi w:val="0"/>
        <w:rPr>
          <w:highlight w:val="none"/>
        </w:rPr>
      </w:pPr>
      <w:r>
        <w:rPr>
          <w:highlight w:val="none"/>
        </w:rPr>
        <w:t>支持建立随访记录，记录随访内容、时间和结果。方便对病人进行跟踪观察，有利于提高医疗质量，改善医疗服务，增强医患沟通交流</w:t>
      </w:r>
      <w:r>
        <w:rPr>
          <w:rFonts w:hint="eastAsia"/>
          <w:highlight w:val="none"/>
        </w:rPr>
        <w:t>。医护人员还可以在系统中便捷地录入并保存每次随访的具体结果，以便后续查阅和分析。</w:t>
      </w:r>
    </w:p>
    <w:p w14:paraId="47EEFA61">
      <w:pPr>
        <w:bidi w:val="0"/>
        <w:rPr>
          <w:b/>
          <w:bCs/>
          <w:highlight w:val="none"/>
        </w:rPr>
      </w:pPr>
      <w:r>
        <w:rPr>
          <w:rFonts w:hint="eastAsia"/>
          <w:b/>
          <w:bCs/>
          <w:highlight w:val="none"/>
        </w:rPr>
        <w:t>十三、</w:t>
      </w:r>
      <w:r>
        <w:rPr>
          <w:b/>
          <w:bCs/>
          <w:highlight w:val="none"/>
        </w:rPr>
        <w:t>报告</w:t>
      </w:r>
      <w:r>
        <w:rPr>
          <w:rFonts w:hint="eastAsia"/>
          <w:b/>
          <w:bCs/>
          <w:highlight w:val="none"/>
        </w:rPr>
        <w:t>缓冲发送及到时提醒</w:t>
      </w:r>
    </w:p>
    <w:p w14:paraId="1F066749">
      <w:pPr>
        <w:bidi w:val="0"/>
        <w:rPr>
          <w:highlight w:val="none"/>
        </w:rPr>
      </w:pPr>
      <w:r>
        <w:rPr>
          <w:highlight w:val="none"/>
        </w:rPr>
        <w:t>提供病理报告审核后的</w:t>
      </w:r>
      <w:r>
        <w:rPr>
          <w:rFonts w:hint="eastAsia"/>
          <w:highlight w:val="none"/>
        </w:rPr>
        <w:t>“</w:t>
      </w:r>
      <w:r>
        <w:rPr>
          <w:highlight w:val="none"/>
        </w:rPr>
        <w:t>缓冲期</w:t>
      </w:r>
      <w:r>
        <w:rPr>
          <w:rFonts w:hint="eastAsia"/>
          <w:highlight w:val="none"/>
        </w:rPr>
        <w:t>”</w:t>
      </w:r>
      <w:r>
        <w:rPr>
          <w:highlight w:val="none"/>
        </w:rPr>
        <w:t>自定义设定，并可自定义设定临床查看审核后的病理报告的</w:t>
      </w:r>
      <w:r>
        <w:rPr>
          <w:rFonts w:hint="eastAsia"/>
          <w:highlight w:val="none"/>
        </w:rPr>
        <w:t>“</w:t>
      </w:r>
      <w:r>
        <w:rPr>
          <w:highlight w:val="none"/>
        </w:rPr>
        <w:t>缓冲期</w:t>
      </w:r>
      <w:r>
        <w:rPr>
          <w:rFonts w:hint="eastAsia"/>
          <w:highlight w:val="none"/>
        </w:rPr>
        <w:t>”</w:t>
      </w:r>
      <w:r>
        <w:rPr>
          <w:highlight w:val="none"/>
        </w:rPr>
        <w:t>。支持报告到期提醒，可按照诊断医生提醒当天应发病例及超时病例。术中冰冻报告支持显示倒计时提醒。</w:t>
      </w:r>
    </w:p>
    <w:p w14:paraId="66479A45">
      <w:pPr>
        <w:bidi w:val="0"/>
        <w:rPr>
          <w:b/>
          <w:bCs/>
          <w:highlight w:val="none"/>
        </w:rPr>
      </w:pPr>
      <w:r>
        <w:rPr>
          <w:rFonts w:hint="eastAsia"/>
          <w:b/>
          <w:bCs/>
          <w:highlight w:val="none"/>
        </w:rPr>
        <w:t>十四、报告查询</w:t>
      </w:r>
    </w:p>
    <w:p w14:paraId="76BBAECE">
      <w:pPr>
        <w:bidi w:val="0"/>
        <w:rPr>
          <w:highlight w:val="none"/>
        </w:rPr>
      </w:pPr>
      <w:r>
        <w:rPr>
          <w:rFonts w:hint="eastAsia"/>
          <w:highlight w:val="none"/>
        </w:rPr>
        <w:t>支</w:t>
      </w:r>
      <w:r>
        <w:rPr>
          <w:highlight w:val="none"/>
        </w:rPr>
        <w:t>持各类信息模糊查询，支持病理号精确定位，支持首字母查询，支持对诊断内容、镜下所见等长文本信息进行多个关键字组合查询</w:t>
      </w:r>
      <w:r>
        <w:rPr>
          <w:rFonts w:hint="eastAsia"/>
          <w:highlight w:val="none"/>
        </w:rPr>
        <w:t>。</w:t>
      </w:r>
    </w:p>
    <w:p w14:paraId="7D5898EA">
      <w:pPr>
        <w:bidi w:val="0"/>
        <w:rPr>
          <w:b/>
          <w:bCs/>
          <w:highlight w:val="none"/>
        </w:rPr>
      </w:pPr>
      <w:r>
        <w:rPr>
          <w:rFonts w:hint="eastAsia"/>
          <w:b/>
          <w:bCs/>
          <w:highlight w:val="none"/>
        </w:rPr>
        <w:t>十五、诊断抽查质控</w:t>
      </w:r>
    </w:p>
    <w:p w14:paraId="1276C82A">
      <w:pPr>
        <w:bidi w:val="0"/>
        <w:rPr>
          <w:highlight w:val="none"/>
        </w:rPr>
      </w:pPr>
      <w:r>
        <w:rPr>
          <w:rFonts w:hint="eastAsia"/>
          <w:highlight w:val="none"/>
        </w:rPr>
        <w:t>该系统具备对所有病例进行全面且细致的诊断随机抽查质量控制功能，能够对抽查结果进行科学、客观的评价分析，同时提供高效便捷的统计查询服务，并支持生成各类详尽的报表。</w:t>
      </w:r>
    </w:p>
    <w:p w14:paraId="4CFF4CA4">
      <w:pPr>
        <w:bidi w:val="0"/>
        <w:rPr>
          <w:b/>
          <w:bCs/>
          <w:highlight w:val="none"/>
        </w:rPr>
      </w:pPr>
      <w:r>
        <w:rPr>
          <w:rFonts w:hint="eastAsia"/>
          <w:b/>
          <w:bCs/>
          <w:highlight w:val="none"/>
        </w:rPr>
        <w:t>十六、质控评价</w:t>
      </w:r>
    </w:p>
    <w:p w14:paraId="21594FB8">
      <w:pPr>
        <w:bidi w:val="0"/>
        <w:rPr>
          <w:highlight w:val="none"/>
        </w:rPr>
      </w:pPr>
      <w:r>
        <w:rPr>
          <w:highlight w:val="none"/>
        </w:rPr>
        <w:t>支持诊断的同时，对冰冻符合、初诊符合等质控数据进行评价；对取材、制片的明细数据进行评价。支持对不同类型切片进行细分项的评分记录，根据总分自动划分评价等级。</w:t>
      </w:r>
    </w:p>
    <w:p w14:paraId="5DAEC568">
      <w:pPr>
        <w:bidi w:val="0"/>
        <w:rPr>
          <w:b/>
          <w:bCs/>
          <w:highlight w:val="none"/>
        </w:rPr>
      </w:pPr>
      <w:r>
        <w:rPr>
          <w:rFonts w:hint="eastAsia"/>
          <w:b/>
          <w:bCs/>
          <w:highlight w:val="none"/>
        </w:rPr>
        <w:t>十七、流程追踪</w:t>
      </w:r>
    </w:p>
    <w:p w14:paraId="58DDB930">
      <w:pPr>
        <w:bidi w:val="0"/>
        <w:rPr>
          <w:highlight w:val="none"/>
        </w:rPr>
      </w:pPr>
      <w:r>
        <w:rPr>
          <w:highlight w:val="none"/>
        </w:rPr>
        <w:t>系统支持记录病例详细的流程追踪记录，精确显示流程操作人员及设备，记录状态变更，针对关键流程进行节点提示。追踪记录包含标本、蜡块、切片的添加、修改、删除痕迹，支持对病理诊断、肉眼所见的修改进行文字比对</w:t>
      </w:r>
      <w:r>
        <w:rPr>
          <w:rFonts w:hint="eastAsia"/>
          <w:highlight w:val="none"/>
        </w:rPr>
        <w:t>。</w:t>
      </w:r>
    </w:p>
    <w:p w14:paraId="69100FD3">
      <w:pPr>
        <w:pStyle w:val="5"/>
        <w:bidi w:val="0"/>
        <w:rPr>
          <w:highlight w:val="none"/>
        </w:rPr>
      </w:pPr>
      <w:r>
        <w:rPr>
          <w:rFonts w:hint="eastAsia"/>
          <w:highlight w:val="none"/>
        </w:rPr>
        <w:t>分子报告模版套装</w:t>
      </w:r>
    </w:p>
    <w:p w14:paraId="7AFE5EA3">
      <w:pPr>
        <w:bidi w:val="0"/>
        <w:rPr>
          <w:highlight w:val="none"/>
        </w:rPr>
      </w:pPr>
      <w:r>
        <w:rPr>
          <w:rFonts w:hint="eastAsia"/>
          <w:highlight w:val="none"/>
        </w:rPr>
        <w:t>提供个性化、规范化分子病理诊断模板及报告模板配置，支持PCR、荧光及测序结构化模板，满足分子报告格式要求。</w:t>
      </w:r>
    </w:p>
    <w:p w14:paraId="6093D345">
      <w:pPr>
        <w:pStyle w:val="5"/>
        <w:bidi w:val="0"/>
        <w:rPr>
          <w:highlight w:val="none"/>
        </w:rPr>
      </w:pPr>
      <w:r>
        <w:rPr>
          <w:rFonts w:hint="eastAsia"/>
          <w:highlight w:val="none"/>
        </w:rPr>
        <w:t>医嘱工作站</w:t>
      </w:r>
    </w:p>
    <w:p w14:paraId="2C2A1765">
      <w:pPr>
        <w:bidi w:val="0"/>
        <w:rPr>
          <w:b/>
          <w:bCs/>
          <w:highlight w:val="none"/>
        </w:rPr>
      </w:pPr>
      <w:r>
        <w:rPr>
          <w:rFonts w:hint="eastAsia"/>
          <w:b/>
          <w:bCs/>
          <w:highlight w:val="none"/>
        </w:rPr>
        <w:t>一、打印类型</w:t>
      </w:r>
    </w:p>
    <w:p w14:paraId="4423932E">
      <w:pPr>
        <w:bidi w:val="0"/>
        <w:rPr>
          <w:highlight w:val="none"/>
        </w:rPr>
      </w:pPr>
      <w:r>
        <w:rPr>
          <w:highlight w:val="none"/>
        </w:rPr>
        <w:t>支持打印医嘱执行所需切片或标签，可按照标记物配置默认打印类型，如玻片打号机、标签打印机、免疫组化仪等；也可针对具体医嘱进行打印类型更改</w:t>
      </w:r>
      <w:r>
        <w:rPr>
          <w:rFonts w:hint="eastAsia"/>
          <w:highlight w:val="none"/>
        </w:rPr>
        <w:t>。</w:t>
      </w:r>
    </w:p>
    <w:p w14:paraId="6239BD6E">
      <w:pPr>
        <w:bidi w:val="0"/>
        <w:rPr>
          <w:b/>
          <w:bCs/>
          <w:highlight w:val="none"/>
        </w:rPr>
      </w:pPr>
      <w:r>
        <w:rPr>
          <w:rFonts w:hint="eastAsia"/>
          <w:b/>
          <w:bCs/>
          <w:highlight w:val="none"/>
        </w:rPr>
        <w:t>二、医嘱信息提醒</w:t>
      </w:r>
    </w:p>
    <w:p w14:paraId="1664DE73">
      <w:pPr>
        <w:bidi w:val="0"/>
        <w:rPr>
          <w:highlight w:val="none"/>
        </w:rPr>
      </w:pPr>
      <w:r>
        <w:rPr>
          <w:highlight w:val="none"/>
        </w:rPr>
        <w:t>诊断医生开立医嘱后，系统自动推送消息提醒给医嘱操作人</w:t>
      </w:r>
      <w:r>
        <w:rPr>
          <w:rFonts w:hint="eastAsia"/>
          <w:highlight w:val="none"/>
        </w:rPr>
        <w:t>。</w:t>
      </w:r>
      <w:r>
        <w:rPr>
          <w:highlight w:val="none"/>
        </w:rPr>
        <w:t>同一病理号，如分批次开具特检医嘱，系统自动进行提示色标识，便于医嘱执行人查看</w:t>
      </w:r>
      <w:r>
        <w:rPr>
          <w:rFonts w:hint="eastAsia"/>
          <w:highlight w:val="none"/>
        </w:rPr>
        <w:t>。</w:t>
      </w:r>
      <w:r>
        <w:rPr>
          <w:highlight w:val="none"/>
        </w:rPr>
        <w:t>支持医嘱切片完成制片后，自动变更医嘱完成状态，并可由系统通知开立医生</w:t>
      </w:r>
      <w:r>
        <w:rPr>
          <w:rFonts w:hint="eastAsia"/>
          <w:highlight w:val="none"/>
        </w:rPr>
        <w:t>。</w:t>
      </w:r>
      <w:r>
        <w:rPr>
          <w:highlight w:val="none"/>
        </w:rPr>
        <w:t>医嘱支持暂缓执行及恢复执行操作，并通过系统发送消息提醒给开立医生</w:t>
      </w:r>
      <w:r>
        <w:rPr>
          <w:rFonts w:hint="eastAsia"/>
          <w:highlight w:val="none"/>
        </w:rPr>
        <w:t>。</w:t>
      </w:r>
    </w:p>
    <w:p w14:paraId="6000FC09">
      <w:pPr>
        <w:bidi w:val="0"/>
        <w:rPr>
          <w:b/>
          <w:bCs/>
          <w:highlight w:val="none"/>
        </w:rPr>
      </w:pPr>
      <w:r>
        <w:rPr>
          <w:rFonts w:hint="eastAsia"/>
          <w:b/>
          <w:bCs/>
          <w:highlight w:val="none"/>
        </w:rPr>
        <w:t>三、医嘱查询</w:t>
      </w:r>
    </w:p>
    <w:p w14:paraId="4FE2DE7D">
      <w:pPr>
        <w:bidi w:val="0"/>
        <w:rPr>
          <w:highlight w:val="none"/>
        </w:rPr>
      </w:pPr>
      <w:r>
        <w:rPr>
          <w:highlight w:val="none"/>
        </w:rPr>
        <w:t>支持通过病理号、医嘱类型、执行状态、申请医生、申请日期等多种条件查询特检医嘱和技术医嘱</w:t>
      </w:r>
      <w:r>
        <w:rPr>
          <w:rFonts w:hint="eastAsia"/>
          <w:highlight w:val="none"/>
        </w:rPr>
        <w:t>。</w:t>
      </w:r>
      <w:r>
        <w:rPr>
          <w:highlight w:val="none"/>
        </w:rPr>
        <w:t>支持单个或批量导出技术医嘱和特检医嘱列表，支持打印医嘱单</w:t>
      </w:r>
      <w:r>
        <w:rPr>
          <w:rFonts w:hint="eastAsia"/>
          <w:highlight w:val="none"/>
        </w:rPr>
        <w:t>。</w:t>
      </w:r>
    </w:p>
    <w:p w14:paraId="5FD5EF88">
      <w:pPr>
        <w:bidi w:val="0"/>
        <w:rPr>
          <w:b/>
          <w:bCs/>
          <w:highlight w:val="none"/>
        </w:rPr>
      </w:pPr>
      <w:r>
        <w:rPr>
          <w:rFonts w:hint="eastAsia"/>
          <w:b/>
          <w:bCs/>
          <w:highlight w:val="none"/>
        </w:rPr>
        <w:t>四、标记物管理</w:t>
      </w:r>
    </w:p>
    <w:p w14:paraId="3DF4D416">
      <w:pPr>
        <w:bidi w:val="0"/>
        <w:rPr>
          <w:highlight w:val="none"/>
        </w:rPr>
      </w:pPr>
      <w:r>
        <w:rPr>
          <w:highlight w:val="none"/>
        </w:rPr>
        <w:t>支持标记物管理，可以对标记物进行新建、编辑、删除等操作，支持根据标记物类型选择打印类型</w:t>
      </w:r>
      <w:r>
        <w:rPr>
          <w:rFonts w:hint="eastAsia"/>
          <w:highlight w:val="none"/>
        </w:rPr>
        <w:t>。</w:t>
      </w:r>
    </w:p>
    <w:p w14:paraId="74DDA19F">
      <w:pPr>
        <w:bidi w:val="0"/>
        <w:rPr>
          <w:b/>
          <w:bCs/>
          <w:highlight w:val="none"/>
        </w:rPr>
      </w:pPr>
      <w:r>
        <w:rPr>
          <w:rFonts w:hint="eastAsia"/>
          <w:b/>
          <w:bCs/>
          <w:highlight w:val="none"/>
        </w:rPr>
        <w:t>五、医嘱套餐管理</w:t>
      </w:r>
    </w:p>
    <w:p w14:paraId="2F3DA527">
      <w:pPr>
        <w:bidi w:val="0"/>
        <w:rPr>
          <w:highlight w:val="none"/>
        </w:rPr>
      </w:pPr>
      <w:r>
        <w:rPr>
          <w:highlight w:val="none"/>
        </w:rPr>
        <w:t>支持特检医嘱套餐管理</w:t>
      </w:r>
      <w:r>
        <w:rPr>
          <w:rFonts w:hint="eastAsia"/>
          <w:highlight w:val="none"/>
        </w:rPr>
        <w:t>。</w:t>
      </w:r>
    </w:p>
    <w:p w14:paraId="6F8911B7">
      <w:pPr>
        <w:pStyle w:val="5"/>
        <w:bidi w:val="0"/>
        <w:rPr>
          <w:highlight w:val="none"/>
        </w:rPr>
      </w:pPr>
      <w:r>
        <w:rPr>
          <w:rFonts w:hint="eastAsia"/>
          <w:highlight w:val="none"/>
        </w:rPr>
        <w:t>临床报告查询工作站</w:t>
      </w:r>
    </w:p>
    <w:p w14:paraId="797CD943">
      <w:pPr>
        <w:bidi w:val="0"/>
        <w:rPr>
          <w:b/>
          <w:bCs/>
          <w:highlight w:val="none"/>
        </w:rPr>
      </w:pPr>
      <w:r>
        <w:rPr>
          <w:rFonts w:hint="eastAsia"/>
          <w:b/>
          <w:bCs/>
          <w:highlight w:val="none"/>
        </w:rPr>
        <w:t>一、临床报告查询</w:t>
      </w:r>
    </w:p>
    <w:p w14:paraId="45A7C6AA">
      <w:pPr>
        <w:bidi w:val="0"/>
        <w:rPr>
          <w:highlight w:val="none"/>
        </w:rPr>
      </w:pPr>
      <w:r>
        <w:rPr>
          <w:highlight w:val="none"/>
        </w:rPr>
        <w:t>通过病理号、病区、送检科室、临床诊断、联系电话、联系地址、病例库、病人类别、报告日期等条件查询门诊病人的病理报告</w:t>
      </w:r>
      <w:r>
        <w:rPr>
          <w:rFonts w:hint="eastAsia"/>
          <w:highlight w:val="none"/>
        </w:rPr>
        <w:t>。</w:t>
      </w:r>
    </w:p>
    <w:p w14:paraId="507D542E">
      <w:pPr>
        <w:bidi w:val="0"/>
        <w:rPr>
          <w:b/>
          <w:bCs/>
          <w:highlight w:val="none"/>
        </w:rPr>
      </w:pPr>
      <w:r>
        <w:rPr>
          <w:rFonts w:hint="eastAsia"/>
          <w:b/>
          <w:bCs/>
          <w:highlight w:val="none"/>
        </w:rPr>
        <w:t>二、查看报告</w:t>
      </w:r>
    </w:p>
    <w:p w14:paraId="73133C2E">
      <w:pPr>
        <w:bidi w:val="0"/>
        <w:rPr>
          <w:highlight w:val="none"/>
        </w:rPr>
      </w:pPr>
      <w:r>
        <w:rPr>
          <w:highlight w:val="none"/>
        </w:rPr>
        <w:t>可以查看病理报告的详情信息</w:t>
      </w:r>
      <w:r>
        <w:rPr>
          <w:rFonts w:hint="eastAsia"/>
          <w:highlight w:val="none"/>
        </w:rPr>
        <w:t>。</w:t>
      </w:r>
    </w:p>
    <w:p w14:paraId="43F897E3">
      <w:pPr>
        <w:bidi w:val="0"/>
        <w:rPr>
          <w:b/>
          <w:bCs/>
          <w:highlight w:val="none"/>
        </w:rPr>
      </w:pPr>
      <w:r>
        <w:rPr>
          <w:rFonts w:hint="eastAsia"/>
          <w:b/>
          <w:bCs/>
          <w:highlight w:val="none"/>
        </w:rPr>
        <w:t>三、打印报告</w:t>
      </w:r>
    </w:p>
    <w:p w14:paraId="710157FA">
      <w:pPr>
        <w:bidi w:val="0"/>
        <w:rPr>
          <w:highlight w:val="none"/>
        </w:rPr>
      </w:pPr>
      <w:r>
        <w:rPr>
          <w:highlight w:val="none"/>
        </w:rPr>
        <w:t>可以打印报告，并按系统设置控制原版报告的打印数量，及超出后是否可以打印副本报告</w:t>
      </w:r>
      <w:r>
        <w:rPr>
          <w:rFonts w:hint="eastAsia"/>
          <w:highlight w:val="none"/>
        </w:rPr>
        <w:t>。</w:t>
      </w:r>
    </w:p>
    <w:p w14:paraId="6EC0FF7E">
      <w:pPr>
        <w:pStyle w:val="5"/>
        <w:bidi w:val="0"/>
        <w:rPr>
          <w:highlight w:val="none"/>
        </w:rPr>
      </w:pPr>
      <w:r>
        <w:rPr>
          <w:rFonts w:hint="eastAsia"/>
          <w:highlight w:val="none"/>
        </w:rPr>
        <w:t>统计报表工作站</w:t>
      </w:r>
    </w:p>
    <w:p w14:paraId="122284F3">
      <w:pPr>
        <w:bidi w:val="0"/>
        <w:rPr>
          <w:b/>
          <w:bCs/>
          <w:highlight w:val="none"/>
        </w:rPr>
      </w:pPr>
      <w:r>
        <w:rPr>
          <w:rFonts w:hint="eastAsia"/>
          <w:b/>
          <w:bCs/>
          <w:highlight w:val="none"/>
        </w:rPr>
        <w:t>一、统计数据展示</w:t>
      </w:r>
    </w:p>
    <w:p w14:paraId="66A2FD65">
      <w:pPr>
        <w:bidi w:val="0"/>
        <w:rPr>
          <w:highlight w:val="none"/>
        </w:rPr>
      </w:pPr>
      <w:r>
        <w:rPr>
          <w:highlight w:val="none"/>
        </w:rPr>
        <w:t>支持查询、查看、支持饼状图、柱状图等展示的方式查看各类统计数据</w:t>
      </w:r>
      <w:r>
        <w:rPr>
          <w:rFonts w:hint="eastAsia"/>
          <w:highlight w:val="none"/>
        </w:rPr>
        <w:t>。</w:t>
      </w:r>
    </w:p>
    <w:p w14:paraId="07804FEE">
      <w:pPr>
        <w:bidi w:val="0"/>
        <w:rPr>
          <w:b/>
          <w:bCs/>
          <w:highlight w:val="none"/>
        </w:rPr>
      </w:pPr>
      <w:r>
        <w:rPr>
          <w:rFonts w:hint="eastAsia"/>
          <w:b/>
          <w:bCs/>
          <w:highlight w:val="none"/>
        </w:rPr>
        <w:t>二、全局统计</w:t>
      </w:r>
    </w:p>
    <w:p w14:paraId="234514BD">
      <w:pPr>
        <w:bidi w:val="0"/>
        <w:rPr>
          <w:highlight w:val="none"/>
        </w:rPr>
      </w:pPr>
      <w:r>
        <w:rPr>
          <w:highlight w:val="none"/>
        </w:rPr>
        <w:t>全局病例统计、技术组工作量统计、冰冻耗时统计、冰冻超期报告分组统计、冰冻平均耗时统计、超期报告统计、十三项指标统计、表型统计、报告签收单、切片制作及报告统计</w:t>
      </w:r>
      <w:r>
        <w:rPr>
          <w:rFonts w:hint="eastAsia"/>
          <w:highlight w:val="none"/>
        </w:rPr>
        <w:t>。</w:t>
      </w:r>
    </w:p>
    <w:p w14:paraId="0538D9B2">
      <w:pPr>
        <w:bidi w:val="0"/>
        <w:rPr>
          <w:b/>
          <w:bCs/>
          <w:highlight w:val="none"/>
        </w:rPr>
      </w:pPr>
      <w:r>
        <w:rPr>
          <w:rFonts w:hint="eastAsia"/>
          <w:b/>
          <w:bCs/>
          <w:highlight w:val="none"/>
        </w:rPr>
        <w:t>三、技术统计</w:t>
      </w:r>
    </w:p>
    <w:p w14:paraId="13665665">
      <w:pPr>
        <w:bidi w:val="0"/>
        <w:rPr>
          <w:highlight w:val="none"/>
        </w:rPr>
      </w:pPr>
      <w:r>
        <w:rPr>
          <w:rFonts w:hint="eastAsia"/>
          <w:highlight w:val="none"/>
        </w:rPr>
        <w:t>包括但不限于</w:t>
      </w:r>
      <w:r>
        <w:rPr>
          <w:highlight w:val="none"/>
        </w:rPr>
        <w:t>样本来源统计、漏编病理号统计</w:t>
      </w:r>
      <w:r>
        <w:rPr>
          <w:rFonts w:hint="eastAsia"/>
          <w:highlight w:val="none"/>
        </w:rPr>
        <w:t>、</w:t>
      </w:r>
      <w:r>
        <w:rPr>
          <w:highlight w:val="none"/>
        </w:rPr>
        <w:t>特殊样本统计、取材流水统计、取材制片交接统计、样本评价统计、补取分类统计</w:t>
      </w:r>
      <w:r>
        <w:rPr>
          <w:rFonts w:hint="eastAsia"/>
          <w:highlight w:val="none"/>
        </w:rPr>
        <w:t>、</w:t>
      </w:r>
      <w:r>
        <w:rPr>
          <w:highlight w:val="none"/>
        </w:rPr>
        <w:t>蜡块数量统计、常规蜡块交接统计、包埋评价统计</w:t>
      </w:r>
      <w:r>
        <w:rPr>
          <w:rFonts w:hint="eastAsia"/>
          <w:highlight w:val="none"/>
        </w:rPr>
        <w:t>、</w:t>
      </w:r>
      <w:r>
        <w:rPr>
          <w:highlight w:val="none"/>
        </w:rPr>
        <w:t>制片明细统计、会诊蜡块（玻片）交接统计、制片评价统计</w:t>
      </w:r>
      <w:r>
        <w:rPr>
          <w:rFonts w:hint="eastAsia"/>
          <w:highlight w:val="none"/>
        </w:rPr>
        <w:t>、</w:t>
      </w:r>
      <w:r>
        <w:rPr>
          <w:highlight w:val="none"/>
        </w:rPr>
        <w:t>特检医嘱统计、重做医嘱统计、技术医嘱统计、补取病例统计</w:t>
      </w:r>
      <w:r>
        <w:rPr>
          <w:rFonts w:hint="eastAsia"/>
          <w:highlight w:val="none"/>
        </w:rPr>
        <w:t>等。</w:t>
      </w:r>
    </w:p>
    <w:p w14:paraId="6AAB4477">
      <w:pPr>
        <w:bidi w:val="0"/>
        <w:rPr>
          <w:b/>
          <w:bCs/>
          <w:highlight w:val="none"/>
        </w:rPr>
      </w:pPr>
      <w:r>
        <w:rPr>
          <w:rFonts w:hint="eastAsia"/>
          <w:b/>
          <w:bCs/>
          <w:highlight w:val="none"/>
        </w:rPr>
        <w:t>四、诊断统计</w:t>
      </w:r>
    </w:p>
    <w:p w14:paraId="61857778">
      <w:pPr>
        <w:bidi w:val="0"/>
        <w:rPr>
          <w:highlight w:val="none"/>
        </w:rPr>
      </w:pPr>
      <w:r>
        <w:rPr>
          <w:rFonts w:hint="eastAsia"/>
          <w:highlight w:val="none"/>
        </w:rPr>
        <w:t>包括但不限于</w:t>
      </w:r>
      <w:r>
        <w:rPr>
          <w:highlight w:val="none"/>
        </w:rPr>
        <w:t>取材规范统计、诊断组工作量统计、初诊漏发统计、报告发放统计、报告发放耗时统计、临床符合率统计、病理诊断及时率、初诊符合率统计、诊断符合率统计、术中快速诊断与石蜡诊断统计、特检初诊表型符合率统计、未发报告统计、阅片评价统计、科内会诊统计、报告打印记录统计、阴阳性统计、报告修改记录统计、报告缓发原因统计</w:t>
      </w:r>
      <w:r>
        <w:rPr>
          <w:rFonts w:hint="eastAsia"/>
          <w:highlight w:val="none"/>
        </w:rPr>
        <w:t>、</w:t>
      </w:r>
      <w:r>
        <w:rPr>
          <w:highlight w:val="none"/>
        </w:rPr>
        <w:t>借片会诊符合率统计、借阅切片统计</w:t>
      </w:r>
      <w:r>
        <w:rPr>
          <w:rFonts w:hint="eastAsia"/>
          <w:highlight w:val="none"/>
        </w:rPr>
        <w:t>等。</w:t>
      </w:r>
    </w:p>
    <w:p w14:paraId="2369B797">
      <w:pPr>
        <w:bidi w:val="0"/>
        <w:rPr>
          <w:b/>
          <w:bCs/>
          <w:highlight w:val="none"/>
        </w:rPr>
      </w:pPr>
      <w:r>
        <w:rPr>
          <w:rFonts w:hint="eastAsia"/>
          <w:b/>
          <w:bCs/>
          <w:highlight w:val="none"/>
        </w:rPr>
        <w:t>五、</w:t>
      </w:r>
      <w:r>
        <w:rPr>
          <w:b/>
          <w:bCs/>
          <w:highlight w:val="none"/>
        </w:rPr>
        <w:t>自定义统计</w:t>
      </w:r>
      <w:r>
        <w:rPr>
          <w:rFonts w:hint="eastAsia"/>
          <w:b/>
          <w:bCs/>
          <w:highlight w:val="none"/>
        </w:rPr>
        <w:t>设置</w:t>
      </w:r>
    </w:p>
    <w:p w14:paraId="4DD6148B">
      <w:pPr>
        <w:bidi w:val="0"/>
        <w:rPr>
          <w:b w:val="0"/>
          <w:bCs w:val="0"/>
          <w:highlight w:val="none"/>
        </w:rPr>
      </w:pPr>
      <w:r>
        <w:rPr>
          <w:b w:val="0"/>
          <w:bCs w:val="0"/>
          <w:highlight w:val="none"/>
        </w:rPr>
        <w:t>支持配置自定义统计报表，可通过明细表格、汇总表格、可视化图形多种形式，将系统内的病理流程数据配置成科室所需的质控统计</w:t>
      </w:r>
      <w:r>
        <w:rPr>
          <w:rFonts w:hint="eastAsia"/>
          <w:b w:val="0"/>
          <w:bCs w:val="0"/>
          <w:highlight w:val="none"/>
        </w:rPr>
        <w:t>报表，</w:t>
      </w:r>
      <w:r>
        <w:rPr>
          <w:b w:val="0"/>
          <w:bCs w:val="0"/>
          <w:highlight w:val="none"/>
        </w:rPr>
        <w:t>并授权给不同的科内用户</w:t>
      </w:r>
      <w:r>
        <w:rPr>
          <w:rFonts w:hint="eastAsia"/>
          <w:b w:val="0"/>
          <w:bCs w:val="0"/>
          <w:highlight w:val="none"/>
        </w:rPr>
        <w:t>用于查看、导出、打印。</w:t>
      </w:r>
    </w:p>
    <w:p w14:paraId="27340F77">
      <w:pPr>
        <w:pStyle w:val="5"/>
        <w:bidi w:val="0"/>
        <w:rPr>
          <w:highlight w:val="none"/>
        </w:rPr>
      </w:pPr>
      <w:r>
        <w:rPr>
          <w:rFonts w:hint="eastAsia"/>
          <w:highlight w:val="none"/>
        </w:rPr>
        <w:t>档案管理工作站</w:t>
      </w:r>
    </w:p>
    <w:p w14:paraId="5F46EA5F">
      <w:pPr>
        <w:bidi w:val="0"/>
        <w:rPr>
          <w:b/>
          <w:bCs/>
          <w:highlight w:val="none"/>
        </w:rPr>
      </w:pPr>
      <w:r>
        <w:rPr>
          <w:rFonts w:hint="eastAsia"/>
          <w:b/>
          <w:bCs/>
          <w:highlight w:val="none"/>
        </w:rPr>
        <w:t>一、资料归档处理</w:t>
      </w:r>
    </w:p>
    <w:p w14:paraId="4F10025B">
      <w:pPr>
        <w:bidi w:val="0"/>
        <w:rPr>
          <w:highlight w:val="none"/>
        </w:rPr>
      </w:pPr>
      <w:r>
        <w:rPr>
          <w:rFonts w:hint="eastAsia"/>
          <w:highlight w:val="none"/>
        </w:rPr>
        <w:t>根据病理号的特定区段划分，将相关的资料文件（包括但不限于申请单或底单）、蜡块样本以及玻片样本进行细致的分类和整理，并分别进行归档处理。在此过程中，需详细记录每一份资料、每一个蜡块及每一张玻片的具体归档位置，确保信息的准确性和可追溯性。</w:t>
      </w:r>
    </w:p>
    <w:p w14:paraId="59425CD4">
      <w:pPr>
        <w:bidi w:val="0"/>
        <w:rPr>
          <w:b/>
          <w:bCs/>
          <w:highlight w:val="none"/>
        </w:rPr>
      </w:pPr>
      <w:r>
        <w:rPr>
          <w:rFonts w:hint="eastAsia"/>
          <w:b/>
          <w:bCs/>
          <w:highlight w:val="none"/>
        </w:rPr>
        <w:t>二、归档状态变更</w:t>
      </w:r>
    </w:p>
    <w:p w14:paraId="7AC79E5B">
      <w:pPr>
        <w:bidi w:val="0"/>
        <w:rPr>
          <w:highlight w:val="none"/>
        </w:rPr>
      </w:pPr>
      <w:r>
        <w:rPr>
          <w:rFonts w:hint="eastAsia"/>
          <w:highlight w:val="none"/>
        </w:rPr>
        <w:t>在系统预设的逻辑处理机制下，一旦相关病例的所有审核流程和必要操作均已完成，并且达到了规定的归档标准，该病例的状态便会自动由“待处理”或“处理中”等中间状态，无缝切换至最终的“已归档”状态。</w:t>
      </w:r>
    </w:p>
    <w:p w14:paraId="5FA51F50">
      <w:pPr>
        <w:bidi w:val="0"/>
        <w:rPr>
          <w:b/>
          <w:bCs/>
          <w:highlight w:val="none"/>
        </w:rPr>
      </w:pPr>
      <w:r>
        <w:rPr>
          <w:rFonts w:hint="eastAsia"/>
          <w:b/>
          <w:bCs/>
          <w:highlight w:val="none"/>
        </w:rPr>
        <w:t>三、借还片费用记录</w:t>
      </w:r>
    </w:p>
    <w:p w14:paraId="5BD8F1BA">
      <w:pPr>
        <w:bidi w:val="0"/>
        <w:rPr>
          <w:highlight w:val="none"/>
        </w:rPr>
      </w:pPr>
      <w:r>
        <w:rPr>
          <w:rFonts w:hint="eastAsia"/>
          <w:highlight w:val="none"/>
        </w:rPr>
        <w:t>详细记录每次借阅和归还影片所产生的相关费用。</w:t>
      </w:r>
    </w:p>
    <w:p w14:paraId="6BA0DBBE">
      <w:pPr>
        <w:bidi w:val="0"/>
        <w:rPr>
          <w:b/>
          <w:bCs/>
          <w:highlight w:val="none"/>
        </w:rPr>
      </w:pPr>
      <w:r>
        <w:rPr>
          <w:rFonts w:hint="eastAsia"/>
          <w:b/>
          <w:bCs/>
          <w:highlight w:val="none"/>
        </w:rPr>
        <w:t>四、借还片管理</w:t>
      </w:r>
    </w:p>
    <w:p w14:paraId="513EEEFE">
      <w:pPr>
        <w:bidi w:val="0"/>
        <w:rPr>
          <w:highlight w:val="none"/>
        </w:rPr>
      </w:pPr>
      <w:r>
        <w:rPr>
          <w:rFonts w:hint="eastAsia"/>
          <w:highlight w:val="none"/>
        </w:rPr>
        <w:t>资料室借还片管理是一项细致且重要的工作，它要求管理人员必须及时、准确地了解和处理切片的各种状态变化，包括“借出”、“归还”以及“作废”等具体情况。通过对这些状态的实时监控和有效管理，确保每一片资料切片的流转过程清晰可追溯，避免出现混乱或遗失的情况，从而保障资料室资源的合理利用和高效运转。管理人员需定期检查借还记录，及时更新系统信息，确保所有切片的借还状态与实际相符。</w:t>
      </w:r>
    </w:p>
    <w:p w14:paraId="717EE060">
      <w:pPr>
        <w:bidi w:val="0"/>
        <w:rPr>
          <w:b/>
          <w:bCs/>
          <w:highlight w:val="none"/>
        </w:rPr>
      </w:pPr>
      <w:r>
        <w:rPr>
          <w:rFonts w:hint="eastAsia"/>
          <w:b/>
          <w:bCs/>
          <w:highlight w:val="none"/>
        </w:rPr>
        <w:t>五、外院会诊记录</w:t>
      </w:r>
    </w:p>
    <w:p w14:paraId="0797133E">
      <w:pPr>
        <w:bidi w:val="0"/>
        <w:rPr>
          <w:highlight w:val="none"/>
        </w:rPr>
      </w:pPr>
      <w:r>
        <w:rPr>
          <w:rFonts w:hint="eastAsia"/>
          <w:highlight w:val="none"/>
        </w:rPr>
        <w:t>在切片归还的过程中，详细记录外院专家的会诊意见，确保信息的完整性和准确性。系统配备了先进的影像存储模块，能够高效地存储和管理外院会诊的影像资料，实现快速关联外院会诊结果的功能。当会诊结果被录入系统后，诊断工作站会自动触发提醒机制，及时通知相应的诊断医生，确保医生能够迅速获取最新的会诊信息。</w:t>
      </w:r>
    </w:p>
    <w:p w14:paraId="35891ED8">
      <w:pPr>
        <w:bidi w:val="0"/>
        <w:rPr>
          <w:b/>
          <w:bCs/>
          <w:highlight w:val="none"/>
        </w:rPr>
      </w:pPr>
      <w:r>
        <w:rPr>
          <w:rFonts w:hint="eastAsia"/>
          <w:b/>
          <w:bCs/>
          <w:highlight w:val="none"/>
        </w:rPr>
        <w:t>六、借片凭证打印</w:t>
      </w:r>
    </w:p>
    <w:p w14:paraId="0BC603F5">
      <w:pPr>
        <w:bidi w:val="0"/>
        <w:rPr>
          <w:highlight w:val="none"/>
        </w:rPr>
      </w:pPr>
      <w:r>
        <w:rPr>
          <w:rFonts w:hint="eastAsia"/>
          <w:highlight w:val="none"/>
        </w:rPr>
        <w:t>打印借片凭证，即将借片的相关信息，如借片人姓名、借片日期、归还日期、所借影片名称及编号等详细信息，通过打印机输出成纸质凭证，以便借片人和图书馆或影片管理机构双方留存，作为借还影片的重要依据和凭证。</w:t>
      </w:r>
    </w:p>
    <w:p w14:paraId="35CD809C">
      <w:pPr>
        <w:bidi w:val="0"/>
        <w:rPr>
          <w:b/>
          <w:bCs/>
          <w:highlight w:val="none"/>
        </w:rPr>
      </w:pPr>
      <w:r>
        <w:rPr>
          <w:rFonts w:hint="eastAsia"/>
          <w:b/>
          <w:bCs/>
          <w:highlight w:val="none"/>
        </w:rPr>
        <w:t>七、会诊结果录入</w:t>
      </w:r>
    </w:p>
    <w:p w14:paraId="463F217A">
      <w:pPr>
        <w:bidi w:val="0"/>
        <w:rPr>
          <w:highlight w:val="none"/>
        </w:rPr>
      </w:pPr>
      <w:r>
        <w:rPr>
          <w:rFonts w:hint="eastAsia"/>
          <w:highlight w:val="none"/>
        </w:rPr>
        <w:t>录入会诊结果意见，确保将专家团队的详细讨论和综合分析结果准确无误地记录下来。</w:t>
      </w:r>
    </w:p>
    <w:p w14:paraId="6D192DFA">
      <w:pPr>
        <w:pStyle w:val="5"/>
        <w:bidi w:val="0"/>
        <w:rPr>
          <w:highlight w:val="none"/>
        </w:rPr>
      </w:pPr>
      <w:r>
        <w:rPr>
          <w:rFonts w:hint="eastAsia"/>
          <w:highlight w:val="none"/>
        </w:rPr>
        <w:t>试剂耗材工作站</w:t>
      </w:r>
    </w:p>
    <w:p w14:paraId="4F3CC025">
      <w:pPr>
        <w:bidi w:val="0"/>
        <w:rPr>
          <w:b/>
          <w:bCs/>
          <w:highlight w:val="none"/>
        </w:rPr>
      </w:pPr>
      <w:r>
        <w:rPr>
          <w:rFonts w:hint="eastAsia"/>
          <w:b/>
          <w:bCs/>
          <w:highlight w:val="none"/>
        </w:rPr>
        <w:t>一、物料管理</w:t>
      </w:r>
    </w:p>
    <w:p w14:paraId="2CE3E466">
      <w:pPr>
        <w:bidi w:val="0"/>
        <w:rPr>
          <w:highlight w:val="none"/>
        </w:rPr>
      </w:pPr>
      <w:r>
        <w:rPr>
          <w:highlight w:val="none"/>
        </w:rPr>
        <w:t>支持对物料进行新建、编辑、删除操作，维护物料基本信息，可根据编号、名称、生产厂家等筛选条件查询库存信息及导出</w:t>
      </w:r>
      <w:r>
        <w:rPr>
          <w:rFonts w:hint="eastAsia"/>
          <w:highlight w:val="none"/>
        </w:rPr>
        <w:t>。</w:t>
      </w:r>
    </w:p>
    <w:p w14:paraId="275118C6">
      <w:pPr>
        <w:bidi w:val="0"/>
        <w:rPr>
          <w:b/>
          <w:bCs/>
          <w:highlight w:val="none"/>
        </w:rPr>
      </w:pPr>
      <w:r>
        <w:rPr>
          <w:rFonts w:hint="eastAsia"/>
          <w:b/>
          <w:bCs/>
          <w:highlight w:val="none"/>
        </w:rPr>
        <w:t>二、供应商管理</w:t>
      </w:r>
    </w:p>
    <w:p w14:paraId="0A676C37">
      <w:pPr>
        <w:bidi w:val="0"/>
        <w:rPr>
          <w:highlight w:val="none"/>
        </w:rPr>
      </w:pPr>
      <w:r>
        <w:rPr>
          <w:highlight w:val="none"/>
        </w:rPr>
        <w:t>支持对供应商进行新建、编辑、删除操作，维护供应商基本信息，可根据拼音码快速查询供应商信息</w:t>
      </w:r>
      <w:r>
        <w:rPr>
          <w:rFonts w:hint="eastAsia"/>
          <w:highlight w:val="none"/>
        </w:rPr>
        <w:t>。</w:t>
      </w:r>
    </w:p>
    <w:p w14:paraId="51F37BE0">
      <w:pPr>
        <w:bidi w:val="0"/>
        <w:rPr>
          <w:b/>
          <w:bCs/>
          <w:highlight w:val="none"/>
        </w:rPr>
      </w:pPr>
      <w:r>
        <w:rPr>
          <w:rFonts w:hint="eastAsia"/>
          <w:b/>
          <w:bCs/>
          <w:highlight w:val="none"/>
        </w:rPr>
        <w:t>三、出入库管理</w:t>
      </w:r>
    </w:p>
    <w:p w14:paraId="1A16BF01">
      <w:pPr>
        <w:bidi w:val="0"/>
        <w:rPr>
          <w:highlight w:val="none"/>
        </w:rPr>
      </w:pPr>
      <w:r>
        <w:rPr>
          <w:highlight w:val="none"/>
        </w:rPr>
        <w:t>对已采购的物料进行入库操作，可根据编号、产品名称、生产厂家、产品类型等筛选条件查询入库信息，支持扫码入库操作</w:t>
      </w:r>
      <w:r>
        <w:rPr>
          <w:rFonts w:hint="eastAsia"/>
          <w:highlight w:val="none"/>
        </w:rPr>
        <w:t>。</w:t>
      </w:r>
      <w:r>
        <w:rPr>
          <w:highlight w:val="none"/>
        </w:rPr>
        <w:t>对已入库的物料进行出库操作，可根据编号、产品名称、生产厂家、产品类型等筛选条件查询出库信息</w:t>
      </w:r>
      <w:r>
        <w:rPr>
          <w:rFonts w:hint="eastAsia"/>
          <w:highlight w:val="none"/>
        </w:rPr>
        <w:t>。</w:t>
      </w:r>
    </w:p>
    <w:p w14:paraId="0CB289FA">
      <w:pPr>
        <w:bidi w:val="0"/>
        <w:rPr>
          <w:b/>
          <w:bCs/>
          <w:highlight w:val="none"/>
        </w:rPr>
      </w:pPr>
      <w:r>
        <w:rPr>
          <w:rFonts w:hint="eastAsia"/>
          <w:b/>
          <w:bCs/>
          <w:highlight w:val="none"/>
        </w:rPr>
        <w:t>四、试剂验证</w:t>
      </w:r>
    </w:p>
    <w:p w14:paraId="3E5A996D">
      <w:pPr>
        <w:bidi w:val="0"/>
        <w:rPr>
          <w:highlight w:val="none"/>
        </w:rPr>
      </w:pPr>
      <w:r>
        <w:rPr>
          <w:highlight w:val="none"/>
        </w:rPr>
        <w:t>支持按照标记物批量进行验证，自动匹配试剂名称、入库批次，记录验证结果，可打印验证合格二维码便于贴在试剂盒</w:t>
      </w:r>
      <w:r>
        <w:rPr>
          <w:rFonts w:hint="eastAsia"/>
          <w:highlight w:val="none"/>
        </w:rPr>
        <w:t>。</w:t>
      </w:r>
    </w:p>
    <w:p w14:paraId="19E084BA">
      <w:pPr>
        <w:bidi w:val="0"/>
        <w:rPr>
          <w:b/>
          <w:bCs/>
          <w:highlight w:val="none"/>
        </w:rPr>
      </w:pPr>
      <w:r>
        <w:rPr>
          <w:rFonts w:hint="eastAsia"/>
          <w:b/>
          <w:bCs/>
          <w:highlight w:val="none"/>
        </w:rPr>
        <w:t>五、安全管理</w:t>
      </w:r>
    </w:p>
    <w:p w14:paraId="3CD1D625">
      <w:pPr>
        <w:bidi w:val="0"/>
        <w:rPr>
          <w:highlight w:val="none"/>
        </w:rPr>
      </w:pPr>
      <w:r>
        <w:rPr>
          <w:highlight w:val="none"/>
        </w:rPr>
        <w:t>支持设置物料出入库管理模式，扫码验证，双人双锁，符合危化品安全管理标准</w:t>
      </w:r>
      <w:r>
        <w:rPr>
          <w:rFonts w:hint="eastAsia"/>
          <w:highlight w:val="none"/>
        </w:rPr>
        <w:t>。</w:t>
      </w:r>
    </w:p>
    <w:p w14:paraId="67E5E00D">
      <w:pPr>
        <w:bidi w:val="0"/>
        <w:rPr>
          <w:b/>
          <w:bCs/>
          <w:highlight w:val="none"/>
        </w:rPr>
      </w:pPr>
      <w:r>
        <w:rPr>
          <w:rFonts w:hint="eastAsia"/>
          <w:b/>
          <w:bCs/>
          <w:highlight w:val="none"/>
        </w:rPr>
        <w:t>六、低库存预警</w:t>
      </w:r>
    </w:p>
    <w:p w14:paraId="5E10615D">
      <w:pPr>
        <w:bidi w:val="0"/>
        <w:rPr>
          <w:highlight w:val="none"/>
        </w:rPr>
      </w:pPr>
      <w:r>
        <w:rPr>
          <w:highlight w:val="none"/>
        </w:rPr>
        <w:t>支持物料低库存预警，低于预警值自动提醒</w:t>
      </w:r>
      <w:r>
        <w:rPr>
          <w:rFonts w:hint="eastAsia"/>
          <w:highlight w:val="none"/>
        </w:rPr>
        <w:t>。</w:t>
      </w:r>
    </w:p>
    <w:p w14:paraId="15CE1F73">
      <w:pPr>
        <w:bidi w:val="0"/>
        <w:rPr>
          <w:b/>
          <w:bCs/>
          <w:highlight w:val="none"/>
        </w:rPr>
      </w:pPr>
      <w:r>
        <w:rPr>
          <w:rFonts w:hint="eastAsia"/>
          <w:b/>
          <w:bCs/>
          <w:highlight w:val="none"/>
        </w:rPr>
        <w:t>七、自动扣减</w:t>
      </w:r>
    </w:p>
    <w:p w14:paraId="500881E4">
      <w:pPr>
        <w:bidi w:val="0"/>
        <w:rPr>
          <w:highlight w:val="none"/>
        </w:rPr>
      </w:pPr>
      <w:r>
        <w:rPr>
          <w:highlight w:val="none"/>
        </w:rPr>
        <w:t>支持特检医嘱执行过程自动扣减库存</w:t>
      </w:r>
      <w:r>
        <w:rPr>
          <w:rFonts w:hint="eastAsia"/>
          <w:highlight w:val="none"/>
        </w:rPr>
        <w:t>。</w:t>
      </w:r>
    </w:p>
    <w:p w14:paraId="64D24A01">
      <w:pPr>
        <w:pStyle w:val="4"/>
        <w:bidi w:val="0"/>
        <w:rPr>
          <w:highlight w:val="none"/>
        </w:rPr>
      </w:pPr>
      <w:bookmarkStart w:id="8" w:name="_Toc17589"/>
      <w:r>
        <w:rPr>
          <w:rFonts w:hint="eastAsia"/>
          <w:highlight w:val="none"/>
        </w:rPr>
        <w:t>数字病理会诊平台</w:t>
      </w:r>
      <w:bookmarkEnd w:id="8"/>
    </w:p>
    <w:p w14:paraId="40E381D2">
      <w:pPr>
        <w:numPr>
          <w:ilvl w:val="0"/>
          <w:numId w:val="9"/>
        </w:numPr>
        <w:bidi w:val="0"/>
        <w:rPr>
          <w:b/>
          <w:bCs/>
          <w:highlight w:val="none"/>
        </w:rPr>
      </w:pPr>
      <w:r>
        <w:rPr>
          <w:rFonts w:hint="eastAsia"/>
          <w:b/>
          <w:bCs/>
          <w:highlight w:val="none"/>
        </w:rPr>
        <w:t>首页信息</w:t>
      </w:r>
    </w:p>
    <w:p w14:paraId="4AC11EEE">
      <w:pPr>
        <w:bidi w:val="0"/>
        <w:rPr>
          <w:highlight w:val="none"/>
        </w:rPr>
      </w:pPr>
      <w:r>
        <w:rPr>
          <w:rFonts w:hint="eastAsia"/>
          <w:highlight w:val="none"/>
        </w:rPr>
        <w:t>首页展示的信息包含待发送病例数、待诊断病例数、已诊断病例数等，方便用户查看实时数据汇总。</w:t>
      </w:r>
    </w:p>
    <w:p w14:paraId="672D3AC7">
      <w:pPr>
        <w:numPr>
          <w:ilvl w:val="0"/>
          <w:numId w:val="9"/>
        </w:numPr>
        <w:bidi w:val="0"/>
        <w:rPr>
          <w:b/>
          <w:bCs/>
          <w:highlight w:val="none"/>
        </w:rPr>
      </w:pPr>
      <w:r>
        <w:rPr>
          <w:rFonts w:hint="eastAsia"/>
          <w:b/>
          <w:bCs/>
          <w:highlight w:val="none"/>
        </w:rPr>
        <w:t>创建病例</w:t>
      </w:r>
    </w:p>
    <w:p w14:paraId="47295169">
      <w:pPr>
        <w:bidi w:val="0"/>
        <w:rPr>
          <w:highlight w:val="none"/>
        </w:rPr>
      </w:pPr>
      <w:r>
        <w:rPr>
          <w:rFonts w:hint="eastAsia"/>
          <w:highlight w:val="none"/>
        </w:rPr>
        <w:t>支持填写患者基本信息、送检信息、临床资料及原病理诊断信息。支持分类创建远程会诊病例：可按常规、细胞学、分子病理、免疫组化、冰冻进行病例的分类创建。远程冰冻支持预约冰冻或实时冰冻两种模式。</w:t>
      </w:r>
    </w:p>
    <w:p w14:paraId="6DD474D6">
      <w:pPr>
        <w:numPr>
          <w:ilvl w:val="0"/>
          <w:numId w:val="9"/>
        </w:numPr>
        <w:bidi w:val="0"/>
        <w:rPr>
          <w:b/>
          <w:bCs/>
          <w:highlight w:val="none"/>
        </w:rPr>
      </w:pPr>
      <w:r>
        <w:rPr>
          <w:rFonts w:hint="eastAsia"/>
          <w:b/>
          <w:bCs/>
          <w:highlight w:val="none"/>
        </w:rPr>
        <w:t>上传数字切片</w:t>
      </w:r>
    </w:p>
    <w:p w14:paraId="2A34AE9A">
      <w:pPr>
        <w:bidi w:val="0"/>
        <w:rPr>
          <w:highlight w:val="none"/>
        </w:rPr>
      </w:pPr>
      <w:r>
        <w:rPr>
          <w:rFonts w:hint="eastAsia"/>
          <w:highlight w:val="none"/>
        </w:rPr>
        <w:t>完成病例信息填写后可上传数字切片，兼容数字切片格式不少于：dmetrix，kfb，tmap，ndpi，zip，rar，svs，mds，tiff，tif，czi，vsi，bmap，bif，tron，sdpc。能够全面支持与各种类型的病理扫描仪进行无缝对接。</w:t>
      </w:r>
    </w:p>
    <w:p w14:paraId="1B5A0319">
      <w:pPr>
        <w:numPr>
          <w:ilvl w:val="0"/>
          <w:numId w:val="9"/>
        </w:numPr>
        <w:bidi w:val="0"/>
        <w:rPr>
          <w:b/>
          <w:bCs/>
          <w:highlight w:val="none"/>
        </w:rPr>
      </w:pPr>
      <w:r>
        <w:rPr>
          <w:rFonts w:hint="eastAsia"/>
          <w:b/>
          <w:bCs/>
          <w:highlight w:val="none"/>
        </w:rPr>
        <w:t>批量新建</w:t>
      </w:r>
    </w:p>
    <w:p w14:paraId="16DB44E8">
      <w:pPr>
        <w:bidi w:val="0"/>
        <w:rPr>
          <w:highlight w:val="none"/>
        </w:rPr>
      </w:pPr>
      <w:r>
        <w:rPr>
          <w:rFonts w:hint="eastAsia"/>
          <w:highlight w:val="none"/>
        </w:rPr>
        <w:t>支持批量上传病例功能，在文档中批量添加病例信息后，使用“导入Excel”功能就可以将多条病例成功导入系统。同时支持批量上传切片，上传完成后，在列表页面可以看到成功上传的切片。在切片列表页面，可以手动编辑病理号（用来匹配病例）和是否免疫组化。同时在选择诊断专家页面，选择一个或者多个诊断专家后（可参考专家的特长亚专科），同时专家也将收到提交病例的短信通知（冰冻病例会有电话语音通知）。</w:t>
      </w:r>
    </w:p>
    <w:p w14:paraId="07C04889">
      <w:pPr>
        <w:numPr>
          <w:ilvl w:val="0"/>
          <w:numId w:val="9"/>
        </w:numPr>
        <w:bidi w:val="0"/>
        <w:rPr>
          <w:b/>
          <w:bCs/>
          <w:highlight w:val="none"/>
        </w:rPr>
      </w:pPr>
      <w:r>
        <w:rPr>
          <w:rFonts w:hint="eastAsia"/>
          <w:b/>
          <w:bCs/>
          <w:highlight w:val="none"/>
        </w:rPr>
        <w:t>发起会诊端病例列表</w:t>
      </w:r>
    </w:p>
    <w:p w14:paraId="091EFA8E">
      <w:pPr>
        <w:bidi w:val="0"/>
        <w:rPr>
          <w:highlight w:val="none"/>
        </w:rPr>
      </w:pPr>
      <w:r>
        <w:rPr>
          <w:rFonts w:hint="eastAsia"/>
          <w:highlight w:val="none"/>
        </w:rPr>
        <w:t>在病例列表，支持查看所有待分诊、待诊断、已诊断、退回、加做医嘱病例，并醒目标识所有未读数据，方便用户快速查看。可根据亚专科分类、申请时间、关键字等条件进行搜索操作，支持快速查询某个病人的所有病例。同时支持数据追踪功能，可查看某条病例的操作流程、操作时间。</w:t>
      </w:r>
    </w:p>
    <w:p w14:paraId="7B6C2DC1">
      <w:pPr>
        <w:numPr>
          <w:ilvl w:val="0"/>
          <w:numId w:val="9"/>
        </w:numPr>
        <w:bidi w:val="0"/>
        <w:rPr>
          <w:b/>
          <w:bCs/>
          <w:highlight w:val="none"/>
        </w:rPr>
      </w:pPr>
      <w:r>
        <w:rPr>
          <w:rFonts w:hint="eastAsia"/>
          <w:b/>
          <w:bCs/>
          <w:highlight w:val="none"/>
        </w:rPr>
        <w:t>专家端病例列表</w:t>
      </w:r>
    </w:p>
    <w:p w14:paraId="361E57A0">
      <w:pPr>
        <w:bidi w:val="0"/>
        <w:rPr>
          <w:highlight w:val="none"/>
        </w:rPr>
      </w:pPr>
      <w:r>
        <w:rPr>
          <w:rFonts w:hint="eastAsia"/>
          <w:highlight w:val="none"/>
        </w:rPr>
        <w:t>可根据亚专科分类、申请时间、关键字等条件进行搜索操作，支持快速查询某个病人的所有病例。检单位提交病例给专家后，专家会收到相应的短信通知，此时打开病例列表，可进行诊断病例的操作。</w:t>
      </w:r>
    </w:p>
    <w:p w14:paraId="03084B8E">
      <w:pPr>
        <w:bidi w:val="0"/>
        <w:rPr>
          <w:highlight w:val="none"/>
        </w:rPr>
      </w:pPr>
      <w:r>
        <w:rPr>
          <w:rFonts w:hint="eastAsia"/>
          <w:highlight w:val="none"/>
        </w:rPr>
        <w:t>浏览病理切片，对病理部分可进行截图操作。也支持在线浏览DICOM影像学图片。支持将取材部位、原病理诊断意见等信息复制到诊断意见。提交诊断意见后，送检医院将会收到短信通知。</w:t>
      </w:r>
    </w:p>
    <w:p w14:paraId="6C7C82C3">
      <w:pPr>
        <w:bidi w:val="0"/>
        <w:rPr>
          <w:highlight w:val="none"/>
        </w:rPr>
      </w:pPr>
      <w:r>
        <w:rPr>
          <w:rFonts w:hint="eastAsia"/>
          <w:highlight w:val="none"/>
        </w:rPr>
        <w:t>会诊专家可以选择添加诊断常用词到诊断意见处，提高会诊效率，同时支持用户自定义诊断常用词。同时也支持将病例转给别的专家进行诊断。已诊断的病例也支持加做医嘱功能，支持远程专家自行补充上传附件文档。</w:t>
      </w:r>
    </w:p>
    <w:p w14:paraId="1F53C1C4">
      <w:pPr>
        <w:numPr>
          <w:ilvl w:val="0"/>
          <w:numId w:val="9"/>
        </w:numPr>
        <w:bidi w:val="0"/>
        <w:rPr>
          <w:b/>
          <w:bCs/>
          <w:highlight w:val="none"/>
        </w:rPr>
      </w:pPr>
      <w:r>
        <w:rPr>
          <w:rFonts w:hint="eastAsia"/>
          <w:b/>
          <w:bCs/>
          <w:highlight w:val="none"/>
        </w:rPr>
        <w:t>切片浏览</w:t>
      </w:r>
    </w:p>
    <w:p w14:paraId="1BC5F872">
      <w:pPr>
        <w:bidi w:val="0"/>
        <w:rPr>
          <w:highlight w:val="none"/>
        </w:rPr>
      </w:pPr>
      <w:r>
        <w:rPr>
          <w:rFonts w:hint="eastAsia"/>
          <w:highlight w:val="none"/>
        </w:rPr>
        <w:t>支持分屏浏览：当数字切片数目大于2张，可分屏浏览切片，最多支持4张切片分屏浏览。全屏幕大图渲染，支持缩放、拖动、方向键移动、比例尺、倍数尺、导航图等辅助阅片工具。具备辅助阅片功能，支持截图、多种标注、图像调节、实时测量、自动播放等辅助阅片。</w:t>
      </w:r>
    </w:p>
    <w:p w14:paraId="0B238972">
      <w:pPr>
        <w:bidi w:val="0"/>
        <w:rPr>
          <w:highlight w:val="none"/>
        </w:rPr>
      </w:pPr>
      <w:r>
        <w:rPr>
          <w:rFonts w:hint="eastAsia"/>
          <w:highlight w:val="none"/>
        </w:rPr>
        <w:t>支持个性化设置：按照用户习惯，设置各类工具，如比例尺、导航图、标注等内容的显隐控制；设置切片缩放速度、倍率跳转范围等数值大小。</w:t>
      </w:r>
    </w:p>
    <w:p w14:paraId="27C20B5A">
      <w:pPr>
        <w:numPr>
          <w:ilvl w:val="0"/>
          <w:numId w:val="9"/>
        </w:numPr>
        <w:bidi w:val="0"/>
        <w:rPr>
          <w:b/>
          <w:bCs/>
          <w:highlight w:val="none"/>
        </w:rPr>
      </w:pPr>
      <w:r>
        <w:rPr>
          <w:rFonts w:hint="eastAsia"/>
          <w:b/>
          <w:bCs/>
          <w:highlight w:val="none"/>
        </w:rPr>
        <w:t>质控评价</w:t>
      </w:r>
    </w:p>
    <w:p w14:paraId="17FF1240">
      <w:pPr>
        <w:bidi w:val="0"/>
        <w:rPr>
          <w:highlight w:val="none"/>
        </w:rPr>
      </w:pPr>
      <w:r>
        <w:rPr>
          <w:rFonts w:hint="eastAsia"/>
          <w:highlight w:val="none"/>
        </w:rPr>
        <w:t>专家可对病例进行初诊符合率评价，支持对单张切片进行是否合格的评价，同时可以添加质控意见，方便送检单位进行改进。</w:t>
      </w:r>
    </w:p>
    <w:p w14:paraId="50A744BA">
      <w:pPr>
        <w:numPr>
          <w:ilvl w:val="0"/>
          <w:numId w:val="9"/>
        </w:numPr>
        <w:bidi w:val="0"/>
        <w:rPr>
          <w:b/>
          <w:bCs/>
          <w:highlight w:val="none"/>
        </w:rPr>
      </w:pPr>
      <w:r>
        <w:rPr>
          <w:rFonts w:hint="eastAsia"/>
          <w:b/>
          <w:bCs/>
          <w:highlight w:val="none"/>
        </w:rPr>
        <w:t>分享病例</w:t>
      </w:r>
    </w:p>
    <w:p w14:paraId="48849673">
      <w:pPr>
        <w:bidi w:val="0"/>
        <w:rPr>
          <w:highlight w:val="none"/>
        </w:rPr>
      </w:pPr>
      <w:r>
        <w:rPr>
          <w:rFonts w:hint="eastAsia"/>
          <w:highlight w:val="none"/>
        </w:rPr>
        <w:t>支持病例院内共享，有效支持线上学习、临床查看报告等使用场景。同时也支持病例定时分享和加密分享。</w:t>
      </w:r>
    </w:p>
    <w:p w14:paraId="285015B7">
      <w:pPr>
        <w:numPr>
          <w:ilvl w:val="0"/>
          <w:numId w:val="9"/>
        </w:numPr>
        <w:bidi w:val="0"/>
        <w:rPr>
          <w:b/>
          <w:bCs/>
          <w:highlight w:val="none"/>
        </w:rPr>
      </w:pPr>
      <w:r>
        <w:rPr>
          <w:rFonts w:hint="eastAsia"/>
          <w:b/>
          <w:bCs/>
          <w:highlight w:val="none"/>
        </w:rPr>
        <w:t>诊断列表</w:t>
      </w:r>
    </w:p>
    <w:p w14:paraId="49261BD4">
      <w:pPr>
        <w:bidi w:val="0"/>
        <w:rPr>
          <w:highlight w:val="none"/>
        </w:rPr>
      </w:pPr>
      <w:r>
        <w:rPr>
          <w:rFonts w:hint="eastAsia"/>
          <w:highlight w:val="none"/>
        </w:rPr>
        <w:t>支持多时间段、多种方式的病例统计，诊断费用统计等等。发起会诊端支持统计每月的病例数和切片数，同时可以将病例统计结果导出为Excel。</w:t>
      </w:r>
    </w:p>
    <w:p w14:paraId="1BDA3CE1">
      <w:pPr>
        <w:numPr>
          <w:ilvl w:val="0"/>
          <w:numId w:val="9"/>
        </w:numPr>
        <w:bidi w:val="0"/>
        <w:rPr>
          <w:b/>
          <w:bCs/>
          <w:highlight w:val="none"/>
        </w:rPr>
      </w:pPr>
      <w:r>
        <w:rPr>
          <w:rFonts w:hint="eastAsia"/>
          <w:b/>
          <w:bCs/>
          <w:highlight w:val="none"/>
        </w:rPr>
        <w:t>医院端设置</w:t>
      </w:r>
    </w:p>
    <w:p w14:paraId="7E23BB1E">
      <w:pPr>
        <w:bidi w:val="0"/>
        <w:rPr>
          <w:highlight w:val="none"/>
        </w:rPr>
      </w:pPr>
      <w:r>
        <w:rPr>
          <w:rFonts w:hint="eastAsia"/>
          <w:highlight w:val="none"/>
        </w:rPr>
        <w:t>支持查看所在医院的账号余额和会诊账单详细，支持查看会诊券列表和会诊券验证。支持查看所在医院的医生列表。</w:t>
      </w:r>
    </w:p>
    <w:p w14:paraId="24E431D5">
      <w:pPr>
        <w:numPr>
          <w:ilvl w:val="0"/>
          <w:numId w:val="9"/>
        </w:numPr>
        <w:bidi w:val="0"/>
        <w:rPr>
          <w:b/>
          <w:bCs/>
          <w:highlight w:val="none"/>
        </w:rPr>
      </w:pPr>
      <w:r>
        <w:rPr>
          <w:rFonts w:hint="eastAsia"/>
          <w:b/>
          <w:bCs/>
          <w:highlight w:val="none"/>
        </w:rPr>
        <w:t>专家端设置</w:t>
      </w:r>
    </w:p>
    <w:p w14:paraId="2BAB7F25">
      <w:pPr>
        <w:bidi w:val="0"/>
        <w:rPr>
          <w:highlight w:val="none"/>
        </w:rPr>
      </w:pPr>
      <w:r>
        <w:rPr>
          <w:rFonts w:hint="eastAsia"/>
          <w:highlight w:val="none"/>
        </w:rPr>
        <w:t>专家用户可以提前创建医嘱分组，方便诊断时快速添加。可进行亚专科设置，支持查看和修改个人的亚专科。会诊状态可设置为空闲或无法诊断，支持设置无法诊断的时间段。当设置为无法诊断状态时，在此时间内将不会收到会诊病例。支持专家用户上传签名图片，并展示在会诊报告中。支持用户自定义个人的常规会诊、冰冻会诊价格；</w:t>
      </w:r>
      <w:r>
        <w:rPr>
          <w:highlight w:val="none"/>
        </w:rPr>
        <w:t> </w:t>
      </w:r>
      <w:r>
        <w:rPr>
          <w:rFonts w:hint="eastAsia"/>
          <w:highlight w:val="none"/>
        </w:rPr>
        <w:t>并支持对特定医院、特定会诊关联进行特殊定价。</w:t>
      </w:r>
    </w:p>
    <w:p w14:paraId="6D537F75">
      <w:pPr>
        <w:numPr>
          <w:ilvl w:val="0"/>
          <w:numId w:val="9"/>
        </w:numPr>
        <w:bidi w:val="0"/>
        <w:rPr>
          <w:b/>
          <w:bCs/>
          <w:highlight w:val="none"/>
        </w:rPr>
      </w:pPr>
      <w:r>
        <w:rPr>
          <w:rFonts w:hint="eastAsia"/>
          <w:b/>
          <w:bCs/>
          <w:highlight w:val="none"/>
        </w:rPr>
        <w:t>用户账号设置</w:t>
      </w:r>
    </w:p>
    <w:p w14:paraId="30FEA822">
      <w:pPr>
        <w:bidi w:val="0"/>
        <w:rPr>
          <w:highlight w:val="none"/>
        </w:rPr>
      </w:pPr>
      <w:r>
        <w:rPr>
          <w:rFonts w:hint="eastAsia"/>
          <w:highlight w:val="none"/>
        </w:rPr>
        <w:t>支持用户进行账号信息设置、修改密码、字体大小、打印插件下载等等；支持中英文切换，方便海外专家会诊。支持站内信提醒用户待诊断数量、留言数量等等信息，点击可跳转至相应的病例页面，方便快速查看。</w:t>
      </w:r>
    </w:p>
    <w:p w14:paraId="40125273">
      <w:pPr>
        <w:pStyle w:val="4"/>
        <w:bidi w:val="0"/>
        <w:rPr>
          <w:highlight w:val="none"/>
        </w:rPr>
      </w:pPr>
      <w:bookmarkStart w:id="9" w:name="_Toc18068"/>
      <w:bookmarkStart w:id="10" w:name="_Toc23124"/>
      <w:r>
        <w:rPr>
          <w:rFonts w:hint="eastAsia"/>
          <w:highlight w:val="none"/>
          <w:lang w:eastAsia="zh-CN"/>
        </w:rPr>
        <w:t>县域</w:t>
      </w:r>
      <w:r>
        <w:rPr>
          <w:rFonts w:hint="eastAsia"/>
          <w:highlight w:val="none"/>
        </w:rPr>
        <w:t>病理送检平台</w:t>
      </w:r>
      <w:bookmarkEnd w:id="9"/>
    </w:p>
    <w:p w14:paraId="35D8D7D3">
      <w:pPr>
        <w:bidi w:val="0"/>
        <w:rPr>
          <w:b/>
          <w:bCs/>
          <w:highlight w:val="none"/>
        </w:rPr>
      </w:pPr>
      <w:r>
        <w:rPr>
          <w:rFonts w:hint="eastAsia"/>
          <w:b/>
          <w:bCs/>
          <w:highlight w:val="none"/>
        </w:rPr>
        <w:t>一、病理申请工作站</w:t>
      </w:r>
    </w:p>
    <w:p w14:paraId="5ADC8EFF">
      <w:pPr>
        <w:bidi w:val="0"/>
        <w:rPr>
          <w:highlight w:val="none"/>
        </w:rPr>
      </w:pPr>
      <w:r>
        <w:rPr>
          <w:rFonts w:hint="eastAsia"/>
          <w:highlight w:val="none"/>
        </w:rPr>
        <w:t>支持填写并创建电子申请单，对病理标本的离体、固定、派送物流记录进行全程跟踪，满足基层医院对病理申请的无纸化需求。支持查看上级诊断中心的开立的医嘱信息及反馈的报告结果。可一键查看和打印病例报告，</w:t>
      </w:r>
      <w:r>
        <w:rPr>
          <w:rFonts w:hint="eastAsia"/>
          <w:highlight w:val="none"/>
          <w:lang w:eastAsia="zh-CN"/>
        </w:rPr>
        <w:t>县人民医院</w:t>
      </w:r>
      <w:r>
        <w:rPr>
          <w:rFonts w:hint="eastAsia"/>
          <w:highlight w:val="none"/>
        </w:rPr>
        <w:t>审核发布后同步到电脑</w:t>
      </w:r>
      <w:r>
        <w:rPr>
          <w:highlight w:val="none"/>
        </w:rPr>
        <w:t>/移动端供区县的基层医院实时获取报告原件。</w:t>
      </w:r>
    </w:p>
    <w:p w14:paraId="5A66A234">
      <w:pPr>
        <w:bidi w:val="0"/>
        <w:rPr>
          <w:b/>
          <w:bCs/>
          <w:highlight w:val="none"/>
        </w:rPr>
      </w:pPr>
      <w:r>
        <w:rPr>
          <w:rFonts w:hint="eastAsia"/>
          <w:b/>
          <w:bCs/>
          <w:highlight w:val="none"/>
        </w:rPr>
        <w:t>二、病理验收工作站</w:t>
      </w:r>
    </w:p>
    <w:p w14:paraId="2E698F5D">
      <w:pPr>
        <w:bidi w:val="0"/>
        <w:rPr>
          <w:highlight w:val="none"/>
        </w:rPr>
      </w:pPr>
      <w:r>
        <w:rPr>
          <w:rFonts w:hint="eastAsia"/>
          <w:highlight w:val="none"/>
        </w:rPr>
        <w:t>支持查询和验收</w:t>
      </w:r>
      <w:r>
        <w:rPr>
          <w:rFonts w:hint="eastAsia"/>
          <w:highlight w:val="none"/>
          <w:lang w:eastAsia="zh-CN"/>
        </w:rPr>
        <w:t>县域</w:t>
      </w:r>
      <w:r>
        <w:rPr>
          <w:rFonts w:hint="eastAsia"/>
          <w:highlight w:val="none"/>
        </w:rPr>
        <w:t>送检申请单信息，支持对</w:t>
      </w:r>
      <w:r>
        <w:rPr>
          <w:rFonts w:hint="eastAsia"/>
          <w:highlight w:val="none"/>
          <w:lang w:eastAsia="zh-CN"/>
        </w:rPr>
        <w:t>县域</w:t>
      </w:r>
      <w:r>
        <w:rPr>
          <w:rFonts w:hint="eastAsia"/>
          <w:highlight w:val="none"/>
        </w:rPr>
        <w:t>送检样本进行验收核对。支持按照常规组织、细胞学、分子病理、免疫组化等分类进行登记。</w:t>
      </w:r>
    </w:p>
    <w:p w14:paraId="22ADC0E6">
      <w:pPr>
        <w:bidi w:val="0"/>
        <w:rPr>
          <w:b/>
          <w:bCs/>
          <w:highlight w:val="none"/>
        </w:rPr>
      </w:pPr>
      <w:r>
        <w:rPr>
          <w:rFonts w:hint="eastAsia"/>
          <w:b/>
          <w:bCs/>
          <w:highlight w:val="none"/>
        </w:rPr>
        <w:t>三、平台管理工作站</w:t>
      </w:r>
    </w:p>
    <w:p w14:paraId="7ECDF06C">
      <w:pPr>
        <w:bidi w:val="0"/>
        <w:rPr>
          <w:highlight w:val="none"/>
        </w:rPr>
      </w:pPr>
      <w:r>
        <w:rPr>
          <w:rFonts w:hint="eastAsia"/>
          <w:highlight w:val="none"/>
        </w:rPr>
        <w:t>包含组织架构、用户信息、账号权限等系统管理功能，专业化病理数据字典管理功能，个性化申请表单模板、打印模板配置功能。支持查询、查看、支持饼状图、柱状图等展示的方式查看各类统计数据，如：样本退回统计、标本固定及时率统计、区县免疫组化送检明细、区县分子病理送检明细、区县送检汇总统计。</w:t>
      </w:r>
    </w:p>
    <w:p w14:paraId="0AE48304">
      <w:pPr>
        <w:pStyle w:val="4"/>
        <w:bidi w:val="0"/>
        <w:rPr>
          <w:highlight w:val="none"/>
        </w:rPr>
      </w:pPr>
      <w:bookmarkStart w:id="11" w:name="_Toc5681"/>
      <w:r>
        <w:rPr>
          <w:rFonts w:hint="eastAsia"/>
          <w:highlight w:val="none"/>
        </w:rPr>
        <w:t>系统对接</w:t>
      </w:r>
      <w:bookmarkEnd w:id="11"/>
    </w:p>
    <w:p w14:paraId="4531F4BF">
      <w:pPr>
        <w:pStyle w:val="5"/>
        <w:bidi w:val="0"/>
        <w:rPr>
          <w:highlight w:val="none"/>
        </w:rPr>
      </w:pPr>
      <w:r>
        <w:rPr>
          <w:rFonts w:hint="eastAsia"/>
          <w:highlight w:val="none"/>
        </w:rPr>
        <w:t>集成平台对接</w:t>
      </w:r>
    </w:p>
    <w:p w14:paraId="4256BE09">
      <w:pPr>
        <w:bidi w:val="0"/>
        <w:rPr>
          <w:highlight w:val="none"/>
        </w:rPr>
      </w:pPr>
      <w:r>
        <w:rPr>
          <w:rFonts w:hint="eastAsia"/>
          <w:highlight w:val="none"/>
        </w:rPr>
        <w:t>实现医共体病理中心与集成平台之间的数据交换与互操作的过程。</w:t>
      </w:r>
      <w:r>
        <w:rPr>
          <w:highlight w:val="none"/>
        </w:rPr>
        <w:t>提供院级数据集成平台的主数据同步对接，包含用户信息、科室信息</w:t>
      </w:r>
      <w:r>
        <w:rPr>
          <w:rFonts w:hint="eastAsia"/>
          <w:highlight w:val="none"/>
        </w:rPr>
        <w:t>；</w:t>
      </w:r>
      <w:r>
        <w:rPr>
          <w:highlight w:val="none"/>
        </w:rPr>
        <w:t>提供院级数据集成平台的病理报告回传对接</w:t>
      </w:r>
      <w:r>
        <w:rPr>
          <w:rFonts w:hint="eastAsia"/>
          <w:highlight w:val="none"/>
        </w:rPr>
        <w:t>；</w:t>
      </w:r>
      <w:r>
        <w:rPr>
          <w:highlight w:val="none"/>
        </w:rPr>
        <w:t>提供院级数据集成平台的单点登录对接；以用户信息同步对接为基础。</w:t>
      </w:r>
      <w:r>
        <w:rPr>
          <w:rFonts w:hint="eastAsia"/>
          <w:highlight w:val="none"/>
        </w:rPr>
        <w:t>实现</w:t>
      </w:r>
      <w:r>
        <w:rPr>
          <w:highlight w:val="none"/>
        </w:rPr>
        <w:t>通过住院号、门诊号、患者编号等提取患者信息、送检信息，用于病例登记</w:t>
      </w:r>
      <w:r>
        <w:rPr>
          <w:rFonts w:hint="eastAsia"/>
          <w:highlight w:val="none"/>
        </w:rPr>
        <w:t>，以及</w:t>
      </w:r>
      <w:r>
        <w:rPr>
          <w:highlight w:val="none"/>
        </w:rPr>
        <w:t>影像报告调阅</w:t>
      </w:r>
      <w:r>
        <w:rPr>
          <w:rFonts w:hint="eastAsia"/>
          <w:highlight w:val="none"/>
        </w:rPr>
        <w:t>。</w:t>
      </w:r>
    </w:p>
    <w:p w14:paraId="2AA3F081">
      <w:pPr>
        <w:pStyle w:val="5"/>
        <w:bidi w:val="0"/>
        <w:rPr>
          <w:highlight w:val="none"/>
        </w:rPr>
      </w:pPr>
      <w:r>
        <w:rPr>
          <w:rFonts w:hint="eastAsia"/>
          <w:highlight w:val="none"/>
        </w:rPr>
        <w:t>体检系统对接</w:t>
      </w:r>
    </w:p>
    <w:p w14:paraId="285105DE">
      <w:pPr>
        <w:bidi w:val="0"/>
        <w:rPr>
          <w:highlight w:val="none"/>
        </w:rPr>
      </w:pPr>
      <w:r>
        <w:rPr>
          <w:rFonts w:hint="eastAsia"/>
          <w:highlight w:val="none"/>
        </w:rPr>
        <w:t>实现医共体病理中心与体检系统之间的数据交换与互操作的过程。</w:t>
      </w:r>
      <w:r>
        <w:rPr>
          <w:highlight w:val="none"/>
        </w:rPr>
        <w:t>通过体检号从体检系统获取患者信息、送检信息</w:t>
      </w:r>
      <w:r>
        <w:rPr>
          <w:rFonts w:hint="eastAsia"/>
          <w:highlight w:val="none"/>
        </w:rPr>
        <w:t>。</w:t>
      </w:r>
    </w:p>
    <w:p w14:paraId="017D1E04">
      <w:pPr>
        <w:pStyle w:val="5"/>
        <w:bidi w:val="0"/>
        <w:rPr>
          <w:highlight w:val="none"/>
        </w:rPr>
      </w:pPr>
      <w:r>
        <w:rPr>
          <w:rFonts w:hint="eastAsia"/>
          <w:highlight w:val="none"/>
        </w:rPr>
        <w:t>EMR系统对接</w:t>
      </w:r>
    </w:p>
    <w:p w14:paraId="3B2069D2">
      <w:pPr>
        <w:bidi w:val="0"/>
        <w:rPr>
          <w:highlight w:val="none"/>
        </w:rPr>
      </w:pPr>
      <w:r>
        <w:rPr>
          <w:rFonts w:hint="eastAsia"/>
          <w:highlight w:val="none"/>
        </w:rPr>
        <w:t>实现医共体病理中心与EMR系统之间的数据交换与互操作的过程。</w:t>
      </w:r>
      <w:r>
        <w:rPr>
          <w:highlight w:val="none"/>
        </w:rPr>
        <w:t>提供电子病历调阅对接；可在电子病历/360视图进行二选一对接</w:t>
      </w:r>
      <w:r>
        <w:rPr>
          <w:rFonts w:hint="eastAsia"/>
          <w:highlight w:val="none"/>
        </w:rPr>
        <w:t>。</w:t>
      </w:r>
    </w:p>
    <w:p w14:paraId="4537622E">
      <w:pPr>
        <w:pStyle w:val="5"/>
        <w:bidi w:val="0"/>
        <w:rPr>
          <w:highlight w:val="none"/>
        </w:rPr>
      </w:pPr>
      <w:r>
        <w:rPr>
          <w:rFonts w:hint="eastAsia"/>
          <w:highlight w:val="none"/>
        </w:rPr>
        <w:t>手术麻醉系统对接</w:t>
      </w:r>
    </w:p>
    <w:p w14:paraId="67ADC06A">
      <w:pPr>
        <w:bidi w:val="0"/>
        <w:rPr>
          <w:highlight w:val="none"/>
        </w:rPr>
      </w:pPr>
      <w:r>
        <w:rPr>
          <w:rFonts w:hint="eastAsia"/>
          <w:highlight w:val="none"/>
        </w:rPr>
        <w:t>实现医共体病理中心与手术麻醉系统之间的数据交换与互操作的过程。满足冰冻病理报告推送等功能。</w:t>
      </w:r>
    </w:p>
    <w:p w14:paraId="6C2E80CB">
      <w:pPr>
        <w:pStyle w:val="5"/>
        <w:bidi w:val="0"/>
        <w:rPr>
          <w:highlight w:val="none"/>
        </w:rPr>
      </w:pPr>
      <w:r>
        <w:rPr>
          <w:rFonts w:hint="eastAsia"/>
          <w:highlight w:val="none"/>
        </w:rPr>
        <w:t>设备类接口</w:t>
      </w:r>
    </w:p>
    <w:p w14:paraId="2AE46BDC">
      <w:pPr>
        <w:bidi w:val="0"/>
        <w:rPr>
          <w:highlight w:val="none"/>
        </w:rPr>
      </w:pPr>
      <w:r>
        <w:rPr>
          <w:rFonts w:hint="eastAsia"/>
          <w:highlight w:val="none"/>
        </w:rPr>
        <w:t>支持包埋盒打号机、玻片打号机、大体拍摄仪、高拍仪、显微镜摄像头、全自动免疫组化仪设备接入系统。</w:t>
      </w:r>
    </w:p>
    <w:p w14:paraId="6041CA37">
      <w:pPr>
        <w:pStyle w:val="5"/>
        <w:bidi w:val="0"/>
        <w:rPr>
          <w:highlight w:val="none"/>
        </w:rPr>
      </w:pPr>
      <w:r>
        <w:rPr>
          <w:rFonts w:hint="eastAsia"/>
          <w:highlight w:val="none"/>
        </w:rPr>
        <w:t>病理系统历史数据接入</w:t>
      </w:r>
    </w:p>
    <w:p w14:paraId="08DF0246">
      <w:pPr>
        <w:bidi w:val="0"/>
        <w:rPr>
          <w:highlight w:val="none"/>
        </w:rPr>
      </w:pPr>
      <w:r>
        <w:rPr>
          <w:rFonts w:hint="eastAsia"/>
          <w:highlight w:val="none"/>
        </w:rPr>
        <w:t>实现原病理系统中的历史病例信息及其报告文件接入到现有系统，支持病例关联历次检查，支持历史报告查询。</w:t>
      </w:r>
    </w:p>
    <w:p w14:paraId="450F62C8">
      <w:pPr>
        <w:pStyle w:val="5"/>
        <w:bidi w:val="0"/>
        <w:rPr>
          <w:highlight w:val="none"/>
        </w:rPr>
      </w:pPr>
      <w:r>
        <w:rPr>
          <w:rFonts w:hint="eastAsia"/>
          <w:highlight w:val="none"/>
        </w:rPr>
        <w:t>自助终端打印机对接</w:t>
      </w:r>
    </w:p>
    <w:p w14:paraId="114AB1B7">
      <w:pPr>
        <w:bidi w:val="0"/>
        <w:rPr>
          <w:highlight w:val="none"/>
        </w:rPr>
      </w:pPr>
      <w:r>
        <w:rPr>
          <w:highlight w:val="none"/>
        </w:rPr>
        <w:t>支持自助报告打印机通过患者唯一编号调阅病理报告</w:t>
      </w:r>
      <w:r>
        <w:rPr>
          <w:rFonts w:hint="eastAsia"/>
          <w:highlight w:val="none"/>
        </w:rPr>
        <w:t>。</w:t>
      </w:r>
    </w:p>
    <w:p w14:paraId="461F9F02">
      <w:pPr>
        <w:pStyle w:val="5"/>
        <w:bidi w:val="0"/>
        <w:rPr>
          <w:highlight w:val="none"/>
        </w:rPr>
      </w:pPr>
      <w:r>
        <w:rPr>
          <w:rFonts w:hint="eastAsia"/>
          <w:highlight w:val="none"/>
        </w:rPr>
        <w:t>微信公众号对接</w:t>
      </w:r>
    </w:p>
    <w:p w14:paraId="61316932">
      <w:pPr>
        <w:bidi w:val="0"/>
        <w:rPr>
          <w:rFonts w:hint="eastAsia"/>
          <w:highlight w:val="none"/>
        </w:rPr>
      </w:pPr>
      <w:r>
        <w:rPr>
          <w:highlight w:val="none"/>
        </w:rPr>
        <w:t>支持微信公众号通过患者唯一编号调阅病理报告</w:t>
      </w:r>
      <w:r>
        <w:rPr>
          <w:rFonts w:hint="eastAsia"/>
          <w:highlight w:val="none"/>
        </w:rPr>
        <w:t>。</w:t>
      </w:r>
    </w:p>
    <w:p w14:paraId="1AB37775">
      <w:pPr>
        <w:pStyle w:val="5"/>
        <w:bidi w:val="0"/>
        <w:rPr>
          <w:rFonts w:hint="eastAsia"/>
        </w:rPr>
      </w:pPr>
      <w:r>
        <w:rPr>
          <w:rFonts w:hint="eastAsia"/>
          <w:lang w:val="en-US" w:eastAsia="zh-CN"/>
        </w:rPr>
        <w:t>CA对接</w:t>
      </w:r>
    </w:p>
    <w:p w14:paraId="020247A1">
      <w:pPr>
        <w:bidi w:val="0"/>
        <w:rPr>
          <w:rFonts w:hint="eastAsia"/>
          <w:highlight w:val="none"/>
        </w:rPr>
      </w:pPr>
      <w:r>
        <w:rPr>
          <w:highlight w:val="none"/>
        </w:rPr>
        <w:t>支持</w:t>
      </w:r>
      <w:r>
        <w:rPr>
          <w:rFonts w:hint="eastAsia"/>
          <w:highlight w:val="none"/>
          <w:lang w:val="en-US" w:eastAsia="zh-CN"/>
        </w:rPr>
        <w:t>对接CA认证系统对接</w:t>
      </w:r>
      <w:r>
        <w:rPr>
          <w:rFonts w:hint="eastAsia"/>
          <w:highlight w:val="none"/>
        </w:rPr>
        <w:t>。</w:t>
      </w:r>
    </w:p>
    <w:bookmarkEnd w:id="10"/>
    <w:p w14:paraId="177A6ABF">
      <w:pPr>
        <w:ind w:left="0" w:leftChars="0" w:firstLine="0" w:firstLineChars="0"/>
        <w:rPr>
          <w:rFonts w:hint="eastAsia" w:ascii="仿宋_GB2312" w:hAnsi="仿宋_GB2312" w:eastAsia="仿宋_GB2312" w:cs="仿宋_GB2312"/>
          <w:highlight w:val="none"/>
        </w:rPr>
      </w:pPr>
      <w:bookmarkStart w:id="12" w:name="_GoBack"/>
      <w:bookmarkEnd w:id="12"/>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CE40A6-02E4-4798-AE5B-DA2AAFE835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712C1112-8F3F-4208-B471-9D8B2698609D}"/>
  </w:font>
  <w:font w:name="Calibri Light">
    <w:panose1 w:val="020F03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理德细圆简">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3" w:fontKey="{39E22E01-2BDE-4BA4-9245-AE78D3FA27D8}"/>
  </w:font>
  <w:font w:name="方正小标宋简体">
    <w:panose1 w:val="02000000000000000000"/>
    <w:charset w:val="86"/>
    <w:family w:val="auto"/>
    <w:pitch w:val="default"/>
    <w:sig w:usb0="00000001" w:usb1="08000000" w:usb2="00000000" w:usb3="00000000" w:csb0="00040000" w:csb1="00000000"/>
    <w:embedRegular r:id="rId4" w:fontKey="{F5C56C88-CF38-416B-9104-8E6D2FD801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8FFBB">
    <w:pPr>
      <w:pStyle w:val="23"/>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565E1E">
                          <w:pPr>
                            <w:pStyle w:val="23"/>
                            <w:ind w:firstLine="360"/>
                            <w:jc w:val="center"/>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PAGE   \* MERGEFORMAT</w:instrText>
                          </w:r>
                          <w:r>
                            <w:rPr>
                              <w:rFonts w:hint="eastAsia" w:ascii="宋体" w:hAnsi="宋体" w:eastAsia="宋体" w:cs="宋体"/>
                            </w:rPr>
                            <w:fldChar w:fldCharType="separate"/>
                          </w:r>
                          <w:r>
                            <w:rPr>
                              <w:rFonts w:ascii="宋体" w:hAnsi="宋体" w:eastAsia="宋体" w:cs="宋体"/>
                              <w:lang w:val="zh-CN"/>
                            </w:rPr>
                            <w:t>507</w:t>
                          </w:r>
                          <w:r>
                            <w:rPr>
                              <w:rFonts w:hint="eastAsia" w:ascii="宋体" w:hAnsi="宋体" w:eastAsia="宋体" w:cs="宋体"/>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hxXCMIBAACP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JyDQjvDgkLl34y6gg1FcM5FUbTTuVF+PNesp7+o8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FIcVwjCAQAAjwMAAA4AAAAAAAAAAQAgAAAAHgEAAGRycy9lMm9Eb2MueG1sUEsF&#10;BgAAAAAGAAYAWQEAAFIFAAAAAA==&#10;">
              <v:fill on="f" focussize="0,0"/>
              <v:stroke on="f"/>
              <v:imagedata o:title=""/>
              <o:lock v:ext="edit" aspectratio="f"/>
              <v:textbox inset="0mm,0mm,0mm,0mm" style="mso-fit-shape-to-text:t;">
                <w:txbxContent>
                  <w:p w14:paraId="4E565E1E">
                    <w:pPr>
                      <w:pStyle w:val="23"/>
                      <w:ind w:firstLine="360"/>
                      <w:jc w:val="center"/>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PAGE   \* MERGEFORMAT</w:instrText>
                    </w:r>
                    <w:r>
                      <w:rPr>
                        <w:rFonts w:hint="eastAsia" w:ascii="宋体" w:hAnsi="宋体" w:eastAsia="宋体" w:cs="宋体"/>
                      </w:rPr>
                      <w:fldChar w:fldCharType="separate"/>
                    </w:r>
                    <w:r>
                      <w:rPr>
                        <w:rFonts w:ascii="宋体" w:hAnsi="宋体" w:eastAsia="宋体" w:cs="宋体"/>
                        <w:lang w:val="zh-CN"/>
                      </w:rPr>
                      <w:t>507</w:t>
                    </w:r>
                    <w:r>
                      <w:rPr>
                        <w:rFonts w:hint="eastAsia" w:ascii="宋体" w:hAnsi="宋体" w:eastAsia="宋体" w:cs="宋体"/>
                      </w:rPr>
                      <w:fldChar w:fldCharType="end"/>
                    </w:r>
                  </w:p>
                </w:txbxContent>
              </v:textbox>
            </v:shape>
          </w:pict>
        </mc:Fallback>
      </mc:AlternateContent>
    </w:r>
  </w:p>
  <w:p w14:paraId="52BB62AE">
    <w:pPr>
      <w:pStyle w:val="19"/>
      <w:ind w:left="0" w:left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AA08A">
    <w:pPr>
      <w:pStyle w:val="2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8D69AA"/>
    <w:multiLevelType w:val="singleLevel"/>
    <w:tmpl w:val="838D69AA"/>
    <w:lvl w:ilvl="0" w:tentative="0">
      <w:start w:val="1"/>
      <w:numFmt w:val="chineseCounting"/>
      <w:suff w:val="nothing"/>
      <w:lvlText w:val="%1、"/>
      <w:lvlJc w:val="left"/>
      <w:pPr>
        <w:ind w:left="0" w:firstLine="420"/>
      </w:pPr>
      <w:rPr>
        <w:rFonts w:hint="eastAsia"/>
      </w:rPr>
    </w:lvl>
  </w:abstractNum>
  <w:abstractNum w:abstractNumId="1">
    <w:nsid w:val="ACDA9445"/>
    <w:multiLevelType w:val="singleLevel"/>
    <w:tmpl w:val="ACDA9445"/>
    <w:lvl w:ilvl="0" w:tentative="0">
      <w:start w:val="1"/>
      <w:numFmt w:val="chineseCounting"/>
      <w:suff w:val="nothing"/>
      <w:lvlText w:val="%1、"/>
      <w:lvlJc w:val="left"/>
      <w:pPr>
        <w:ind w:left="0" w:firstLine="420"/>
      </w:pPr>
      <w:rPr>
        <w:rFonts w:hint="eastAsia"/>
      </w:rPr>
    </w:lvl>
  </w:abstractNum>
  <w:abstractNum w:abstractNumId="2">
    <w:nsid w:val="BDA17B7E"/>
    <w:multiLevelType w:val="singleLevel"/>
    <w:tmpl w:val="BDA17B7E"/>
    <w:lvl w:ilvl="0" w:tentative="0">
      <w:start w:val="1"/>
      <w:numFmt w:val="bullet"/>
      <w:pStyle w:val="14"/>
      <w:lvlText w:val=""/>
      <w:lvlJc w:val="left"/>
      <w:pPr>
        <w:tabs>
          <w:tab w:val="left" w:pos="360"/>
        </w:tabs>
        <w:ind w:left="360" w:hanging="360"/>
      </w:pPr>
      <w:rPr>
        <w:rFonts w:hint="default" w:ascii="Wingdings" w:hAnsi="Wingdings"/>
      </w:rPr>
    </w:lvl>
  </w:abstractNum>
  <w:abstractNum w:abstractNumId="3">
    <w:nsid w:val="BF22B46B"/>
    <w:multiLevelType w:val="singleLevel"/>
    <w:tmpl w:val="BF22B46B"/>
    <w:lvl w:ilvl="0" w:tentative="0">
      <w:start w:val="1"/>
      <w:numFmt w:val="chineseCounting"/>
      <w:suff w:val="nothing"/>
      <w:lvlText w:val="%1、"/>
      <w:lvlJc w:val="left"/>
      <w:pPr>
        <w:ind w:left="0" w:firstLine="420"/>
      </w:pPr>
      <w:rPr>
        <w:rFonts w:hint="eastAsia"/>
      </w:rPr>
    </w:lvl>
  </w:abstractNum>
  <w:abstractNum w:abstractNumId="4">
    <w:nsid w:val="D87670ED"/>
    <w:multiLevelType w:val="singleLevel"/>
    <w:tmpl w:val="D87670ED"/>
    <w:lvl w:ilvl="0" w:tentative="0">
      <w:start w:val="1"/>
      <w:numFmt w:val="bullet"/>
      <w:lvlText w:val=""/>
      <w:lvlJc w:val="left"/>
      <w:pPr>
        <w:ind w:left="420" w:hanging="420"/>
      </w:pPr>
      <w:rPr>
        <w:rFonts w:hint="default" w:ascii="Wingdings" w:hAnsi="Wingdings"/>
      </w:rPr>
    </w:lvl>
  </w:abstractNum>
  <w:abstractNum w:abstractNumId="5">
    <w:nsid w:val="DA8DA8A3"/>
    <w:multiLevelType w:val="singleLevel"/>
    <w:tmpl w:val="DA8DA8A3"/>
    <w:lvl w:ilvl="0" w:tentative="0">
      <w:start w:val="1"/>
      <w:numFmt w:val="chineseCounting"/>
      <w:suff w:val="nothing"/>
      <w:lvlText w:val="%1、"/>
      <w:lvlJc w:val="left"/>
      <w:pPr>
        <w:ind w:left="0" w:firstLine="420"/>
      </w:pPr>
      <w:rPr>
        <w:rFonts w:hint="eastAsia"/>
      </w:rPr>
    </w:lvl>
  </w:abstractNum>
  <w:abstractNum w:abstractNumId="6">
    <w:nsid w:val="13D8CFEB"/>
    <w:multiLevelType w:val="multilevel"/>
    <w:tmpl w:val="13D8CFEB"/>
    <w:lvl w:ilvl="0" w:tentative="0">
      <w:start w:val="1"/>
      <w:numFmt w:val="decimal"/>
      <w:pStyle w:val="2"/>
      <w:lvlText w:val="第%1章 "/>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7">
    <w:nsid w:val="47A43071"/>
    <w:multiLevelType w:val="multilevel"/>
    <w:tmpl w:val="47A43071"/>
    <w:lvl w:ilvl="0" w:tentative="0">
      <w:start w:val="1"/>
      <w:numFmt w:val="bullet"/>
      <w:lvlText w:val=""/>
      <w:lvlJc w:val="left"/>
      <w:pPr>
        <w:ind w:left="922" w:hanging="440"/>
      </w:pPr>
      <w:rPr>
        <w:rFonts w:hint="default" w:ascii="Wingdings" w:hAnsi="Wingdings"/>
        <w:sz w:val="24"/>
        <w:szCs w:val="24"/>
      </w:rPr>
    </w:lvl>
    <w:lvl w:ilvl="1" w:tentative="0">
      <w:start w:val="1"/>
      <w:numFmt w:val="bullet"/>
      <w:lvlText w:val=""/>
      <w:lvlJc w:val="left"/>
      <w:pPr>
        <w:ind w:left="1362" w:hanging="440"/>
      </w:pPr>
      <w:rPr>
        <w:rFonts w:hint="default" w:ascii="Wingdings" w:hAnsi="Wingdings"/>
      </w:rPr>
    </w:lvl>
    <w:lvl w:ilvl="2" w:tentative="0">
      <w:start w:val="1"/>
      <w:numFmt w:val="bullet"/>
      <w:lvlText w:val=""/>
      <w:lvlJc w:val="left"/>
      <w:pPr>
        <w:ind w:left="1802" w:hanging="440"/>
      </w:pPr>
      <w:rPr>
        <w:rFonts w:hint="default" w:ascii="Wingdings" w:hAnsi="Wingdings"/>
      </w:rPr>
    </w:lvl>
    <w:lvl w:ilvl="3" w:tentative="0">
      <w:start w:val="1"/>
      <w:numFmt w:val="bullet"/>
      <w:lvlText w:val=""/>
      <w:lvlJc w:val="left"/>
      <w:pPr>
        <w:ind w:left="2242" w:hanging="440"/>
      </w:pPr>
      <w:rPr>
        <w:rFonts w:hint="default" w:ascii="Wingdings" w:hAnsi="Wingdings"/>
      </w:rPr>
    </w:lvl>
    <w:lvl w:ilvl="4" w:tentative="0">
      <w:start w:val="1"/>
      <w:numFmt w:val="bullet"/>
      <w:lvlText w:val=""/>
      <w:lvlJc w:val="left"/>
      <w:pPr>
        <w:ind w:left="2682" w:hanging="440"/>
      </w:pPr>
      <w:rPr>
        <w:rFonts w:hint="default" w:ascii="Wingdings" w:hAnsi="Wingdings"/>
      </w:rPr>
    </w:lvl>
    <w:lvl w:ilvl="5" w:tentative="0">
      <w:start w:val="1"/>
      <w:numFmt w:val="bullet"/>
      <w:lvlText w:val=""/>
      <w:lvlJc w:val="left"/>
      <w:pPr>
        <w:ind w:left="3122" w:hanging="440"/>
      </w:pPr>
      <w:rPr>
        <w:rFonts w:hint="default" w:ascii="Wingdings" w:hAnsi="Wingdings"/>
      </w:rPr>
    </w:lvl>
    <w:lvl w:ilvl="6" w:tentative="0">
      <w:start w:val="1"/>
      <w:numFmt w:val="bullet"/>
      <w:lvlText w:val=""/>
      <w:lvlJc w:val="left"/>
      <w:pPr>
        <w:ind w:left="3562" w:hanging="440"/>
      </w:pPr>
      <w:rPr>
        <w:rFonts w:hint="default" w:ascii="Wingdings" w:hAnsi="Wingdings"/>
      </w:rPr>
    </w:lvl>
    <w:lvl w:ilvl="7" w:tentative="0">
      <w:start w:val="1"/>
      <w:numFmt w:val="bullet"/>
      <w:lvlText w:val=""/>
      <w:lvlJc w:val="left"/>
      <w:pPr>
        <w:ind w:left="4002" w:hanging="440"/>
      </w:pPr>
      <w:rPr>
        <w:rFonts w:hint="default" w:ascii="Wingdings" w:hAnsi="Wingdings"/>
      </w:rPr>
    </w:lvl>
    <w:lvl w:ilvl="8" w:tentative="0">
      <w:start w:val="1"/>
      <w:numFmt w:val="bullet"/>
      <w:lvlText w:val=""/>
      <w:lvlJc w:val="left"/>
      <w:pPr>
        <w:ind w:left="4442" w:hanging="440"/>
      </w:pPr>
      <w:rPr>
        <w:rFonts w:hint="default" w:ascii="Wingdings" w:hAnsi="Wingdings"/>
      </w:rPr>
    </w:lvl>
  </w:abstractNum>
  <w:abstractNum w:abstractNumId="8">
    <w:nsid w:val="790F5C87"/>
    <w:multiLevelType w:val="singleLevel"/>
    <w:tmpl w:val="790F5C87"/>
    <w:lvl w:ilvl="0" w:tentative="0">
      <w:start w:val="1"/>
      <w:numFmt w:val="chineseCounting"/>
      <w:suff w:val="nothing"/>
      <w:lvlText w:val="%1、"/>
      <w:lvlJc w:val="left"/>
      <w:pPr>
        <w:ind w:left="0" w:firstLine="420"/>
      </w:pPr>
      <w:rPr>
        <w:rFonts w:hint="eastAsia"/>
      </w:rPr>
    </w:lvl>
  </w:abstractNum>
  <w:num w:numId="1">
    <w:abstractNumId w:val="6"/>
  </w:num>
  <w:num w:numId="2">
    <w:abstractNumId w:val="2"/>
  </w:num>
  <w:num w:numId="3">
    <w:abstractNumId w:val="5"/>
  </w:num>
  <w:num w:numId="4">
    <w:abstractNumId w:val="8"/>
  </w:num>
  <w:num w:numId="5">
    <w:abstractNumId w:val="4"/>
  </w:num>
  <w:num w:numId="6">
    <w:abstractNumId w:val="0"/>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TrueTypeFonts/>
  <w:saveSubset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3ODYyNWE3MzQyMjBhYjc3OWY2YzM2MzQyZTZmNDMifQ=="/>
  </w:docVars>
  <w:rsids>
    <w:rsidRoot w:val="00172A27"/>
    <w:rsid w:val="0001012A"/>
    <w:rsid w:val="00041EB4"/>
    <w:rsid w:val="000A7521"/>
    <w:rsid w:val="000C6DCC"/>
    <w:rsid w:val="0012390B"/>
    <w:rsid w:val="001464CA"/>
    <w:rsid w:val="001666BC"/>
    <w:rsid w:val="00172A27"/>
    <w:rsid w:val="001D35F5"/>
    <w:rsid w:val="00227538"/>
    <w:rsid w:val="00244A93"/>
    <w:rsid w:val="00265DFF"/>
    <w:rsid w:val="002D6B87"/>
    <w:rsid w:val="003116D0"/>
    <w:rsid w:val="00316F1B"/>
    <w:rsid w:val="00335B31"/>
    <w:rsid w:val="00343E89"/>
    <w:rsid w:val="003B6858"/>
    <w:rsid w:val="003E26B2"/>
    <w:rsid w:val="00417E6F"/>
    <w:rsid w:val="004214DB"/>
    <w:rsid w:val="00430875"/>
    <w:rsid w:val="004363E3"/>
    <w:rsid w:val="0043667F"/>
    <w:rsid w:val="00437795"/>
    <w:rsid w:val="00492886"/>
    <w:rsid w:val="0049635F"/>
    <w:rsid w:val="004F2194"/>
    <w:rsid w:val="004F668C"/>
    <w:rsid w:val="005620E1"/>
    <w:rsid w:val="005705D4"/>
    <w:rsid w:val="005C3EE4"/>
    <w:rsid w:val="005E25A3"/>
    <w:rsid w:val="005F794E"/>
    <w:rsid w:val="00612FB0"/>
    <w:rsid w:val="00650998"/>
    <w:rsid w:val="00664CA9"/>
    <w:rsid w:val="006B1518"/>
    <w:rsid w:val="006B1E3C"/>
    <w:rsid w:val="00726A0F"/>
    <w:rsid w:val="00751F5C"/>
    <w:rsid w:val="00766716"/>
    <w:rsid w:val="00777B6E"/>
    <w:rsid w:val="00801737"/>
    <w:rsid w:val="008313CF"/>
    <w:rsid w:val="008A3CC1"/>
    <w:rsid w:val="008E3D8E"/>
    <w:rsid w:val="00984137"/>
    <w:rsid w:val="009917BF"/>
    <w:rsid w:val="009A1593"/>
    <w:rsid w:val="009B4FE7"/>
    <w:rsid w:val="009D6A31"/>
    <w:rsid w:val="00A2399A"/>
    <w:rsid w:val="00A56020"/>
    <w:rsid w:val="00A900EB"/>
    <w:rsid w:val="00A92CEB"/>
    <w:rsid w:val="00B31F74"/>
    <w:rsid w:val="00B5532D"/>
    <w:rsid w:val="00B9455C"/>
    <w:rsid w:val="00BC5724"/>
    <w:rsid w:val="00BF5C2B"/>
    <w:rsid w:val="00BF7E40"/>
    <w:rsid w:val="00CA6137"/>
    <w:rsid w:val="00CE52FE"/>
    <w:rsid w:val="00CF5342"/>
    <w:rsid w:val="00D91917"/>
    <w:rsid w:val="00D9260B"/>
    <w:rsid w:val="00DA6FE4"/>
    <w:rsid w:val="00DC17B1"/>
    <w:rsid w:val="00E70AAB"/>
    <w:rsid w:val="00E73112"/>
    <w:rsid w:val="00E741FC"/>
    <w:rsid w:val="00EA2EFD"/>
    <w:rsid w:val="00ED10AB"/>
    <w:rsid w:val="00EF7D0D"/>
    <w:rsid w:val="00F25998"/>
    <w:rsid w:val="00F33FE2"/>
    <w:rsid w:val="00F43063"/>
    <w:rsid w:val="00F80CA4"/>
    <w:rsid w:val="00F863AA"/>
    <w:rsid w:val="00FA3B18"/>
    <w:rsid w:val="00FB1283"/>
    <w:rsid w:val="00FE72F3"/>
    <w:rsid w:val="00FF138E"/>
    <w:rsid w:val="01E501B7"/>
    <w:rsid w:val="026C3884"/>
    <w:rsid w:val="027308F5"/>
    <w:rsid w:val="02AB18A5"/>
    <w:rsid w:val="02DF3C3B"/>
    <w:rsid w:val="02E14424"/>
    <w:rsid w:val="03426418"/>
    <w:rsid w:val="03A31381"/>
    <w:rsid w:val="04366105"/>
    <w:rsid w:val="04BE70BD"/>
    <w:rsid w:val="04EA2662"/>
    <w:rsid w:val="09306D58"/>
    <w:rsid w:val="09B74D83"/>
    <w:rsid w:val="0B5F3B07"/>
    <w:rsid w:val="0B7C76CD"/>
    <w:rsid w:val="0B8373EF"/>
    <w:rsid w:val="0BF04796"/>
    <w:rsid w:val="0C9E2F31"/>
    <w:rsid w:val="0E3103FF"/>
    <w:rsid w:val="0F594B35"/>
    <w:rsid w:val="0F7B738A"/>
    <w:rsid w:val="0FA00892"/>
    <w:rsid w:val="0FAB6498"/>
    <w:rsid w:val="107129E6"/>
    <w:rsid w:val="10A70D9E"/>
    <w:rsid w:val="1111542C"/>
    <w:rsid w:val="112127EF"/>
    <w:rsid w:val="122351A2"/>
    <w:rsid w:val="130F48F0"/>
    <w:rsid w:val="15826D42"/>
    <w:rsid w:val="15D53161"/>
    <w:rsid w:val="16666C4E"/>
    <w:rsid w:val="167A66B7"/>
    <w:rsid w:val="17E36B8A"/>
    <w:rsid w:val="182F36D5"/>
    <w:rsid w:val="187B09EA"/>
    <w:rsid w:val="18F13BF7"/>
    <w:rsid w:val="190C0342"/>
    <w:rsid w:val="19961EA2"/>
    <w:rsid w:val="1A686111"/>
    <w:rsid w:val="1A6C3E32"/>
    <w:rsid w:val="1B182DD2"/>
    <w:rsid w:val="1C4526C3"/>
    <w:rsid w:val="1D111246"/>
    <w:rsid w:val="1D886D0B"/>
    <w:rsid w:val="1DB725CE"/>
    <w:rsid w:val="1E5A1839"/>
    <w:rsid w:val="1F4850E5"/>
    <w:rsid w:val="1F5B4C30"/>
    <w:rsid w:val="1F5F7CD8"/>
    <w:rsid w:val="1F716F0C"/>
    <w:rsid w:val="208D5634"/>
    <w:rsid w:val="2366364A"/>
    <w:rsid w:val="23CD4A35"/>
    <w:rsid w:val="2430502D"/>
    <w:rsid w:val="247F3577"/>
    <w:rsid w:val="24960973"/>
    <w:rsid w:val="24B1142E"/>
    <w:rsid w:val="24BA339E"/>
    <w:rsid w:val="25C55CBF"/>
    <w:rsid w:val="25F27EA2"/>
    <w:rsid w:val="260F5480"/>
    <w:rsid w:val="26FA2FB7"/>
    <w:rsid w:val="274E7665"/>
    <w:rsid w:val="282B4E63"/>
    <w:rsid w:val="290F02E0"/>
    <w:rsid w:val="2962743F"/>
    <w:rsid w:val="2AF74A05"/>
    <w:rsid w:val="2CBC42DB"/>
    <w:rsid w:val="2CEF240A"/>
    <w:rsid w:val="2D1B721A"/>
    <w:rsid w:val="2EF63E8B"/>
    <w:rsid w:val="2F490AE4"/>
    <w:rsid w:val="2F89790B"/>
    <w:rsid w:val="306D11C1"/>
    <w:rsid w:val="30FB1ECB"/>
    <w:rsid w:val="314F40B7"/>
    <w:rsid w:val="31B87071"/>
    <w:rsid w:val="321F662A"/>
    <w:rsid w:val="322D0930"/>
    <w:rsid w:val="324C0413"/>
    <w:rsid w:val="331D2122"/>
    <w:rsid w:val="34401C96"/>
    <w:rsid w:val="35B5284A"/>
    <w:rsid w:val="3690132A"/>
    <w:rsid w:val="36981402"/>
    <w:rsid w:val="36F52AC4"/>
    <w:rsid w:val="3783349C"/>
    <w:rsid w:val="386E3E21"/>
    <w:rsid w:val="392E4FA5"/>
    <w:rsid w:val="397D2CE3"/>
    <w:rsid w:val="39915795"/>
    <w:rsid w:val="39F36542"/>
    <w:rsid w:val="3A4D1AD3"/>
    <w:rsid w:val="3AEC1A23"/>
    <w:rsid w:val="3B653D90"/>
    <w:rsid w:val="3CC03974"/>
    <w:rsid w:val="3CD37981"/>
    <w:rsid w:val="3DA3234D"/>
    <w:rsid w:val="3E1E3500"/>
    <w:rsid w:val="3E3C523C"/>
    <w:rsid w:val="3E860BED"/>
    <w:rsid w:val="3F1D32FF"/>
    <w:rsid w:val="40C96B6F"/>
    <w:rsid w:val="413E6BC4"/>
    <w:rsid w:val="41877B50"/>
    <w:rsid w:val="41A857EB"/>
    <w:rsid w:val="42A17DA3"/>
    <w:rsid w:val="42AB6E74"/>
    <w:rsid w:val="43051517"/>
    <w:rsid w:val="4305488A"/>
    <w:rsid w:val="43B35FE0"/>
    <w:rsid w:val="4430512B"/>
    <w:rsid w:val="447C2876"/>
    <w:rsid w:val="45034F0F"/>
    <w:rsid w:val="45F13B3D"/>
    <w:rsid w:val="46585F18"/>
    <w:rsid w:val="46B3404D"/>
    <w:rsid w:val="471D674F"/>
    <w:rsid w:val="47D05206"/>
    <w:rsid w:val="49135AEB"/>
    <w:rsid w:val="49865E40"/>
    <w:rsid w:val="4A58343D"/>
    <w:rsid w:val="4A666278"/>
    <w:rsid w:val="4A835196"/>
    <w:rsid w:val="4AEE787E"/>
    <w:rsid w:val="4B296B88"/>
    <w:rsid w:val="4B5D333D"/>
    <w:rsid w:val="4B9D12AC"/>
    <w:rsid w:val="4BF85FAA"/>
    <w:rsid w:val="4C583B3A"/>
    <w:rsid w:val="4D0F7AE0"/>
    <w:rsid w:val="4D180030"/>
    <w:rsid w:val="4D6A1819"/>
    <w:rsid w:val="4E670DAE"/>
    <w:rsid w:val="4F3A7D9E"/>
    <w:rsid w:val="4FF43C08"/>
    <w:rsid w:val="51FE6127"/>
    <w:rsid w:val="53250778"/>
    <w:rsid w:val="547F4C0F"/>
    <w:rsid w:val="54B020C8"/>
    <w:rsid w:val="54E553BB"/>
    <w:rsid w:val="54F8080A"/>
    <w:rsid w:val="557E6DAB"/>
    <w:rsid w:val="56BA6477"/>
    <w:rsid w:val="585E1C89"/>
    <w:rsid w:val="59672842"/>
    <w:rsid w:val="599E2E37"/>
    <w:rsid w:val="59CD4482"/>
    <w:rsid w:val="59F611D6"/>
    <w:rsid w:val="5CB83DAB"/>
    <w:rsid w:val="5CE0220A"/>
    <w:rsid w:val="5E350533"/>
    <w:rsid w:val="5E6C0F73"/>
    <w:rsid w:val="5F9B77FE"/>
    <w:rsid w:val="5FC55956"/>
    <w:rsid w:val="60625BFC"/>
    <w:rsid w:val="60BB59FA"/>
    <w:rsid w:val="61186557"/>
    <w:rsid w:val="623F53C6"/>
    <w:rsid w:val="62783014"/>
    <w:rsid w:val="62DD28DD"/>
    <w:rsid w:val="62F45C6D"/>
    <w:rsid w:val="63DC347C"/>
    <w:rsid w:val="654D3F96"/>
    <w:rsid w:val="661306F4"/>
    <w:rsid w:val="66DE2568"/>
    <w:rsid w:val="67B010BC"/>
    <w:rsid w:val="68283671"/>
    <w:rsid w:val="69BA1984"/>
    <w:rsid w:val="6A6D6639"/>
    <w:rsid w:val="6AC128B3"/>
    <w:rsid w:val="6BE90FFB"/>
    <w:rsid w:val="6BFC7B3D"/>
    <w:rsid w:val="6D4279D2"/>
    <w:rsid w:val="6D7408C2"/>
    <w:rsid w:val="6DF15434"/>
    <w:rsid w:val="6E5071BE"/>
    <w:rsid w:val="6EA66658"/>
    <w:rsid w:val="6ED53C62"/>
    <w:rsid w:val="6F912D7B"/>
    <w:rsid w:val="6FC0545D"/>
    <w:rsid w:val="6FEB39B4"/>
    <w:rsid w:val="702B3F0C"/>
    <w:rsid w:val="70844A1B"/>
    <w:rsid w:val="70950698"/>
    <w:rsid w:val="721940E2"/>
    <w:rsid w:val="72276209"/>
    <w:rsid w:val="72F80B5C"/>
    <w:rsid w:val="731821FC"/>
    <w:rsid w:val="73E6120B"/>
    <w:rsid w:val="74674DBF"/>
    <w:rsid w:val="74A62F57"/>
    <w:rsid w:val="74B17A6A"/>
    <w:rsid w:val="75CF63FA"/>
    <w:rsid w:val="760B62A7"/>
    <w:rsid w:val="762D1373"/>
    <w:rsid w:val="76D214FF"/>
    <w:rsid w:val="76ED2181"/>
    <w:rsid w:val="7979723A"/>
    <w:rsid w:val="799C0B2C"/>
    <w:rsid w:val="79A5328D"/>
    <w:rsid w:val="7C8A12EC"/>
    <w:rsid w:val="7D703ECA"/>
    <w:rsid w:val="7D99446D"/>
    <w:rsid w:val="7DC242E0"/>
    <w:rsid w:val="7E7E6F65"/>
    <w:rsid w:val="7EEF6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643" w:firstLineChars="200"/>
    </w:pPr>
    <w:rPr>
      <w:rFonts w:ascii="仿宋_GB2312" w:hAnsi="仿宋_GB2312" w:eastAsia="仿宋_GB2312" w:cstheme="minorBidi"/>
      <w:kern w:val="2"/>
      <w:sz w:val="24"/>
      <w:szCs w:val="22"/>
      <w:lang w:val="en-US" w:eastAsia="zh-CN" w:bidi="ar-SA"/>
    </w:rPr>
  </w:style>
  <w:style w:type="paragraph" w:styleId="2">
    <w:name w:val="heading 1"/>
    <w:basedOn w:val="1"/>
    <w:next w:val="1"/>
    <w:qFormat/>
    <w:uiPriority w:val="0"/>
    <w:pPr>
      <w:pageBreakBefore/>
      <w:numPr>
        <w:ilvl w:val="0"/>
        <w:numId w:val="1"/>
      </w:numPr>
      <w:tabs>
        <w:tab w:val="left" w:pos="0"/>
      </w:tabs>
      <w:spacing w:after="360" w:line="240" w:lineRule="auto"/>
      <w:ind w:left="432" w:hanging="432" w:firstLineChars="0"/>
      <w:jc w:val="center"/>
      <w:outlineLvl w:val="0"/>
    </w:pPr>
    <w:rPr>
      <w:rFonts w:ascii="黑体" w:hAnsi="黑体" w:eastAsia="黑体"/>
      <w:kern w:val="44"/>
      <w:sz w:val="32"/>
    </w:rPr>
  </w:style>
  <w:style w:type="paragraph" w:styleId="3">
    <w:name w:val="heading 2"/>
    <w:basedOn w:val="1"/>
    <w:next w:val="1"/>
    <w:unhideWhenUsed/>
    <w:qFormat/>
    <w:uiPriority w:val="0"/>
    <w:pPr>
      <w:keepNext/>
      <w:keepLines/>
      <w:pageBreakBefore w:val="0"/>
      <w:numPr>
        <w:ilvl w:val="1"/>
        <w:numId w:val="1"/>
      </w:numPr>
      <w:spacing w:line="360" w:lineRule="auto"/>
      <w:ind w:left="575" w:hanging="575" w:firstLineChars="0"/>
      <w:jc w:val="left"/>
      <w:outlineLvl w:val="1"/>
    </w:pPr>
    <w:rPr>
      <w:rFonts w:ascii="黑体" w:hAnsi="黑体" w:eastAsia="黑体" w:cs="黑体"/>
      <w:sz w:val="28"/>
      <w:szCs w:val="28"/>
    </w:rPr>
  </w:style>
  <w:style w:type="paragraph" w:styleId="4">
    <w:name w:val="heading 3"/>
    <w:basedOn w:val="3"/>
    <w:next w:val="1"/>
    <w:link w:val="39"/>
    <w:unhideWhenUsed/>
    <w:qFormat/>
    <w:uiPriority w:val="0"/>
    <w:pPr>
      <w:keepNext/>
      <w:keepLines/>
      <w:numPr>
        <w:ilvl w:val="2"/>
        <w:numId w:val="1"/>
      </w:numPr>
      <w:tabs>
        <w:tab w:val="left" w:pos="0"/>
      </w:tabs>
      <w:ind w:left="720" w:hanging="720"/>
      <w:outlineLvl w:val="2"/>
    </w:pPr>
    <w:rPr>
      <w:sz w:val="24"/>
    </w:rPr>
  </w:style>
  <w:style w:type="paragraph" w:styleId="5">
    <w:name w:val="heading 4"/>
    <w:basedOn w:val="4"/>
    <w:next w:val="1"/>
    <w:unhideWhenUsed/>
    <w:qFormat/>
    <w:uiPriority w:val="0"/>
    <w:pPr>
      <w:numPr>
        <w:ilvl w:val="3"/>
        <w:numId w:val="1"/>
      </w:numPr>
      <w:ind w:left="864" w:hanging="864"/>
      <w:outlineLvl w:val="3"/>
    </w:pPr>
    <w:rPr>
      <w:rFonts w:ascii="仿宋_GB2312" w:hAnsi="仿宋_GB2312" w:eastAsia="仿宋_GB2312" w:cs="仿宋_GB2312"/>
    </w:rPr>
  </w:style>
  <w:style w:type="paragraph" w:styleId="6">
    <w:name w:val="heading 5"/>
    <w:basedOn w:val="1"/>
    <w:next w:val="1"/>
    <w:link w:val="44"/>
    <w:unhideWhenUsed/>
    <w:qFormat/>
    <w:uiPriority w:val="0"/>
    <w:pPr>
      <w:numPr>
        <w:ilvl w:val="4"/>
        <w:numId w:val="1"/>
      </w:numPr>
      <w:tabs>
        <w:tab w:val="left" w:pos="0"/>
      </w:tabs>
      <w:ind w:left="1008" w:hanging="1008" w:firstLineChars="0"/>
      <w:outlineLvl w:val="4"/>
    </w:pPr>
    <w:rPr>
      <w:rFonts w:ascii="仿宋_GB2312" w:hAnsi="仿宋_GB2312" w:eastAsia="仿宋_GB2312" w:cs="仿宋_GB2312"/>
      <w:szCs w:val="24"/>
    </w:rPr>
  </w:style>
  <w:style w:type="paragraph" w:styleId="7">
    <w:name w:val="heading 6"/>
    <w:basedOn w:val="1"/>
    <w:next w:val="1"/>
    <w:link w:val="40"/>
    <w:unhideWhenUsed/>
    <w:qFormat/>
    <w:uiPriority w:val="0"/>
    <w:pPr>
      <w:keepNext/>
      <w:keepLines/>
      <w:numPr>
        <w:ilvl w:val="5"/>
        <w:numId w:val="1"/>
      </w:numPr>
      <w:tabs>
        <w:tab w:val="left" w:pos="0"/>
      </w:tabs>
      <w:ind w:left="1151" w:hanging="1151" w:firstLineChars="0"/>
      <w:outlineLvl w:val="5"/>
    </w:pPr>
    <w:rPr>
      <w:rFonts w:ascii="Calibri Light" w:hAnsi="Calibri Light" w:eastAsia="宋体" w:cs="宋体"/>
    </w:rPr>
  </w:style>
  <w:style w:type="paragraph" w:styleId="8">
    <w:name w:val="heading 7"/>
    <w:basedOn w:val="1"/>
    <w:next w:val="1"/>
    <w:link w:val="41"/>
    <w:unhideWhenUsed/>
    <w:qFormat/>
    <w:uiPriority w:val="0"/>
    <w:pPr>
      <w:numPr>
        <w:ilvl w:val="6"/>
        <w:numId w:val="1"/>
      </w:numPr>
      <w:tabs>
        <w:tab w:val="left" w:pos="0"/>
      </w:tabs>
      <w:ind w:left="1296" w:hanging="1296" w:firstLineChars="0"/>
      <w:outlineLvl w:val="6"/>
    </w:pPr>
    <w:rPr>
      <w:rFonts w:ascii="Calibri" w:hAnsi="Calibri" w:eastAsia="宋体"/>
      <w:bCs/>
    </w:rPr>
  </w:style>
  <w:style w:type="paragraph" w:styleId="9">
    <w:name w:val="heading 8"/>
    <w:basedOn w:val="1"/>
    <w:next w:val="1"/>
    <w:link w:val="43"/>
    <w:semiHidden/>
    <w:unhideWhenUsed/>
    <w:qFormat/>
    <w:uiPriority w:val="0"/>
    <w:pPr>
      <w:keepNext/>
      <w:keepLines/>
      <w:numPr>
        <w:ilvl w:val="7"/>
        <w:numId w:val="1"/>
      </w:numPr>
      <w:tabs>
        <w:tab w:val="left" w:pos="0"/>
        <w:tab w:val="left" w:pos="420"/>
      </w:tabs>
      <w:spacing w:before="240" w:after="64" w:line="320" w:lineRule="auto"/>
      <w:ind w:left="1440" w:hanging="1440" w:firstLineChars="0"/>
      <w:outlineLvl w:val="7"/>
    </w:pPr>
    <w:rPr>
      <w:rFonts w:ascii="Calibri Light" w:hAnsi="Calibri Light" w:eastAsia="宋体" w:cs="宋体"/>
      <w:szCs w:val="24"/>
    </w:rPr>
  </w:style>
  <w:style w:type="paragraph" w:styleId="10">
    <w:name w:val="heading 9"/>
    <w:basedOn w:val="1"/>
    <w:next w:val="1"/>
    <w:link w:val="42"/>
    <w:semiHidden/>
    <w:unhideWhenUsed/>
    <w:qFormat/>
    <w:uiPriority w:val="0"/>
    <w:pPr>
      <w:keepNext/>
      <w:keepLines/>
      <w:numPr>
        <w:ilvl w:val="8"/>
        <w:numId w:val="1"/>
      </w:numPr>
      <w:tabs>
        <w:tab w:val="left" w:pos="0"/>
        <w:tab w:val="left" w:pos="1584"/>
      </w:tabs>
      <w:spacing w:before="240" w:after="64" w:line="320" w:lineRule="auto"/>
      <w:ind w:left="1583" w:hanging="1583" w:firstLineChars="0"/>
      <w:outlineLvl w:val="8"/>
    </w:pPr>
    <w:rPr>
      <w:rFonts w:ascii="Arial" w:hAnsi="Arial" w:eastAsia="黑体" w:cs="宋体"/>
      <w:szCs w:val="21"/>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spacing w:line="240" w:lineRule="auto"/>
      <w:ind w:left="2520" w:leftChars="1200" w:firstLine="0" w:firstLineChars="0"/>
      <w:jc w:val="both"/>
    </w:pPr>
    <w:rPr>
      <w:rFonts w:asciiTheme="minorHAnsi" w:hAnsiTheme="minorHAnsi" w:eastAsiaTheme="minorEastAsia"/>
      <w:sz w:val="21"/>
    </w:rPr>
  </w:style>
  <w:style w:type="paragraph" w:styleId="12">
    <w:name w:val="Normal Indent"/>
    <w:basedOn w:val="1"/>
    <w:unhideWhenUsed/>
    <w:qFormat/>
    <w:uiPriority w:val="99"/>
    <w:pPr>
      <w:ind w:firstLine="420"/>
    </w:pPr>
  </w:style>
  <w:style w:type="paragraph" w:styleId="13">
    <w:name w:val="caption"/>
    <w:basedOn w:val="1"/>
    <w:next w:val="1"/>
    <w:qFormat/>
    <w:uiPriority w:val="0"/>
    <w:pPr>
      <w:ind w:left="420"/>
    </w:pPr>
    <w:rPr>
      <w:rFonts w:ascii="Cambria" w:hAnsi="Cambria" w:eastAsia="黑体"/>
      <w:sz w:val="20"/>
      <w:szCs w:val="20"/>
      <w:lang w:val="zh-CN"/>
    </w:rPr>
  </w:style>
  <w:style w:type="paragraph" w:styleId="14">
    <w:name w:val="List Bullet"/>
    <w:basedOn w:val="1"/>
    <w:qFormat/>
    <w:uiPriority w:val="0"/>
    <w:pPr>
      <w:numPr>
        <w:ilvl w:val="0"/>
        <w:numId w:val="2"/>
      </w:numPr>
    </w:pPr>
  </w:style>
  <w:style w:type="paragraph" w:styleId="15">
    <w:name w:val="annotation text"/>
    <w:basedOn w:val="1"/>
    <w:link w:val="59"/>
    <w:qFormat/>
    <w:uiPriority w:val="0"/>
  </w:style>
  <w:style w:type="paragraph" w:styleId="16">
    <w:name w:val="Body Text"/>
    <w:basedOn w:val="1"/>
    <w:next w:val="17"/>
    <w:qFormat/>
    <w:uiPriority w:val="0"/>
    <w:pPr>
      <w:spacing w:after="120"/>
    </w:pPr>
  </w:style>
  <w:style w:type="paragraph" w:customStyle="1" w:styleId="17">
    <w:name w:val="Default"/>
    <w:basedOn w:val="1"/>
    <w:next w:val="1"/>
    <w:autoRedefine/>
    <w:qFormat/>
    <w:uiPriority w:val="0"/>
    <w:pPr>
      <w:autoSpaceDE w:val="0"/>
      <w:autoSpaceDN w:val="0"/>
      <w:adjustRightInd w:val="0"/>
      <w:spacing w:line="240" w:lineRule="auto"/>
      <w:ind w:firstLine="0" w:firstLineChars="0"/>
    </w:pPr>
    <w:rPr>
      <w:rFonts w:hAnsi="等线" w:eastAsia="宋体" w:cs="Times New Roman"/>
      <w:color w:val="000000"/>
    </w:rPr>
  </w:style>
  <w:style w:type="paragraph" w:styleId="18">
    <w:name w:val="toc 5"/>
    <w:basedOn w:val="1"/>
    <w:next w:val="1"/>
    <w:autoRedefine/>
    <w:unhideWhenUsed/>
    <w:qFormat/>
    <w:uiPriority w:val="39"/>
    <w:pPr>
      <w:spacing w:line="240" w:lineRule="auto"/>
      <w:ind w:left="1680" w:leftChars="800" w:firstLine="0" w:firstLineChars="0"/>
      <w:jc w:val="both"/>
    </w:pPr>
    <w:rPr>
      <w:rFonts w:asciiTheme="minorHAnsi" w:hAnsiTheme="minorHAnsi" w:eastAsiaTheme="minorEastAsia"/>
      <w:sz w:val="21"/>
    </w:rPr>
  </w:style>
  <w:style w:type="paragraph" w:styleId="19">
    <w:name w:val="toc 3"/>
    <w:basedOn w:val="1"/>
    <w:next w:val="1"/>
    <w:qFormat/>
    <w:uiPriority w:val="39"/>
    <w:pPr>
      <w:spacing w:line="360" w:lineRule="auto"/>
      <w:ind w:left="840" w:leftChars="400" w:firstLine="0" w:firstLineChars="0"/>
    </w:pPr>
    <w:rPr>
      <w:rFonts w:ascii="宋体" w:hAnsi="宋体" w:eastAsia="宋体" w:cs="宋体"/>
      <w:szCs w:val="24"/>
    </w:rPr>
  </w:style>
  <w:style w:type="paragraph" w:styleId="20">
    <w:name w:val="Plain Text"/>
    <w:basedOn w:val="1"/>
    <w:qFormat/>
    <w:uiPriority w:val="0"/>
    <w:pPr>
      <w:spacing w:line="500" w:lineRule="exact"/>
    </w:pPr>
    <w:rPr>
      <w:rFonts w:ascii="宋体" w:hAnsi="Courier New" w:eastAsia="理德细圆简" w:cs="Times New Roman"/>
      <w:kern w:val="0"/>
      <w:sz w:val="20"/>
      <w:szCs w:val="20"/>
    </w:rPr>
  </w:style>
  <w:style w:type="paragraph" w:styleId="21">
    <w:name w:val="toc 8"/>
    <w:basedOn w:val="1"/>
    <w:next w:val="1"/>
    <w:autoRedefine/>
    <w:unhideWhenUsed/>
    <w:qFormat/>
    <w:uiPriority w:val="39"/>
    <w:pPr>
      <w:spacing w:line="240" w:lineRule="auto"/>
      <w:ind w:left="2940" w:leftChars="1400" w:firstLine="0" w:firstLineChars="0"/>
      <w:jc w:val="both"/>
    </w:pPr>
    <w:rPr>
      <w:rFonts w:asciiTheme="minorHAnsi" w:hAnsiTheme="minorHAnsi" w:eastAsiaTheme="minorEastAsia"/>
      <w:sz w:val="21"/>
    </w:rPr>
  </w:style>
  <w:style w:type="paragraph" w:styleId="22">
    <w:name w:val="Balloon Text"/>
    <w:basedOn w:val="1"/>
    <w:link w:val="57"/>
    <w:qFormat/>
    <w:uiPriority w:val="0"/>
    <w:pPr>
      <w:spacing w:line="240" w:lineRule="auto"/>
    </w:pPr>
    <w:rPr>
      <w:sz w:val="18"/>
      <w:szCs w:val="18"/>
    </w:rPr>
  </w:style>
  <w:style w:type="paragraph" w:styleId="23">
    <w:name w:val="footer"/>
    <w:basedOn w:val="1"/>
    <w:qFormat/>
    <w:uiPriority w:val="99"/>
    <w:pPr>
      <w:tabs>
        <w:tab w:val="center" w:pos="4153"/>
        <w:tab w:val="right" w:pos="8306"/>
      </w:tabs>
      <w:snapToGrid w:val="0"/>
    </w:pPr>
    <w:rPr>
      <w:sz w:val="18"/>
      <w:szCs w:val="18"/>
    </w:rPr>
  </w:style>
  <w:style w:type="paragraph" w:styleId="24">
    <w:name w:val="header"/>
    <w:basedOn w:val="1"/>
    <w:qFormat/>
    <w:uiPriority w:val="99"/>
    <w:pPr>
      <w:tabs>
        <w:tab w:val="center" w:pos="4153"/>
        <w:tab w:val="right" w:pos="8306"/>
      </w:tabs>
      <w:snapToGrid w:val="0"/>
      <w:jc w:val="center"/>
    </w:pPr>
    <w:rPr>
      <w:sz w:val="18"/>
      <w:szCs w:val="18"/>
    </w:rPr>
  </w:style>
  <w:style w:type="paragraph" w:styleId="25">
    <w:name w:val="toc 1"/>
    <w:basedOn w:val="1"/>
    <w:next w:val="1"/>
    <w:qFormat/>
    <w:uiPriority w:val="39"/>
    <w:pPr>
      <w:spacing w:line="360" w:lineRule="auto"/>
      <w:ind w:firstLine="0" w:firstLineChars="0"/>
    </w:pPr>
    <w:rPr>
      <w:rFonts w:ascii="宋体" w:hAnsi="宋体" w:eastAsia="宋体" w:cs="宋体"/>
      <w:szCs w:val="24"/>
    </w:rPr>
  </w:style>
  <w:style w:type="paragraph" w:styleId="26">
    <w:name w:val="toc 4"/>
    <w:basedOn w:val="1"/>
    <w:next w:val="1"/>
    <w:autoRedefine/>
    <w:unhideWhenUsed/>
    <w:qFormat/>
    <w:uiPriority w:val="39"/>
    <w:pPr>
      <w:spacing w:line="240" w:lineRule="auto"/>
      <w:ind w:left="1260" w:leftChars="600" w:firstLine="0" w:firstLineChars="0"/>
      <w:jc w:val="both"/>
    </w:pPr>
    <w:rPr>
      <w:rFonts w:asciiTheme="minorHAnsi" w:hAnsiTheme="minorHAnsi" w:eastAsiaTheme="minorEastAsia"/>
      <w:sz w:val="21"/>
    </w:rPr>
  </w:style>
  <w:style w:type="paragraph" w:styleId="27">
    <w:name w:val="toc 6"/>
    <w:basedOn w:val="1"/>
    <w:next w:val="1"/>
    <w:autoRedefine/>
    <w:unhideWhenUsed/>
    <w:qFormat/>
    <w:uiPriority w:val="39"/>
    <w:pPr>
      <w:spacing w:line="240" w:lineRule="auto"/>
      <w:ind w:left="2100" w:leftChars="1000" w:firstLine="0" w:firstLineChars="0"/>
      <w:jc w:val="both"/>
    </w:pPr>
    <w:rPr>
      <w:rFonts w:asciiTheme="minorHAnsi" w:hAnsiTheme="minorHAnsi" w:eastAsiaTheme="minorEastAsia"/>
      <w:sz w:val="21"/>
    </w:rPr>
  </w:style>
  <w:style w:type="paragraph" w:styleId="28">
    <w:name w:val="toc 2"/>
    <w:basedOn w:val="1"/>
    <w:next w:val="1"/>
    <w:qFormat/>
    <w:uiPriority w:val="39"/>
    <w:pPr>
      <w:spacing w:line="360" w:lineRule="auto"/>
      <w:ind w:left="420" w:leftChars="200" w:firstLine="0" w:firstLineChars="0"/>
    </w:pPr>
    <w:rPr>
      <w:rFonts w:ascii="宋体" w:hAnsi="宋体" w:eastAsia="宋体" w:cs="宋体"/>
      <w:szCs w:val="24"/>
    </w:rPr>
  </w:style>
  <w:style w:type="paragraph" w:styleId="29">
    <w:name w:val="toc 9"/>
    <w:basedOn w:val="1"/>
    <w:next w:val="1"/>
    <w:autoRedefine/>
    <w:unhideWhenUsed/>
    <w:qFormat/>
    <w:uiPriority w:val="39"/>
    <w:pPr>
      <w:spacing w:line="240" w:lineRule="auto"/>
      <w:ind w:left="3360" w:leftChars="1600" w:firstLine="0" w:firstLineChars="0"/>
      <w:jc w:val="both"/>
    </w:pPr>
    <w:rPr>
      <w:rFonts w:asciiTheme="minorHAnsi" w:hAnsiTheme="minorHAnsi" w:eastAsiaTheme="minorEastAsia"/>
      <w:sz w:val="21"/>
    </w:rPr>
  </w:style>
  <w:style w:type="paragraph" w:styleId="30">
    <w:name w:val="Normal (Web)"/>
    <w:basedOn w:val="1"/>
    <w:qFormat/>
    <w:uiPriority w:val="99"/>
    <w:pPr>
      <w:widowControl/>
      <w:spacing w:before="100" w:beforeAutospacing="1" w:after="100" w:afterAutospacing="1"/>
    </w:pPr>
    <w:rPr>
      <w:rFonts w:ascii="宋体" w:hAnsi="宋体" w:cs="宋体"/>
      <w:kern w:val="0"/>
    </w:rPr>
  </w:style>
  <w:style w:type="paragraph" w:styleId="31">
    <w:name w:val="annotation subject"/>
    <w:basedOn w:val="15"/>
    <w:next w:val="15"/>
    <w:link w:val="60"/>
    <w:qFormat/>
    <w:uiPriority w:val="0"/>
    <w:rPr>
      <w:b/>
      <w:bCs/>
    </w:rPr>
  </w:style>
  <w:style w:type="paragraph" w:styleId="32">
    <w:name w:val="Body Text First Indent"/>
    <w:basedOn w:val="16"/>
    <w:qFormat/>
    <w:uiPriority w:val="0"/>
    <w:pPr>
      <w:ind w:firstLine="420" w:firstLineChars="100"/>
    </w:pPr>
  </w:style>
  <w:style w:type="table" w:styleId="34">
    <w:name w:val="Table Grid"/>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Hyperlink"/>
    <w:unhideWhenUsed/>
    <w:qFormat/>
    <w:uiPriority w:val="99"/>
    <w:rPr>
      <w:color w:val="0563C1"/>
      <w:u w:val="single"/>
    </w:rPr>
  </w:style>
  <w:style w:type="character" w:styleId="37">
    <w:name w:val="annotation reference"/>
    <w:basedOn w:val="35"/>
    <w:qFormat/>
    <w:uiPriority w:val="0"/>
    <w:rPr>
      <w:sz w:val="21"/>
      <w:szCs w:val="21"/>
    </w:rPr>
  </w:style>
  <w:style w:type="paragraph" w:styleId="38">
    <w:name w:val="List Paragraph"/>
    <w:basedOn w:val="1"/>
    <w:link w:val="58"/>
    <w:qFormat/>
    <w:uiPriority w:val="34"/>
    <w:pPr>
      <w:ind w:firstLine="420"/>
    </w:pPr>
  </w:style>
  <w:style w:type="character" w:customStyle="1" w:styleId="39">
    <w:name w:val="标题 3 字符"/>
    <w:link w:val="4"/>
    <w:qFormat/>
    <w:uiPriority w:val="0"/>
    <w:rPr>
      <w:rFonts w:ascii="黑体" w:hAnsi="黑体" w:eastAsia="黑体" w:cs="黑体"/>
      <w:sz w:val="24"/>
    </w:rPr>
  </w:style>
  <w:style w:type="character" w:customStyle="1" w:styleId="40">
    <w:name w:val="标题 6 字符"/>
    <w:basedOn w:val="35"/>
    <w:link w:val="7"/>
    <w:qFormat/>
    <w:uiPriority w:val="9"/>
    <w:rPr>
      <w:rFonts w:ascii="Calibri Light" w:hAnsi="Calibri Light" w:eastAsia="宋体" w:cs="宋体"/>
      <w:kern w:val="2"/>
      <w:sz w:val="24"/>
      <w:szCs w:val="24"/>
    </w:rPr>
  </w:style>
  <w:style w:type="character" w:customStyle="1" w:styleId="41">
    <w:name w:val="标题 7 字符"/>
    <w:basedOn w:val="35"/>
    <w:link w:val="8"/>
    <w:qFormat/>
    <w:uiPriority w:val="9"/>
    <w:rPr>
      <w:rFonts w:ascii="Calibri" w:hAnsi="Calibri" w:eastAsia="宋体" w:cs="宋体"/>
      <w:bCs/>
      <w:kern w:val="2"/>
      <w:sz w:val="24"/>
      <w:szCs w:val="22"/>
    </w:rPr>
  </w:style>
  <w:style w:type="character" w:customStyle="1" w:styleId="42">
    <w:name w:val="标题 9 字符"/>
    <w:basedOn w:val="35"/>
    <w:link w:val="10"/>
    <w:qFormat/>
    <w:uiPriority w:val="9"/>
    <w:rPr>
      <w:rFonts w:ascii="Arial" w:hAnsi="Arial" w:eastAsia="黑体" w:cs="宋体"/>
      <w:kern w:val="2"/>
      <w:sz w:val="24"/>
      <w:szCs w:val="21"/>
    </w:rPr>
  </w:style>
  <w:style w:type="character" w:customStyle="1" w:styleId="43">
    <w:name w:val="标题 8 字符"/>
    <w:basedOn w:val="35"/>
    <w:link w:val="9"/>
    <w:qFormat/>
    <w:uiPriority w:val="9"/>
    <w:rPr>
      <w:rFonts w:ascii="Calibri Light" w:hAnsi="Calibri Light" w:eastAsia="宋体" w:cs="宋体"/>
      <w:kern w:val="2"/>
      <w:sz w:val="24"/>
      <w:szCs w:val="24"/>
    </w:rPr>
  </w:style>
  <w:style w:type="character" w:customStyle="1" w:styleId="44">
    <w:name w:val="标题 5 字符"/>
    <w:basedOn w:val="35"/>
    <w:link w:val="6"/>
    <w:qFormat/>
    <w:uiPriority w:val="9"/>
    <w:rPr>
      <w:rFonts w:ascii="仿宋_GB2312" w:hAnsi="仿宋_GB2312" w:eastAsia="仿宋_GB2312" w:cs="仿宋_GB2312"/>
      <w:kern w:val="2"/>
      <w:sz w:val="24"/>
      <w:szCs w:val="24"/>
    </w:rPr>
  </w:style>
  <w:style w:type="paragraph" w:customStyle="1" w:styleId="45">
    <w:name w:val="表格"/>
    <w:basedOn w:val="46"/>
    <w:qFormat/>
    <w:uiPriority w:val="0"/>
    <w:pPr>
      <w:spacing w:line="240" w:lineRule="auto"/>
      <w:ind w:firstLine="0" w:firstLineChars="0"/>
      <w:jc w:val="center"/>
    </w:pPr>
    <w:rPr>
      <w:szCs w:val="20"/>
    </w:rPr>
  </w:style>
  <w:style w:type="paragraph" w:customStyle="1" w:styleId="46">
    <w:name w:val="可研正文"/>
    <w:basedOn w:val="1"/>
    <w:qFormat/>
    <w:uiPriority w:val="0"/>
    <w:pPr>
      <w:ind w:firstLine="200"/>
    </w:pPr>
    <w:rPr>
      <w:rFonts w:ascii="Times New Roman" w:hAnsi="Times New Roman" w:eastAsia="宋体"/>
      <w:szCs w:val="21"/>
    </w:rPr>
  </w:style>
  <w:style w:type="paragraph" w:customStyle="1" w:styleId="47">
    <w:name w:val="RZ表格"/>
    <w:qFormat/>
    <w:uiPriority w:val="0"/>
    <w:pPr>
      <w:textAlignment w:val="center"/>
    </w:pPr>
    <w:rPr>
      <w:rFonts w:ascii="Times New Roman" w:hAnsi="Times New Roman" w:eastAsia="宋体" w:cs="宋体"/>
      <w:bCs/>
      <w:sz w:val="22"/>
      <w:szCs w:val="24"/>
      <w:lang w:val="en-US" w:eastAsia="zh-CN" w:bidi="ar-SA"/>
    </w:rPr>
  </w:style>
  <w:style w:type="character" w:customStyle="1" w:styleId="48">
    <w:name w:val="font01"/>
    <w:basedOn w:val="35"/>
    <w:qFormat/>
    <w:uiPriority w:val="0"/>
    <w:rPr>
      <w:rFonts w:hint="eastAsia" w:ascii="宋体" w:hAnsi="宋体" w:eastAsia="宋体" w:cs="宋体"/>
      <w:color w:val="000000"/>
      <w:sz w:val="22"/>
      <w:szCs w:val="22"/>
      <w:u w:val="none"/>
    </w:rPr>
  </w:style>
  <w:style w:type="character" w:customStyle="1" w:styleId="49">
    <w:name w:val="font21"/>
    <w:basedOn w:val="35"/>
    <w:qFormat/>
    <w:uiPriority w:val="0"/>
    <w:rPr>
      <w:rFonts w:ascii="等线" w:hAnsi="等线" w:eastAsia="等线" w:cs="等线"/>
      <w:color w:val="000000"/>
      <w:sz w:val="24"/>
      <w:szCs w:val="24"/>
      <w:u w:val="none"/>
    </w:rPr>
  </w:style>
  <w:style w:type="character" w:customStyle="1" w:styleId="50">
    <w:name w:val="font31"/>
    <w:basedOn w:val="35"/>
    <w:qFormat/>
    <w:uiPriority w:val="0"/>
    <w:rPr>
      <w:rFonts w:hint="eastAsia" w:ascii="宋体" w:hAnsi="宋体" w:eastAsia="宋体" w:cs="宋体"/>
      <w:color w:val="000000"/>
      <w:sz w:val="24"/>
      <w:szCs w:val="24"/>
      <w:u w:val="none"/>
    </w:rPr>
  </w:style>
  <w:style w:type="paragraph" w:customStyle="1" w:styleId="51">
    <w:name w:val="a正文"/>
    <w:basedOn w:val="1"/>
    <w:qFormat/>
    <w:uiPriority w:val="0"/>
    <w:pPr>
      <w:adjustRightInd w:val="0"/>
      <w:spacing w:line="401" w:lineRule="auto"/>
      <w:ind w:firstLine="200"/>
    </w:pPr>
    <w:rPr>
      <w:rFonts w:ascii="Times New Roman" w:hAnsi="Times New Roman"/>
      <w:bCs/>
      <w:color w:val="000000"/>
      <w:kern w:val="0"/>
      <w:szCs w:val="28"/>
      <w:lang w:val="zh-CN"/>
    </w:rPr>
  </w:style>
  <w:style w:type="paragraph" w:customStyle="1" w:styleId="52">
    <w:name w:val="正文（缩进）"/>
    <w:basedOn w:val="1"/>
    <w:qFormat/>
    <w:uiPriority w:val="0"/>
    <w:pPr>
      <w:spacing w:before="156" w:after="156"/>
    </w:pPr>
  </w:style>
  <w:style w:type="character" w:customStyle="1" w:styleId="53">
    <w:name w:val="font51"/>
    <w:basedOn w:val="35"/>
    <w:qFormat/>
    <w:uiPriority w:val="0"/>
    <w:rPr>
      <w:rFonts w:hint="eastAsia" w:ascii="宋体" w:hAnsi="宋体" w:eastAsia="宋体" w:cs="宋体"/>
      <w:color w:val="000000"/>
      <w:sz w:val="21"/>
      <w:szCs w:val="21"/>
      <w:u w:val="none"/>
    </w:rPr>
  </w:style>
  <w:style w:type="character" w:customStyle="1" w:styleId="54">
    <w:name w:val="font71"/>
    <w:basedOn w:val="35"/>
    <w:qFormat/>
    <w:uiPriority w:val="0"/>
    <w:rPr>
      <w:rFonts w:hint="eastAsia" w:ascii="宋体" w:hAnsi="宋体" w:eastAsia="宋体" w:cs="宋体"/>
      <w:color w:val="000000"/>
      <w:sz w:val="22"/>
      <w:szCs w:val="22"/>
      <w:u w:val="none"/>
    </w:rPr>
  </w:style>
  <w:style w:type="character" w:customStyle="1" w:styleId="55">
    <w:name w:val="font81"/>
    <w:basedOn w:val="35"/>
    <w:qFormat/>
    <w:uiPriority w:val="0"/>
    <w:rPr>
      <w:rFonts w:hint="default" w:ascii="Times New Roman" w:hAnsi="Times New Roman" w:cs="Times New Roman"/>
      <w:color w:val="000000"/>
      <w:sz w:val="22"/>
      <w:szCs w:val="22"/>
      <w:u w:val="none"/>
    </w:rPr>
  </w:style>
  <w:style w:type="paragraph" w:customStyle="1" w:styleId="56">
    <w:name w:val="正文-首行缩进-自定义"/>
    <w:basedOn w:val="1"/>
    <w:qFormat/>
    <w:uiPriority w:val="0"/>
    <w:pPr>
      <w:widowControl/>
      <w:ind w:firstLine="200"/>
    </w:pPr>
    <w:rPr>
      <w:rFonts w:ascii="宋体" w:hAnsi="宋体" w:cs="宋体"/>
      <w:kern w:val="0"/>
    </w:rPr>
  </w:style>
  <w:style w:type="character" w:customStyle="1" w:styleId="57">
    <w:name w:val="批注框文本 字符"/>
    <w:basedOn w:val="35"/>
    <w:link w:val="22"/>
    <w:qFormat/>
    <w:uiPriority w:val="0"/>
    <w:rPr>
      <w:rFonts w:ascii="仿宋_GB2312" w:hAnsi="仿宋_GB2312" w:eastAsia="仿宋_GB2312" w:cstheme="minorBidi"/>
      <w:kern w:val="2"/>
      <w:sz w:val="18"/>
      <w:szCs w:val="18"/>
    </w:rPr>
  </w:style>
  <w:style w:type="character" w:customStyle="1" w:styleId="58">
    <w:name w:val="列出段落 字符"/>
    <w:link w:val="38"/>
    <w:qFormat/>
    <w:uiPriority w:val="34"/>
    <w:rPr>
      <w:rFonts w:ascii="仿宋_GB2312" w:hAnsi="仿宋_GB2312" w:eastAsia="仿宋_GB2312" w:cstheme="minorBidi"/>
      <w:kern w:val="2"/>
      <w:sz w:val="24"/>
      <w:szCs w:val="22"/>
    </w:rPr>
  </w:style>
  <w:style w:type="character" w:customStyle="1" w:styleId="59">
    <w:name w:val="批注文字 字符"/>
    <w:basedOn w:val="35"/>
    <w:link w:val="15"/>
    <w:qFormat/>
    <w:uiPriority w:val="0"/>
    <w:rPr>
      <w:rFonts w:ascii="仿宋_GB2312" w:hAnsi="仿宋_GB2312" w:eastAsia="仿宋_GB2312" w:cstheme="minorBidi"/>
      <w:kern w:val="2"/>
      <w:sz w:val="24"/>
      <w:szCs w:val="22"/>
    </w:rPr>
  </w:style>
  <w:style w:type="character" w:customStyle="1" w:styleId="60">
    <w:name w:val="批注主题 字符"/>
    <w:basedOn w:val="59"/>
    <w:link w:val="31"/>
    <w:qFormat/>
    <w:uiPriority w:val="0"/>
    <w:rPr>
      <w:rFonts w:ascii="仿宋_GB2312" w:hAnsi="仿宋_GB2312" w:eastAsia="仿宋_GB2312" w:cstheme="minorBidi"/>
      <w:b/>
      <w:bCs/>
      <w:kern w:val="2"/>
      <w:sz w:val="24"/>
      <w:szCs w:val="22"/>
    </w:rPr>
  </w:style>
  <w:style w:type="character" w:customStyle="1" w:styleId="61">
    <w:name w:val="font61"/>
    <w:basedOn w:val="3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1836</Words>
  <Characters>1888</Characters>
  <Lines>409</Lines>
  <Paragraphs>115</Paragraphs>
  <TotalTime>13</TotalTime>
  <ScaleCrop>false</ScaleCrop>
  <LinksUpToDate>false</LinksUpToDate>
  <CharactersWithSpaces>1891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2024-11-13T07:39:00Z</dcterms:created>
  <dc:creator>力平丶</dc:creator>
  <cp:lastModifiedBy>黄大锤</cp:lastModifiedBy>
  <dcterms:modified xsi:type="dcterms:W3CDTF">2025-09-28T03:36:44Z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B3EF25EFEF2F4460A14862FDB9534AF1_13</vt:lpwstr>
  </property>
  <property fmtid="{D5CDD505-2E9C-101B-9397-08002B2CF9AE}" pid="4" name="KSOTemplateDocerSaveRecord">
    <vt:lpwstr>eyJoZGlkIjoiZDlmNzBiZDFmMDgzZTlhYjI0YTU2MmZhM2UzOTI2YWQiLCJ1c2VySWQiOiIzMTI2MTQ2MzEifQ==</vt:lpwstr>
  </property>
</Properties>
</file>